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D6FF" w14:textId="74CAC6EE" w:rsidR="00B21417" w:rsidRPr="009F3ADA" w:rsidRDefault="00B21417" w:rsidP="00B21417">
      <w:pPr>
        <w:spacing w:after="0" w:line="240" w:lineRule="auto"/>
        <w:jc w:val="right"/>
        <w:rPr>
          <w:rFonts w:ascii="Times New Roman" w:eastAsia="Times New Roman" w:hAnsi="Times New Roman" w:cs="Times New Roman"/>
          <w:sz w:val="24"/>
          <w:szCs w:val="24"/>
          <w:lang w:val="ro-RO"/>
        </w:rPr>
      </w:pPr>
      <w:r w:rsidRPr="009F3ADA">
        <w:rPr>
          <w:rFonts w:ascii="Times New Roman" w:eastAsia="Times New Roman" w:hAnsi="Times New Roman" w:cs="Times New Roman"/>
          <w:sz w:val="24"/>
          <w:szCs w:val="24"/>
          <w:lang w:val="ro-RO"/>
        </w:rPr>
        <w:t>UE</w:t>
      </w:r>
    </w:p>
    <w:p w14:paraId="4558DAB0" w14:textId="77777777" w:rsidR="00B21417" w:rsidRPr="009F3ADA" w:rsidRDefault="00B21417" w:rsidP="00B21417">
      <w:pPr>
        <w:spacing w:after="0" w:line="240" w:lineRule="auto"/>
        <w:jc w:val="right"/>
        <w:rPr>
          <w:rFonts w:ascii="Times New Roman" w:eastAsia="Times New Roman" w:hAnsi="Times New Roman" w:cs="Times New Roman"/>
          <w:sz w:val="24"/>
          <w:szCs w:val="24"/>
          <w:lang w:val="ro-RO"/>
        </w:rPr>
      </w:pPr>
    </w:p>
    <w:p w14:paraId="7CCA7AE9" w14:textId="77777777" w:rsidR="00B21417" w:rsidRPr="009F3ADA" w:rsidRDefault="00B21417" w:rsidP="00B21417">
      <w:pPr>
        <w:spacing w:after="0" w:line="240" w:lineRule="auto"/>
        <w:jc w:val="right"/>
        <w:rPr>
          <w:rFonts w:ascii="Times New Roman" w:eastAsia="Times New Roman" w:hAnsi="Times New Roman" w:cs="Times New Roman"/>
          <w:sz w:val="24"/>
          <w:szCs w:val="24"/>
          <w:lang w:val="ro-RO"/>
        </w:rPr>
      </w:pPr>
      <w:r w:rsidRPr="009F3ADA">
        <w:rPr>
          <w:rFonts w:ascii="Times New Roman" w:eastAsia="Times New Roman" w:hAnsi="Times New Roman" w:cs="Times New Roman"/>
          <w:sz w:val="24"/>
          <w:szCs w:val="24"/>
          <w:lang w:val="ro-RO"/>
        </w:rPr>
        <w:t>Proiect</w:t>
      </w:r>
    </w:p>
    <w:p w14:paraId="7EDA28D6" w14:textId="77777777" w:rsidR="00B21417" w:rsidRPr="009F3ADA" w:rsidRDefault="00B21417" w:rsidP="00B21417">
      <w:pPr>
        <w:widowControl w:val="0"/>
        <w:spacing w:after="0" w:line="240" w:lineRule="auto"/>
        <w:jc w:val="center"/>
        <w:rPr>
          <w:rFonts w:ascii="Times New Roman" w:eastAsia="Courier New" w:hAnsi="Times New Roman" w:cs="Times New Roman"/>
          <w:b/>
          <w:color w:val="000000"/>
          <w:sz w:val="24"/>
          <w:szCs w:val="24"/>
          <w:lang w:val="ro-RO" w:eastAsia="ro-RO" w:bidi="ro-RO"/>
        </w:rPr>
      </w:pPr>
    </w:p>
    <w:p w14:paraId="125DA509" w14:textId="77777777" w:rsidR="00B21417" w:rsidRPr="009F3ADA" w:rsidRDefault="00B21417" w:rsidP="00B21417">
      <w:pPr>
        <w:widowControl w:val="0"/>
        <w:spacing w:after="0" w:line="240" w:lineRule="auto"/>
        <w:jc w:val="center"/>
        <w:rPr>
          <w:rFonts w:ascii="Times New Roman" w:eastAsia="Courier New" w:hAnsi="Times New Roman" w:cs="Times New Roman"/>
          <w:b/>
          <w:color w:val="000000"/>
          <w:sz w:val="24"/>
          <w:szCs w:val="24"/>
          <w:lang w:val="ro-RO" w:eastAsia="ro-RO" w:bidi="ro-RO"/>
        </w:rPr>
      </w:pPr>
    </w:p>
    <w:p w14:paraId="2D911786" w14:textId="77777777" w:rsidR="00B21417" w:rsidRPr="009F3ADA" w:rsidRDefault="00B21417" w:rsidP="00B21417">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9F3ADA">
        <w:rPr>
          <w:rFonts w:ascii="Times New Roman" w:eastAsia="Courier New" w:hAnsi="Times New Roman" w:cs="Times New Roman"/>
          <w:b/>
          <w:color w:val="000000"/>
          <w:sz w:val="24"/>
          <w:szCs w:val="24"/>
          <w:lang w:val="ro-RO" w:eastAsia="ro-RO" w:bidi="ro-RO"/>
        </w:rPr>
        <w:t>COMITETUL EXECUTIV</w:t>
      </w:r>
    </w:p>
    <w:p w14:paraId="32402D92" w14:textId="77777777" w:rsidR="00B21417" w:rsidRPr="009F3ADA" w:rsidRDefault="00B21417" w:rsidP="00B21417">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9F3ADA">
        <w:rPr>
          <w:rFonts w:ascii="Times New Roman" w:eastAsia="Courier New" w:hAnsi="Times New Roman" w:cs="Times New Roman"/>
          <w:b/>
          <w:color w:val="000000"/>
          <w:sz w:val="24"/>
          <w:szCs w:val="24"/>
          <w:lang w:val="ro-RO" w:eastAsia="ro-RO" w:bidi="ro-RO"/>
        </w:rPr>
        <w:t>AL BĂNCII NAȚIONALE A MOLDOVEI</w:t>
      </w:r>
    </w:p>
    <w:p w14:paraId="6321153A" w14:textId="77777777" w:rsidR="00B21417" w:rsidRPr="009F3ADA" w:rsidRDefault="00B21417" w:rsidP="00B21417">
      <w:pPr>
        <w:widowControl w:val="0"/>
        <w:spacing w:after="0" w:line="240" w:lineRule="auto"/>
        <w:jc w:val="center"/>
        <w:rPr>
          <w:rFonts w:ascii="Times New Roman" w:eastAsia="Courier New" w:hAnsi="Times New Roman" w:cs="Times New Roman"/>
          <w:b/>
          <w:color w:val="000000"/>
          <w:sz w:val="24"/>
          <w:szCs w:val="24"/>
          <w:lang w:val="ro-RO" w:eastAsia="ro-RO" w:bidi="ro-RO"/>
        </w:rPr>
      </w:pPr>
    </w:p>
    <w:p w14:paraId="07382E16" w14:textId="77777777" w:rsidR="00B21417" w:rsidRPr="009F3ADA" w:rsidRDefault="00B21417" w:rsidP="00B21417">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9F3ADA">
        <w:rPr>
          <w:rFonts w:ascii="Times New Roman" w:eastAsia="Courier New" w:hAnsi="Times New Roman" w:cs="Times New Roman"/>
          <w:b/>
          <w:color w:val="000000"/>
          <w:sz w:val="24"/>
          <w:szCs w:val="24"/>
          <w:lang w:val="ro-RO" w:eastAsia="ro-RO" w:bidi="ro-RO"/>
        </w:rPr>
        <w:t>HOTĂRÂREA nr. ____</w:t>
      </w:r>
    </w:p>
    <w:p w14:paraId="114CB792" w14:textId="3AE5E28B" w:rsidR="00B21417" w:rsidRPr="009F3ADA" w:rsidRDefault="00B21417" w:rsidP="00B21417">
      <w:pPr>
        <w:widowControl w:val="0"/>
        <w:spacing w:after="0" w:line="240" w:lineRule="auto"/>
        <w:jc w:val="center"/>
        <w:rPr>
          <w:rFonts w:ascii="Times New Roman" w:eastAsia="Courier New" w:hAnsi="Times New Roman" w:cs="Times New Roman"/>
          <w:b/>
          <w:color w:val="000000"/>
          <w:sz w:val="24"/>
          <w:szCs w:val="24"/>
          <w:lang w:val="ro-RO" w:eastAsia="ro-RO" w:bidi="ro-RO"/>
        </w:rPr>
      </w:pPr>
      <w:r w:rsidRPr="009F3ADA">
        <w:rPr>
          <w:rFonts w:ascii="Times New Roman" w:eastAsia="Courier New" w:hAnsi="Times New Roman" w:cs="Times New Roman"/>
          <w:b/>
          <w:color w:val="000000"/>
          <w:sz w:val="24"/>
          <w:szCs w:val="24"/>
          <w:lang w:val="ro-RO" w:eastAsia="ro-RO" w:bidi="ro-RO"/>
        </w:rPr>
        <w:t xml:space="preserve">din  ____________  </w:t>
      </w:r>
      <w:r w:rsidRPr="008A3A78">
        <w:rPr>
          <w:rFonts w:ascii="Times New Roman" w:eastAsia="Courier New" w:hAnsi="Times New Roman" w:cs="Times New Roman"/>
          <w:b/>
          <w:color w:val="000000"/>
          <w:sz w:val="24"/>
          <w:szCs w:val="24"/>
          <w:lang w:val="ro-RO" w:eastAsia="ro-RO" w:bidi="ro-RO"/>
        </w:rPr>
        <w:t>2026</w:t>
      </w:r>
    </w:p>
    <w:p w14:paraId="472B0AA5" w14:textId="77777777" w:rsidR="00B21417" w:rsidRPr="009F3ADA" w:rsidRDefault="00B21417" w:rsidP="00B21417">
      <w:pPr>
        <w:widowControl w:val="0"/>
        <w:spacing w:after="0" w:line="240" w:lineRule="auto"/>
        <w:jc w:val="center"/>
        <w:rPr>
          <w:rFonts w:ascii="Times New Roman" w:eastAsia="Courier New" w:hAnsi="Times New Roman" w:cs="Times New Roman"/>
          <w:b/>
          <w:color w:val="000000"/>
          <w:sz w:val="24"/>
          <w:szCs w:val="24"/>
          <w:lang w:val="ro-RO" w:eastAsia="ro-RO" w:bidi="ro-RO"/>
        </w:rPr>
      </w:pPr>
    </w:p>
    <w:p w14:paraId="59443508" w14:textId="77777777" w:rsidR="00B21417" w:rsidRPr="009F3ADA" w:rsidRDefault="00B21417" w:rsidP="00B21417">
      <w:pPr>
        <w:spacing w:after="0" w:line="240" w:lineRule="auto"/>
        <w:jc w:val="center"/>
        <w:rPr>
          <w:rFonts w:ascii="Times New Roman" w:eastAsia="Times New Roman" w:hAnsi="Times New Roman" w:cs="Times New Roman"/>
          <w:bCs/>
          <w:sz w:val="24"/>
          <w:szCs w:val="24"/>
          <w:lang w:val="ro-RO"/>
        </w:rPr>
      </w:pPr>
    </w:p>
    <w:p w14:paraId="28B34CA0" w14:textId="5769FA19" w:rsidR="00B21417" w:rsidRPr="009F3ADA" w:rsidRDefault="00B21417" w:rsidP="00B21417">
      <w:pPr>
        <w:spacing w:after="0" w:line="240" w:lineRule="auto"/>
        <w:jc w:val="center"/>
        <w:rPr>
          <w:rFonts w:ascii="Times New Roman" w:eastAsia="Times New Roman" w:hAnsi="Times New Roman" w:cs="Times New Roman"/>
          <w:b/>
          <w:bCs/>
          <w:sz w:val="24"/>
          <w:szCs w:val="24"/>
          <w:lang w:eastAsia="ru-RU"/>
        </w:rPr>
      </w:pPr>
      <w:r w:rsidRPr="009F3ADA">
        <w:rPr>
          <w:rFonts w:ascii="Times New Roman" w:eastAsia="Times New Roman" w:hAnsi="Times New Roman" w:cs="Times New Roman"/>
          <w:b/>
          <w:bCs/>
          <w:sz w:val="24"/>
          <w:szCs w:val="24"/>
          <w:lang w:val="ro-RO" w:eastAsia="ru-RU"/>
        </w:rPr>
        <w:t xml:space="preserve">Pentru </w:t>
      </w:r>
      <w:r w:rsidRPr="009F3ADA">
        <w:rPr>
          <w:rFonts w:ascii="Times New Roman" w:eastAsia="Times New Roman" w:hAnsi="Times New Roman" w:cs="Times New Roman"/>
          <w:b/>
          <w:bCs/>
          <w:sz w:val="24"/>
          <w:szCs w:val="24"/>
          <w:lang w:eastAsia="ru-RU"/>
        </w:rPr>
        <w:t>modificarea Instrucțiunii cu privire la prezentarea de către bănci a rapoartelor COREP în scopuri de supraveghere,</w:t>
      </w:r>
      <w:r w:rsidRPr="009F3ADA">
        <w:rPr>
          <w:rFonts w:ascii="Times New Roman" w:hAnsi="Times New Roman" w:cs="Times New Roman"/>
        </w:rPr>
        <w:t xml:space="preserve"> </w:t>
      </w:r>
      <w:r w:rsidRPr="009F3ADA">
        <w:rPr>
          <w:rFonts w:ascii="Times New Roman" w:eastAsia="Times New Roman" w:hAnsi="Times New Roman" w:cs="Times New Roman"/>
          <w:b/>
          <w:bCs/>
          <w:sz w:val="24"/>
          <w:szCs w:val="24"/>
          <w:lang w:eastAsia="ru-RU"/>
        </w:rPr>
        <w:t>aprobate prin HC</w:t>
      </w:r>
      <w:r w:rsidR="006A2D87">
        <w:rPr>
          <w:rFonts w:ascii="Times New Roman" w:eastAsia="Times New Roman" w:hAnsi="Times New Roman" w:cs="Times New Roman"/>
          <w:b/>
          <w:bCs/>
          <w:sz w:val="24"/>
          <w:szCs w:val="24"/>
          <w:lang w:eastAsia="ru-RU"/>
        </w:rPr>
        <w:t>E</w:t>
      </w:r>
      <w:r w:rsidRPr="009F3ADA">
        <w:rPr>
          <w:rFonts w:ascii="Times New Roman" w:eastAsia="Times New Roman" w:hAnsi="Times New Roman" w:cs="Times New Roman"/>
          <w:b/>
          <w:bCs/>
          <w:sz w:val="24"/>
          <w:szCs w:val="24"/>
          <w:lang w:eastAsia="ru-RU"/>
        </w:rPr>
        <w:t xml:space="preserve"> al BNM nr. 117/2018 </w:t>
      </w:r>
    </w:p>
    <w:p w14:paraId="124A145A" w14:textId="77777777" w:rsidR="000006E9" w:rsidRDefault="00B21417" w:rsidP="00C51C0E">
      <w:pPr>
        <w:spacing w:after="0" w:line="240" w:lineRule="auto"/>
        <w:jc w:val="center"/>
        <w:rPr>
          <w:rFonts w:ascii="Times New Roman" w:eastAsia="Times New Roman" w:hAnsi="Times New Roman" w:cs="Times New Roman"/>
          <w:b/>
          <w:bCs/>
          <w:iCs/>
          <w:sz w:val="24"/>
          <w:szCs w:val="24"/>
          <w:lang w:val="ro-RO" w:eastAsia="ru-RU"/>
        </w:rPr>
      </w:pPr>
      <w:r w:rsidRPr="009F3ADA">
        <w:rPr>
          <w:rFonts w:ascii="Times New Roman" w:eastAsia="Times New Roman" w:hAnsi="Times New Roman" w:cs="Times New Roman"/>
          <w:b/>
          <w:bCs/>
          <w:iCs/>
          <w:sz w:val="24"/>
          <w:szCs w:val="24"/>
          <w:lang w:val="ro-RO" w:eastAsia="ru-RU"/>
        </w:rPr>
        <w:t>(</w:t>
      </w:r>
      <w:r w:rsidR="00C51C0E">
        <w:rPr>
          <w:rFonts w:ascii="Times New Roman" w:eastAsia="Times New Roman" w:hAnsi="Times New Roman" w:cs="Times New Roman"/>
          <w:b/>
          <w:bCs/>
          <w:iCs/>
          <w:sz w:val="24"/>
          <w:szCs w:val="24"/>
          <w:lang w:val="ro-RO" w:eastAsia="ru-RU"/>
        </w:rPr>
        <w:t xml:space="preserve">privind </w:t>
      </w:r>
      <w:r>
        <w:rPr>
          <w:rFonts w:ascii="Times New Roman" w:eastAsia="Times New Roman" w:hAnsi="Times New Roman" w:cs="Times New Roman"/>
          <w:b/>
          <w:bCs/>
          <w:iCs/>
          <w:sz w:val="24"/>
          <w:szCs w:val="24"/>
          <w:lang w:val="ro-RO" w:eastAsia="ru-RU"/>
        </w:rPr>
        <w:t>adecvarea capitalului și</w:t>
      </w:r>
      <w:r w:rsidR="009B14C4">
        <w:rPr>
          <w:rFonts w:ascii="Times New Roman" w:eastAsia="Times New Roman" w:hAnsi="Times New Roman" w:cs="Times New Roman"/>
          <w:b/>
          <w:bCs/>
          <w:iCs/>
          <w:sz w:val="24"/>
          <w:szCs w:val="24"/>
          <w:lang w:val="ro-RO" w:eastAsia="ru-RU"/>
        </w:rPr>
        <w:t xml:space="preserve"> </w:t>
      </w:r>
    </w:p>
    <w:p w14:paraId="018F4C01" w14:textId="351F714B" w:rsidR="00B21417" w:rsidRPr="009F3ADA" w:rsidRDefault="00B21417" w:rsidP="00C51C0E">
      <w:pPr>
        <w:spacing w:after="0" w:line="240" w:lineRule="auto"/>
        <w:jc w:val="center"/>
        <w:rPr>
          <w:rFonts w:ascii="Times New Roman" w:eastAsia="Times New Roman" w:hAnsi="Times New Roman" w:cs="Times New Roman"/>
          <w:b/>
          <w:bCs/>
          <w:iCs/>
          <w:sz w:val="24"/>
          <w:szCs w:val="24"/>
          <w:lang w:val="ro-RO" w:eastAsia="ru-RU"/>
        </w:rPr>
      </w:pPr>
      <w:r>
        <w:rPr>
          <w:rFonts w:ascii="Times New Roman" w:eastAsia="Times New Roman" w:hAnsi="Times New Roman" w:cs="Times New Roman"/>
          <w:b/>
          <w:bCs/>
          <w:iCs/>
          <w:sz w:val="24"/>
          <w:szCs w:val="24"/>
          <w:lang w:val="ro-RO" w:eastAsia="ru-RU"/>
        </w:rPr>
        <w:t>riscul de credit:</w:t>
      </w:r>
      <w:r w:rsidR="00C51C0E">
        <w:rPr>
          <w:rFonts w:ascii="Times New Roman" w:eastAsia="Times New Roman" w:hAnsi="Times New Roman" w:cs="Times New Roman"/>
          <w:b/>
          <w:bCs/>
          <w:iCs/>
          <w:sz w:val="24"/>
          <w:szCs w:val="24"/>
          <w:lang w:val="ro-RO" w:eastAsia="ru-RU"/>
        </w:rPr>
        <w:t xml:space="preserve"> </w:t>
      </w:r>
      <w:r>
        <w:rPr>
          <w:rFonts w:ascii="Times New Roman" w:eastAsia="Times New Roman" w:hAnsi="Times New Roman" w:cs="Times New Roman"/>
          <w:b/>
          <w:bCs/>
          <w:iCs/>
          <w:sz w:val="24"/>
          <w:szCs w:val="24"/>
          <w:lang w:val="ro-RO" w:eastAsia="ru-RU"/>
        </w:rPr>
        <w:t>abordarea standardizată privind cerințele de capital</w:t>
      </w:r>
      <w:r w:rsidRPr="009F3ADA">
        <w:rPr>
          <w:rFonts w:ascii="Times New Roman" w:eastAsia="Calibri" w:hAnsi="Times New Roman" w:cs="Times New Roman"/>
          <w:b/>
          <w:bCs/>
          <w:sz w:val="24"/>
          <w:szCs w:val="24"/>
        </w:rPr>
        <w:t>)</w:t>
      </w:r>
    </w:p>
    <w:p w14:paraId="7163667A" w14:textId="77777777" w:rsidR="00B21417" w:rsidRPr="009F3ADA" w:rsidRDefault="00B21417" w:rsidP="00B21417">
      <w:pPr>
        <w:tabs>
          <w:tab w:val="left" w:pos="1134"/>
        </w:tabs>
        <w:spacing w:after="0" w:line="240" w:lineRule="auto"/>
        <w:ind w:firstLine="720"/>
        <w:jc w:val="both"/>
        <w:rPr>
          <w:rFonts w:ascii="Times New Roman" w:eastAsia="Times New Roman" w:hAnsi="Times New Roman" w:cs="Times New Roman"/>
          <w:bCs/>
          <w:sz w:val="24"/>
          <w:szCs w:val="24"/>
          <w:lang w:val="ro-RO" w:eastAsia="ru-RU"/>
        </w:rPr>
      </w:pPr>
    </w:p>
    <w:p w14:paraId="1AF20DB7" w14:textId="77777777" w:rsidR="00B21417" w:rsidRPr="009F3ADA" w:rsidRDefault="00B21417" w:rsidP="00B21417">
      <w:pPr>
        <w:tabs>
          <w:tab w:val="left" w:pos="1134"/>
        </w:tabs>
        <w:spacing w:after="0" w:line="240" w:lineRule="auto"/>
        <w:ind w:firstLine="720"/>
        <w:jc w:val="both"/>
        <w:rPr>
          <w:rFonts w:ascii="Times New Roman" w:eastAsia="Times New Roman" w:hAnsi="Times New Roman" w:cs="Times New Roman"/>
          <w:bCs/>
          <w:color w:val="FF0000"/>
          <w:sz w:val="24"/>
          <w:szCs w:val="24"/>
          <w:lang w:val="ro-RO" w:eastAsia="ru-RU"/>
        </w:rPr>
      </w:pPr>
      <w:bookmarkStart w:id="0" w:name="_Hlk213243524"/>
    </w:p>
    <w:p w14:paraId="5304D330" w14:textId="129DE687" w:rsidR="00B21417" w:rsidRPr="009F3ADA" w:rsidRDefault="00B21417" w:rsidP="00B21417">
      <w:pPr>
        <w:widowControl w:val="0"/>
        <w:tabs>
          <w:tab w:val="left" w:pos="1134"/>
        </w:tabs>
        <w:spacing w:after="0" w:line="240" w:lineRule="auto"/>
        <w:jc w:val="both"/>
        <w:rPr>
          <w:rFonts w:ascii="Times New Roman" w:eastAsia="Courier New" w:hAnsi="Times New Roman" w:cs="Times New Roman"/>
          <w:sz w:val="24"/>
          <w:szCs w:val="24"/>
          <w:lang w:val="ro-RO" w:eastAsia="ru-RU" w:bidi="ro-RO"/>
        </w:rPr>
      </w:pPr>
      <w:r w:rsidRPr="009F3ADA">
        <w:rPr>
          <w:rFonts w:ascii="Times New Roman" w:eastAsia="Courier New" w:hAnsi="Times New Roman" w:cs="Times New Roman"/>
          <w:sz w:val="24"/>
          <w:szCs w:val="24"/>
          <w:lang w:val="ro-RO" w:eastAsia="ru-RU" w:bidi="ro-RO"/>
        </w:rPr>
        <w:t xml:space="preserve">În temeiul </w:t>
      </w:r>
      <w:r w:rsidRPr="009F3ADA">
        <w:rPr>
          <w:rFonts w:ascii="Times New Roman" w:eastAsia="Courier New" w:hAnsi="Times New Roman" w:cs="Times New Roman"/>
          <w:sz w:val="24"/>
          <w:szCs w:val="24"/>
          <w:lang w:eastAsia="ru-RU" w:bidi="ro-RO"/>
        </w:rPr>
        <w:t>art. 84</w:t>
      </w:r>
      <w:r w:rsidR="001E4572">
        <w:rPr>
          <w:rFonts w:ascii="Times New Roman" w:eastAsia="Courier New" w:hAnsi="Times New Roman" w:cs="Times New Roman"/>
          <w:sz w:val="24"/>
          <w:szCs w:val="24"/>
          <w:lang w:eastAsia="ru-RU" w:bidi="ro-RO"/>
        </w:rPr>
        <w:t xml:space="preserve"> alin. (1)</w:t>
      </w:r>
      <w:r w:rsidRPr="009F3ADA">
        <w:rPr>
          <w:rFonts w:ascii="Times New Roman" w:eastAsia="Courier New" w:hAnsi="Times New Roman" w:cs="Times New Roman"/>
          <w:sz w:val="24"/>
          <w:szCs w:val="24"/>
          <w:lang w:val="ro-RO" w:eastAsia="ru-RU" w:bidi="ro-RO"/>
        </w:rPr>
        <w:t xml:space="preserve"> </w:t>
      </w:r>
      <w:r w:rsidRPr="0063005B">
        <w:rPr>
          <w:rFonts w:ascii="Times New Roman" w:eastAsia="Courier New" w:hAnsi="Times New Roman" w:cs="Times New Roman"/>
          <w:sz w:val="24"/>
          <w:szCs w:val="24"/>
          <w:lang w:val="ro-RO" w:eastAsia="ru-RU" w:bidi="ro-RO"/>
        </w:rPr>
        <w:t>din Legea nr.202/2017 privind activitatea băncilor (</w:t>
      </w:r>
      <w:r w:rsidRPr="009F3ADA">
        <w:rPr>
          <w:rFonts w:ascii="Times New Roman" w:eastAsia="Courier New" w:hAnsi="Times New Roman" w:cs="Times New Roman"/>
          <w:sz w:val="24"/>
          <w:szCs w:val="24"/>
          <w:lang w:val="ro-RO" w:eastAsia="ru-RU" w:bidi="ro-RO"/>
        </w:rPr>
        <w:t xml:space="preserve">Monitorul Oficial al Republicii Moldova, 2017, nr.434-439, art.727), Comitetul executiv al Băncii Naționale a Moldovei </w:t>
      </w:r>
    </w:p>
    <w:bookmarkEnd w:id="0"/>
    <w:p w14:paraId="7B26AAA1" w14:textId="77777777" w:rsidR="00B21417" w:rsidRPr="009F3ADA" w:rsidRDefault="00B21417" w:rsidP="00B21417">
      <w:pPr>
        <w:widowControl w:val="0"/>
        <w:tabs>
          <w:tab w:val="left" w:pos="1134"/>
        </w:tabs>
        <w:spacing w:after="0" w:line="240" w:lineRule="auto"/>
        <w:jc w:val="both"/>
        <w:rPr>
          <w:rFonts w:ascii="Times New Roman" w:eastAsia="Courier New" w:hAnsi="Times New Roman" w:cs="Times New Roman"/>
          <w:color w:val="000000"/>
          <w:sz w:val="24"/>
          <w:szCs w:val="24"/>
          <w:lang w:val="ro-RO" w:eastAsia="ru-RU" w:bidi="ro-RO"/>
        </w:rPr>
      </w:pPr>
    </w:p>
    <w:p w14:paraId="156CECA9" w14:textId="77777777" w:rsidR="00B21417" w:rsidRDefault="00B21417" w:rsidP="00B21417">
      <w:pPr>
        <w:widowControl w:val="0"/>
        <w:tabs>
          <w:tab w:val="left" w:pos="1134"/>
        </w:tabs>
        <w:spacing w:after="0" w:line="240" w:lineRule="auto"/>
        <w:jc w:val="both"/>
        <w:rPr>
          <w:rFonts w:ascii="Times New Roman" w:eastAsia="Courier New" w:hAnsi="Times New Roman" w:cs="Times New Roman"/>
          <w:b/>
          <w:color w:val="000000"/>
          <w:sz w:val="24"/>
          <w:szCs w:val="24"/>
          <w:lang w:val="ro-RO" w:eastAsia="ru-RU" w:bidi="ro-RO"/>
        </w:rPr>
      </w:pPr>
      <w:r w:rsidRPr="009F3ADA">
        <w:rPr>
          <w:rFonts w:ascii="Times New Roman" w:eastAsia="Courier New" w:hAnsi="Times New Roman" w:cs="Times New Roman"/>
          <w:b/>
          <w:color w:val="000000"/>
          <w:sz w:val="24"/>
          <w:szCs w:val="24"/>
          <w:lang w:val="ro-RO" w:eastAsia="ru-RU" w:bidi="ro-RO"/>
        </w:rPr>
        <w:t>HOTĂRĂŞTE:</w:t>
      </w:r>
    </w:p>
    <w:p w14:paraId="00406F87" w14:textId="77777777" w:rsidR="00FC6AC4" w:rsidRPr="009F3ADA" w:rsidRDefault="00FC6AC4" w:rsidP="00B21417">
      <w:pPr>
        <w:widowControl w:val="0"/>
        <w:tabs>
          <w:tab w:val="left" w:pos="1134"/>
        </w:tabs>
        <w:spacing w:after="0" w:line="240" w:lineRule="auto"/>
        <w:jc w:val="both"/>
        <w:rPr>
          <w:rFonts w:ascii="Times New Roman" w:eastAsia="Courier New" w:hAnsi="Times New Roman" w:cs="Times New Roman"/>
          <w:b/>
          <w:color w:val="000000"/>
          <w:sz w:val="24"/>
          <w:szCs w:val="24"/>
          <w:lang w:val="ro-RO" w:eastAsia="ru-RU" w:bidi="ro-RO"/>
        </w:rPr>
      </w:pPr>
    </w:p>
    <w:p w14:paraId="171B5A4B" w14:textId="048F59C8" w:rsidR="00FC6AC4" w:rsidRPr="009F3ADA" w:rsidRDefault="00FC6AC4" w:rsidP="00FC6AC4">
      <w:pPr>
        <w:widowControl w:val="0"/>
        <w:tabs>
          <w:tab w:val="left" w:pos="1134"/>
        </w:tabs>
        <w:spacing w:after="0" w:line="240" w:lineRule="auto"/>
        <w:jc w:val="both"/>
        <w:rPr>
          <w:rFonts w:ascii="Times New Roman" w:eastAsia="Courier New" w:hAnsi="Times New Roman" w:cs="Times New Roman"/>
          <w:bCs/>
          <w:sz w:val="24"/>
          <w:szCs w:val="24"/>
          <w:lang w:val="ro-RO" w:eastAsia="ru-RU" w:bidi="ro-RO"/>
        </w:rPr>
      </w:pPr>
      <w:r w:rsidRPr="009F3ADA">
        <w:rPr>
          <w:rFonts w:ascii="Times New Roman" w:eastAsia="Courier New" w:hAnsi="Times New Roman" w:cs="Times New Roman"/>
          <w:bCs/>
          <w:sz w:val="24"/>
          <w:szCs w:val="24"/>
          <w:lang w:val="ro-RO" w:eastAsia="ru-RU" w:bidi="ro-RO"/>
        </w:rPr>
        <w:t>Prezenta hotărâre transpune</w:t>
      </w:r>
      <w:r w:rsidRPr="009F3ADA">
        <w:rPr>
          <w:rFonts w:ascii="Times New Roman" w:eastAsia="Courier New" w:hAnsi="Times New Roman" w:cs="Times New Roman"/>
          <w:bCs/>
          <w:color w:val="FF0000"/>
          <w:sz w:val="24"/>
          <w:szCs w:val="24"/>
          <w:lang w:val="ro-RO" w:eastAsia="ru-RU" w:bidi="ro-RO"/>
        </w:rPr>
        <w:t xml:space="preserve"> </w:t>
      </w:r>
      <w:r>
        <w:rPr>
          <w:rFonts w:ascii="Times New Roman" w:eastAsia="Courier New" w:hAnsi="Times New Roman" w:cs="Times New Roman"/>
          <w:bCs/>
          <w:color w:val="000000" w:themeColor="text1"/>
          <w:sz w:val="24"/>
          <w:szCs w:val="24"/>
          <w:lang w:val="ro-RO" w:eastAsia="ru-RU" w:bidi="ro-RO"/>
        </w:rPr>
        <w:t>formularele rapoartelor  C 01.00, C 02.00, C 03.00, C 04.00 și C 07.00 din</w:t>
      </w:r>
      <w:r w:rsidRPr="009F3ADA">
        <w:rPr>
          <w:rFonts w:ascii="Times New Roman" w:eastAsia="Courier New" w:hAnsi="Times New Roman" w:cs="Times New Roman"/>
          <w:bCs/>
          <w:color w:val="000000" w:themeColor="text1"/>
          <w:sz w:val="24"/>
          <w:szCs w:val="24"/>
          <w:lang w:val="ro-RO" w:eastAsia="ru-RU" w:bidi="ro-RO"/>
        </w:rPr>
        <w:t xml:space="preserve"> </w:t>
      </w:r>
      <w:r w:rsidRPr="009F3ADA">
        <w:rPr>
          <w:rFonts w:ascii="Times New Roman" w:eastAsia="Courier New" w:hAnsi="Times New Roman" w:cs="Times New Roman"/>
          <w:bCs/>
          <w:sz w:val="24"/>
          <w:szCs w:val="24"/>
          <w:lang w:val="ro-RO" w:eastAsia="ru-RU" w:bidi="ro-RO"/>
        </w:rPr>
        <w:t xml:space="preserve">anexa I </w:t>
      </w:r>
      <w:r w:rsidR="00DE24BD">
        <w:rPr>
          <w:rFonts w:ascii="Times New Roman" w:eastAsia="Courier New" w:hAnsi="Times New Roman" w:cs="Times New Roman"/>
          <w:bCs/>
          <w:sz w:val="24"/>
          <w:szCs w:val="24"/>
          <w:lang w:val="ro-RO" w:eastAsia="ru-RU" w:bidi="ro-RO"/>
        </w:rPr>
        <w:t xml:space="preserve">la </w:t>
      </w:r>
      <w:r w:rsidRPr="009F3ADA">
        <w:rPr>
          <w:rFonts w:ascii="Times New Roman" w:eastAsia="Courier New" w:hAnsi="Times New Roman" w:cs="Times New Roman"/>
          <w:bCs/>
          <w:sz w:val="24"/>
          <w:szCs w:val="24"/>
          <w:lang w:val="ro-RO" w:eastAsia="ru-RU" w:bidi="ro-RO"/>
        </w:rPr>
        <w:t xml:space="preserve">Regulamentul de punere în aplicare (UE) 2024/3117 al Comisiei din 29 noiembrie 2024 de stabilire a standardelor tehnice de punere în aplicare pentru aplicarea </w:t>
      </w:r>
      <w:r w:rsidRPr="008A3A78">
        <w:rPr>
          <w:rFonts w:ascii="Times New Roman" w:eastAsia="Courier New" w:hAnsi="Times New Roman" w:cs="Times New Roman"/>
          <w:bCs/>
          <w:sz w:val="24"/>
          <w:szCs w:val="24"/>
          <w:lang w:val="ro-RO" w:eastAsia="ru-RU" w:bidi="ro-RO"/>
        </w:rPr>
        <w:t>Regulamentului</w:t>
      </w:r>
      <w:r w:rsidRPr="009F3ADA">
        <w:rPr>
          <w:rFonts w:ascii="Times New Roman" w:eastAsia="Courier New" w:hAnsi="Times New Roman" w:cs="Times New Roman"/>
          <w:bCs/>
          <w:sz w:val="24"/>
          <w:szCs w:val="24"/>
          <w:lang w:val="ro-RO" w:eastAsia="ru-RU" w:bidi="ro-RO"/>
        </w:rPr>
        <w:t xml:space="preserve"> (UE) nr. 575/2013 al Parlamentului European și al Consiliului în ceea ce privește raportarea în scopuri de supraveghere a instituțiilor și de abrogare a Regulamentului de punere în aplicare (UE) nr. 2021/451 </w:t>
      </w:r>
      <w:r>
        <w:rPr>
          <w:rFonts w:ascii="Times New Roman" w:eastAsia="Courier New" w:hAnsi="Times New Roman" w:cs="Times New Roman"/>
          <w:bCs/>
          <w:sz w:val="24"/>
          <w:szCs w:val="24"/>
          <w:lang w:val="ro-RO" w:eastAsia="ru-RU" w:bidi="ro-RO"/>
        </w:rPr>
        <w:t xml:space="preserve">al Comisiei, </w:t>
      </w:r>
      <w:r w:rsidRPr="00FC6AC4">
        <w:rPr>
          <w:rFonts w:ascii="Times New Roman" w:eastAsia="Courier New" w:hAnsi="Times New Roman" w:cs="Times New Roman"/>
          <w:bCs/>
          <w:sz w:val="24"/>
          <w:szCs w:val="24"/>
          <w:lang w:eastAsia="ru-RU" w:bidi="ro-RO"/>
        </w:rPr>
        <w:t> publicat în Jurnalul Oficial al Uniunii Europene L din 27 d</w:t>
      </w:r>
      <w:proofErr w:type="spellStart"/>
      <w:r w:rsidRPr="006B1CE5">
        <w:rPr>
          <w:rFonts w:ascii="Times New Roman" w:eastAsia="Courier New" w:hAnsi="Times New Roman" w:cs="Times New Roman"/>
          <w:bCs/>
          <w:sz w:val="24"/>
          <w:szCs w:val="24"/>
          <w:lang w:val="ro-RO" w:eastAsia="ru-RU" w:bidi="ro-RO"/>
        </w:rPr>
        <w:t>ecembrie</w:t>
      </w:r>
      <w:proofErr w:type="spellEnd"/>
      <w:r w:rsidRPr="006B1CE5">
        <w:rPr>
          <w:rFonts w:ascii="Times New Roman" w:eastAsia="Courier New" w:hAnsi="Times New Roman" w:cs="Times New Roman"/>
          <w:bCs/>
          <w:sz w:val="24"/>
          <w:szCs w:val="24"/>
          <w:lang w:val="ro-RO" w:eastAsia="ru-RU" w:bidi="ro-RO"/>
        </w:rPr>
        <w:t xml:space="preserve"> 2024</w:t>
      </w:r>
      <w:r>
        <w:rPr>
          <w:rFonts w:ascii="Times New Roman" w:eastAsia="Courier New" w:hAnsi="Times New Roman" w:cs="Times New Roman"/>
          <w:bCs/>
          <w:sz w:val="24"/>
          <w:szCs w:val="24"/>
          <w:lang w:val="ro-RO" w:eastAsia="ru-RU" w:bidi="ro-RO"/>
        </w:rPr>
        <w:t xml:space="preserve"> </w:t>
      </w:r>
      <w:r w:rsidRPr="009F3ADA">
        <w:rPr>
          <w:rFonts w:ascii="Times New Roman" w:eastAsia="Courier New" w:hAnsi="Times New Roman" w:cs="Times New Roman"/>
          <w:bCs/>
          <w:sz w:val="24"/>
          <w:szCs w:val="24"/>
          <w:lang w:val="ro-RO" w:eastAsia="ru-RU" w:bidi="ro-RO"/>
        </w:rPr>
        <w:t xml:space="preserve">(CELEX: </w:t>
      </w:r>
      <w:r w:rsidRPr="009F3ADA">
        <w:rPr>
          <w:rFonts w:ascii="Times New Roman" w:eastAsia="Courier New" w:hAnsi="Times New Roman" w:cs="Times New Roman"/>
          <w:bCs/>
          <w:sz w:val="24"/>
          <w:szCs w:val="24"/>
          <w:lang w:eastAsia="ru-RU" w:bidi="ro-RO"/>
        </w:rPr>
        <w:t>32024R3117</w:t>
      </w:r>
      <w:r w:rsidRPr="009F3ADA">
        <w:rPr>
          <w:rFonts w:ascii="Times New Roman" w:eastAsia="Courier New" w:hAnsi="Times New Roman" w:cs="Times New Roman"/>
          <w:bCs/>
          <w:sz w:val="24"/>
          <w:szCs w:val="24"/>
          <w:lang w:val="ro-RO" w:eastAsia="ru-RU" w:bidi="ro-RO"/>
        </w:rPr>
        <w:t>).</w:t>
      </w:r>
    </w:p>
    <w:p w14:paraId="0EBFC0C7" w14:textId="77777777" w:rsidR="00B21417" w:rsidRPr="009F3ADA" w:rsidRDefault="00B21417" w:rsidP="00B21417">
      <w:pPr>
        <w:widowControl w:val="0"/>
        <w:tabs>
          <w:tab w:val="left" w:pos="1134"/>
        </w:tabs>
        <w:spacing w:after="0" w:line="240" w:lineRule="auto"/>
        <w:jc w:val="both"/>
        <w:rPr>
          <w:rFonts w:ascii="Times New Roman" w:eastAsia="Courier New" w:hAnsi="Times New Roman" w:cs="Times New Roman"/>
          <w:bCs/>
          <w:color w:val="000000"/>
          <w:sz w:val="24"/>
          <w:szCs w:val="24"/>
          <w:lang w:val="ro-RO" w:eastAsia="ru-RU" w:bidi="ro-RO"/>
        </w:rPr>
      </w:pPr>
    </w:p>
    <w:p w14:paraId="6D533A4D" w14:textId="705FB1D5" w:rsidR="00B21417" w:rsidRDefault="00B21417" w:rsidP="00A42F52">
      <w:pPr>
        <w:widowControl w:val="0"/>
        <w:tabs>
          <w:tab w:val="left" w:pos="720"/>
        </w:tabs>
        <w:spacing w:line="240" w:lineRule="auto"/>
        <w:ind w:firstLine="426"/>
        <w:contextualSpacing/>
        <w:jc w:val="both"/>
        <w:rPr>
          <w:rFonts w:ascii="Times New Roman" w:eastAsia="Calibri" w:hAnsi="Times New Roman" w:cs="Times New Roman"/>
          <w:sz w:val="24"/>
          <w:szCs w:val="24"/>
          <w:lang w:val="ro-RO"/>
        </w:rPr>
      </w:pPr>
      <w:r w:rsidRPr="009F3ADA">
        <w:rPr>
          <w:rFonts w:ascii="Times New Roman" w:eastAsia="Calibri" w:hAnsi="Times New Roman" w:cs="Times New Roman"/>
          <w:b/>
          <w:bCs/>
          <w:sz w:val="24"/>
          <w:szCs w:val="24"/>
          <w:lang w:val="ro-RO" w:eastAsia="ru-RU"/>
        </w:rPr>
        <w:t>1.</w:t>
      </w:r>
      <w:r w:rsidRPr="009F3ADA">
        <w:rPr>
          <w:rFonts w:ascii="Times New Roman" w:eastAsia="Calibri" w:hAnsi="Times New Roman" w:cs="Times New Roman"/>
          <w:sz w:val="24"/>
          <w:szCs w:val="24"/>
          <w:lang w:val="ro-RO" w:eastAsia="ru-RU"/>
        </w:rPr>
        <w:t xml:space="preserve"> Instrucțiunea cu privire la prezentarea de către bănci a rapoartelor COREP în scopuri de supraveghere,</w:t>
      </w:r>
      <w:r w:rsidRPr="009F3ADA">
        <w:rPr>
          <w:rFonts w:ascii="Times New Roman" w:eastAsia="Calibri" w:hAnsi="Times New Roman" w:cs="Times New Roman"/>
          <w:sz w:val="24"/>
          <w:szCs w:val="24"/>
          <w:lang w:val="ro-RO"/>
        </w:rPr>
        <w:t xml:space="preserve"> aprobată prin Hotărârea Comitetului executiv al Băncii Naționale a Moldovei nr. 117/2018 (Monitorul Oficial al Republicii Moldova, 2018, nr. 183-194, art. 907), înregistrată la Ministerul </w:t>
      </w:r>
      <w:proofErr w:type="spellStart"/>
      <w:r w:rsidRPr="009F3ADA">
        <w:rPr>
          <w:rFonts w:ascii="Times New Roman" w:eastAsia="Calibri" w:hAnsi="Times New Roman" w:cs="Times New Roman"/>
          <w:sz w:val="24"/>
          <w:szCs w:val="24"/>
          <w:lang w:val="ro-RO"/>
        </w:rPr>
        <w:t>Justiţiei</w:t>
      </w:r>
      <w:proofErr w:type="spellEnd"/>
      <w:r w:rsidRPr="009F3ADA">
        <w:rPr>
          <w:rFonts w:ascii="Times New Roman" w:eastAsia="Calibri" w:hAnsi="Times New Roman" w:cs="Times New Roman"/>
          <w:sz w:val="24"/>
          <w:szCs w:val="24"/>
          <w:lang w:val="ro-RO"/>
        </w:rPr>
        <w:t xml:space="preserve"> al Republicii Moldova cu nr.1337/2018, se modifică după cum urmează</w:t>
      </w:r>
      <w:r w:rsidR="00790201">
        <w:rPr>
          <w:rFonts w:ascii="Times New Roman" w:eastAsia="Calibri" w:hAnsi="Times New Roman" w:cs="Times New Roman"/>
          <w:sz w:val="24"/>
          <w:szCs w:val="24"/>
          <w:lang w:val="ro-RO"/>
        </w:rPr>
        <w:t>:</w:t>
      </w:r>
    </w:p>
    <w:p w14:paraId="671F3F9F" w14:textId="1C7D244F" w:rsidR="006172F5" w:rsidRPr="006172F5" w:rsidRDefault="00790201" w:rsidP="002E1C57">
      <w:pPr>
        <w:pStyle w:val="ListParagraph"/>
        <w:widowControl w:val="0"/>
        <w:numPr>
          <w:ilvl w:val="1"/>
          <w:numId w:val="8"/>
        </w:numPr>
        <w:tabs>
          <w:tab w:val="left" w:pos="720"/>
        </w:tabs>
        <w:spacing w:after="0" w:line="240" w:lineRule="auto"/>
        <w:jc w:val="both"/>
        <w:rPr>
          <w:rFonts w:ascii="Times New Roman" w:eastAsia="Calibri" w:hAnsi="Times New Roman" w:cs="Times New Roman"/>
          <w:sz w:val="24"/>
          <w:szCs w:val="24"/>
          <w:lang w:val="ro-RO" w:eastAsia="ru-RU"/>
        </w:rPr>
      </w:pPr>
      <w:r w:rsidRPr="00790201">
        <w:rPr>
          <w:rFonts w:ascii="Times New Roman" w:eastAsia="Calibri" w:hAnsi="Times New Roman" w:cs="Times New Roman"/>
          <w:sz w:val="24"/>
          <w:szCs w:val="24"/>
          <w:lang w:val="ro-RO"/>
        </w:rPr>
        <w:t xml:space="preserve"> </w:t>
      </w:r>
      <w:r w:rsidR="006A2D87">
        <w:rPr>
          <w:rFonts w:ascii="Times New Roman" w:eastAsia="Calibri" w:hAnsi="Times New Roman" w:cs="Times New Roman"/>
          <w:sz w:val="24"/>
          <w:szCs w:val="24"/>
          <w:lang w:val="ro-RO"/>
        </w:rPr>
        <w:t>î</w:t>
      </w:r>
      <w:r w:rsidR="00AA1A2A" w:rsidRPr="006172F5">
        <w:rPr>
          <w:rFonts w:ascii="Times New Roman" w:eastAsia="Calibri" w:hAnsi="Times New Roman" w:cs="Times New Roman"/>
          <w:sz w:val="24"/>
          <w:szCs w:val="24"/>
          <w:lang w:val="ro-RO"/>
        </w:rPr>
        <w:t>n clauza de armonizare</w:t>
      </w:r>
      <w:r w:rsidR="002E1C57">
        <w:rPr>
          <w:rFonts w:ascii="Times New Roman" w:eastAsia="Calibri" w:hAnsi="Times New Roman" w:cs="Times New Roman"/>
          <w:sz w:val="24"/>
          <w:szCs w:val="24"/>
          <w:lang w:val="ro-RO"/>
        </w:rPr>
        <w:t>:</w:t>
      </w:r>
    </w:p>
    <w:p w14:paraId="05EB9C68" w14:textId="11AB0D40" w:rsidR="006172F5" w:rsidRPr="006172F5" w:rsidRDefault="006172F5" w:rsidP="002E1C57">
      <w:pPr>
        <w:widowControl w:val="0"/>
        <w:tabs>
          <w:tab w:val="left" w:pos="720"/>
        </w:tabs>
        <w:spacing w:after="0" w:line="240" w:lineRule="auto"/>
        <w:jc w:val="both"/>
        <w:rPr>
          <w:rFonts w:ascii="Times New Roman" w:eastAsia="Calibri" w:hAnsi="Times New Roman" w:cs="Times New Roman"/>
          <w:sz w:val="24"/>
          <w:szCs w:val="24"/>
          <w:lang w:val="ro-RO" w:eastAsia="ru-RU"/>
        </w:rPr>
      </w:pPr>
      <w:r w:rsidRPr="006172F5">
        <w:rPr>
          <w:rFonts w:ascii="Times New Roman" w:eastAsia="Calibri" w:hAnsi="Times New Roman" w:cs="Times New Roman"/>
          <w:sz w:val="24"/>
          <w:szCs w:val="24"/>
          <w:lang w:val="ro-RO"/>
        </w:rPr>
        <w:t>1.1.1.</w:t>
      </w:r>
      <w:r w:rsidR="00AA1A2A" w:rsidRPr="006172F5">
        <w:rPr>
          <w:rFonts w:ascii="Times New Roman" w:eastAsia="Calibri" w:hAnsi="Times New Roman" w:cs="Times New Roman"/>
          <w:sz w:val="24"/>
          <w:szCs w:val="24"/>
          <w:lang w:val="ro-RO"/>
        </w:rPr>
        <w:t xml:space="preserve"> se exclud</w:t>
      </w:r>
      <w:r w:rsidRPr="006172F5">
        <w:rPr>
          <w:rFonts w:ascii="Times New Roman" w:eastAsia="Calibri" w:hAnsi="Times New Roman" w:cs="Times New Roman"/>
          <w:sz w:val="24"/>
          <w:szCs w:val="24"/>
          <w:lang w:val="ro-RO"/>
        </w:rPr>
        <w:t xml:space="preserve"> următoarele</w:t>
      </w:r>
      <w:r w:rsidR="00AA1A2A" w:rsidRPr="006172F5">
        <w:rPr>
          <w:rFonts w:ascii="Times New Roman" w:eastAsia="Calibri" w:hAnsi="Times New Roman" w:cs="Times New Roman"/>
          <w:sz w:val="24"/>
          <w:szCs w:val="24"/>
          <w:lang w:val="ro-RO"/>
        </w:rPr>
        <w:t xml:space="preserve"> text</w:t>
      </w:r>
      <w:r w:rsidRPr="006172F5">
        <w:rPr>
          <w:rFonts w:ascii="Times New Roman" w:eastAsia="Calibri" w:hAnsi="Times New Roman" w:cs="Times New Roman"/>
          <w:sz w:val="24"/>
          <w:szCs w:val="24"/>
          <w:lang w:val="ro-RO"/>
        </w:rPr>
        <w:t>e:</w:t>
      </w:r>
    </w:p>
    <w:p w14:paraId="627D1482" w14:textId="2D8E515C" w:rsidR="00790201" w:rsidRDefault="00AA1A2A" w:rsidP="002E1C57">
      <w:pPr>
        <w:pStyle w:val="ListParagraph"/>
        <w:widowControl w:val="0"/>
        <w:tabs>
          <w:tab w:val="left" w:pos="720"/>
        </w:tabs>
        <w:spacing w:after="0" w:line="240" w:lineRule="auto"/>
        <w:ind w:left="360"/>
        <w:jc w:val="both"/>
        <w:rPr>
          <w:rFonts w:ascii="Times New Roman" w:eastAsia="Calibri" w:hAnsi="Times New Roman" w:cs="Times New Roman"/>
          <w:sz w:val="24"/>
          <w:szCs w:val="24"/>
          <w:lang w:val="ro-RO"/>
        </w:rPr>
      </w:pPr>
      <w:r w:rsidRPr="006172F5">
        <w:rPr>
          <w:rFonts w:ascii="Times New Roman" w:eastAsia="Calibri" w:hAnsi="Times New Roman" w:cs="Times New Roman"/>
          <w:sz w:val="24"/>
          <w:szCs w:val="24"/>
          <w:lang w:val="ro-RO"/>
        </w:rPr>
        <w:t xml:space="preserve"> „</w:t>
      </w:r>
      <w:r w:rsidR="005C0E21" w:rsidRPr="006172F5">
        <w:rPr>
          <w:rFonts w:ascii="Times New Roman" w:eastAsia="Calibri" w:hAnsi="Times New Roman" w:cs="Times New Roman"/>
          <w:sz w:val="24"/>
          <w:szCs w:val="24"/>
          <w:lang w:val="ro-RO"/>
        </w:rPr>
        <w:t>C 01.00, C 02.00, C 03.00, C 04.00, C 07.00</w:t>
      </w:r>
      <w:r w:rsidRPr="006172F5">
        <w:rPr>
          <w:rFonts w:ascii="Times New Roman" w:eastAsia="Calibri" w:hAnsi="Times New Roman" w:cs="Times New Roman"/>
          <w:sz w:val="24"/>
          <w:szCs w:val="24"/>
          <w:lang w:val="ro-RO"/>
        </w:rPr>
        <w:t>”</w:t>
      </w:r>
      <w:r w:rsidR="006172F5" w:rsidRPr="006172F5">
        <w:rPr>
          <w:rFonts w:ascii="Times New Roman" w:eastAsia="Calibri" w:hAnsi="Times New Roman" w:cs="Times New Roman"/>
          <w:sz w:val="24"/>
          <w:szCs w:val="24"/>
          <w:lang w:val="ro-RO"/>
        </w:rPr>
        <w:t xml:space="preserve"> și</w:t>
      </w:r>
      <w:r w:rsidR="006172F5">
        <w:rPr>
          <w:rFonts w:ascii="Times New Roman" w:eastAsia="Calibri" w:hAnsi="Times New Roman" w:cs="Times New Roman"/>
          <w:sz w:val="24"/>
          <w:szCs w:val="24"/>
          <w:lang w:val="ro-RO"/>
        </w:rPr>
        <w:t xml:space="preserve"> </w:t>
      </w:r>
      <w:r w:rsidRPr="006172F5">
        <w:rPr>
          <w:rFonts w:ascii="Times New Roman" w:eastAsia="Calibri" w:hAnsi="Times New Roman" w:cs="Times New Roman"/>
          <w:sz w:val="24"/>
          <w:szCs w:val="24"/>
          <w:lang w:val="ro-RO"/>
        </w:rPr>
        <w:t>„</w:t>
      </w:r>
      <w:r w:rsidR="006172F5" w:rsidRPr="006172F5">
        <w:rPr>
          <w:rFonts w:ascii="Times New Roman" w:eastAsia="Calibri" w:hAnsi="Times New Roman" w:cs="Times New Roman"/>
          <w:sz w:val="24"/>
          <w:szCs w:val="24"/>
        </w:rPr>
        <w:t xml:space="preserve">pct.1.1, subpct.10 (a)-(d) </w:t>
      </w:r>
      <w:proofErr w:type="spellStart"/>
      <w:r w:rsidR="006172F5" w:rsidRPr="006172F5">
        <w:rPr>
          <w:rFonts w:ascii="Times New Roman" w:eastAsia="Calibri" w:hAnsi="Times New Roman" w:cs="Times New Roman"/>
          <w:sz w:val="24"/>
          <w:szCs w:val="24"/>
        </w:rPr>
        <w:t>şi</w:t>
      </w:r>
      <w:proofErr w:type="spellEnd"/>
      <w:r w:rsidR="006172F5" w:rsidRPr="006172F5">
        <w:rPr>
          <w:rFonts w:ascii="Times New Roman" w:eastAsia="Calibri" w:hAnsi="Times New Roman" w:cs="Times New Roman"/>
          <w:sz w:val="24"/>
          <w:szCs w:val="24"/>
        </w:rPr>
        <w:t xml:space="preserve"> subpct.11, pct.1.2, pct.1.3, pct.1.4, pct.1.5, pct.3.1 </w:t>
      </w:r>
      <w:proofErr w:type="spellStart"/>
      <w:r w:rsidR="006172F5" w:rsidRPr="006172F5">
        <w:rPr>
          <w:rFonts w:ascii="Times New Roman" w:eastAsia="Calibri" w:hAnsi="Times New Roman" w:cs="Times New Roman"/>
          <w:sz w:val="24"/>
          <w:szCs w:val="24"/>
        </w:rPr>
        <w:t>şi</w:t>
      </w:r>
      <w:proofErr w:type="spellEnd"/>
      <w:r w:rsidR="006172F5" w:rsidRPr="006172F5">
        <w:rPr>
          <w:rFonts w:ascii="Times New Roman" w:eastAsia="Calibri" w:hAnsi="Times New Roman" w:cs="Times New Roman"/>
          <w:sz w:val="24"/>
          <w:szCs w:val="24"/>
        </w:rPr>
        <w:t xml:space="preserve"> pct.3.2 subpct.3.2.1-3.2.3, pct.3.2.5,”</w:t>
      </w:r>
      <w:r w:rsidR="002E1C57">
        <w:rPr>
          <w:rFonts w:ascii="Times New Roman" w:eastAsia="Calibri" w:hAnsi="Times New Roman" w:cs="Times New Roman"/>
          <w:sz w:val="24"/>
          <w:szCs w:val="24"/>
          <w:lang w:val="ro-RO"/>
        </w:rPr>
        <w:t>;</w:t>
      </w:r>
      <w:r w:rsidRPr="006172F5">
        <w:rPr>
          <w:rFonts w:ascii="Times New Roman" w:eastAsia="Calibri" w:hAnsi="Times New Roman" w:cs="Times New Roman"/>
          <w:sz w:val="24"/>
          <w:szCs w:val="24"/>
          <w:lang w:val="ro-RO"/>
        </w:rPr>
        <w:t xml:space="preserve"> </w:t>
      </w:r>
    </w:p>
    <w:p w14:paraId="3A64E6A4" w14:textId="16E6DB77" w:rsidR="006172F5" w:rsidRDefault="006172F5" w:rsidP="002E1C57">
      <w:pPr>
        <w:widowControl w:val="0"/>
        <w:tabs>
          <w:tab w:val="left" w:pos="720"/>
        </w:tabs>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1.1.2. </w:t>
      </w:r>
      <w:r w:rsidR="00C705FE">
        <w:rPr>
          <w:rFonts w:ascii="Times New Roman" w:eastAsia="Calibri" w:hAnsi="Times New Roman" w:cs="Times New Roman"/>
          <w:sz w:val="24"/>
          <w:szCs w:val="24"/>
          <w:lang w:val="ro-RO" w:eastAsia="ru-RU"/>
        </w:rPr>
        <w:t xml:space="preserve"> text</w:t>
      </w:r>
      <w:r w:rsidR="00EA59DC">
        <w:rPr>
          <w:rFonts w:ascii="Times New Roman" w:eastAsia="Calibri" w:hAnsi="Times New Roman" w:cs="Times New Roman"/>
          <w:sz w:val="24"/>
          <w:szCs w:val="24"/>
          <w:lang w:val="ro-RO" w:eastAsia="ru-RU"/>
        </w:rPr>
        <w:t>ul:</w:t>
      </w:r>
      <w:r w:rsidR="00C705FE">
        <w:rPr>
          <w:rFonts w:ascii="Times New Roman" w:eastAsia="Calibri" w:hAnsi="Times New Roman" w:cs="Times New Roman"/>
          <w:sz w:val="24"/>
          <w:szCs w:val="24"/>
          <w:lang w:val="ro-RO" w:eastAsia="ru-RU"/>
        </w:rPr>
        <w:t xml:space="preserve"> „</w:t>
      </w:r>
      <w:r w:rsidR="002607DE">
        <w:rPr>
          <w:rFonts w:ascii="Times New Roman" w:eastAsia="Calibri" w:hAnsi="Times New Roman" w:cs="Times New Roman"/>
          <w:sz w:val="24"/>
          <w:szCs w:val="24"/>
          <w:lang w:val="ro-RO" w:eastAsia="ru-RU"/>
        </w:rPr>
        <w:t xml:space="preserve">formularul raportului C25.01 </w:t>
      </w:r>
      <w:r w:rsidR="00C705FE" w:rsidRPr="000E1749">
        <w:rPr>
          <w:rFonts w:ascii="Times New Roman" w:eastAsia="Calibri" w:hAnsi="Times New Roman" w:cs="Times New Roman"/>
          <w:sz w:val="24"/>
          <w:szCs w:val="24"/>
          <w:lang w:eastAsia="ru-RU"/>
        </w:rPr>
        <w:t xml:space="preserve">din anexa I </w:t>
      </w:r>
      <w:r w:rsidR="00DE24BD">
        <w:rPr>
          <w:rFonts w:ascii="Times New Roman" w:eastAsia="Calibri" w:hAnsi="Times New Roman" w:cs="Times New Roman"/>
          <w:sz w:val="24"/>
          <w:szCs w:val="24"/>
          <w:lang w:eastAsia="ru-RU"/>
        </w:rPr>
        <w:t xml:space="preserve">la </w:t>
      </w:r>
      <w:r w:rsidR="00C705FE" w:rsidRPr="000E1749">
        <w:rPr>
          <w:rFonts w:ascii="Times New Roman" w:eastAsia="Calibri" w:hAnsi="Times New Roman" w:cs="Times New Roman"/>
          <w:sz w:val="24"/>
          <w:szCs w:val="24"/>
          <w:lang w:eastAsia="ru-RU"/>
        </w:rPr>
        <w:t>Regulamentul de punere în aplicare (UE) 2024/3117</w:t>
      </w:r>
      <w:r w:rsidR="00C705FE">
        <w:rPr>
          <w:rFonts w:ascii="Times New Roman" w:eastAsia="Calibri" w:hAnsi="Times New Roman" w:cs="Times New Roman"/>
          <w:sz w:val="24"/>
          <w:szCs w:val="24"/>
          <w:lang w:val="ro-RO" w:eastAsia="ru-RU"/>
        </w:rPr>
        <w:t xml:space="preserve">” </w:t>
      </w:r>
      <w:r w:rsidR="002607DE">
        <w:rPr>
          <w:rFonts w:ascii="Times New Roman" w:eastAsia="Calibri" w:hAnsi="Times New Roman" w:cs="Times New Roman"/>
          <w:sz w:val="24"/>
          <w:szCs w:val="24"/>
          <w:lang w:val="ro-RO" w:eastAsia="ru-RU"/>
        </w:rPr>
        <w:t>va avea</w:t>
      </w:r>
      <w:r>
        <w:rPr>
          <w:rFonts w:ascii="Times New Roman" w:eastAsia="Calibri" w:hAnsi="Times New Roman" w:cs="Times New Roman"/>
          <w:sz w:val="24"/>
          <w:szCs w:val="24"/>
          <w:lang w:val="ro-RO" w:eastAsia="ru-RU"/>
        </w:rPr>
        <w:t xml:space="preserve"> următorul cuprins:</w:t>
      </w:r>
    </w:p>
    <w:p w14:paraId="44233BC3" w14:textId="52DB5E0F" w:rsidR="006172F5" w:rsidRPr="006172F5" w:rsidRDefault="002E1C57" w:rsidP="002E1C57">
      <w:pPr>
        <w:widowControl w:val="0"/>
        <w:tabs>
          <w:tab w:val="left" w:pos="720"/>
        </w:tabs>
        <w:spacing w:after="0" w:line="240" w:lineRule="auto"/>
        <w:jc w:val="both"/>
        <w:rPr>
          <w:rFonts w:ascii="Times New Roman" w:eastAsia="Calibri" w:hAnsi="Times New Roman" w:cs="Times New Roman"/>
          <w:sz w:val="24"/>
          <w:szCs w:val="24"/>
          <w:lang w:val="ro-RO" w:eastAsia="ru-RU"/>
        </w:rPr>
      </w:pPr>
      <w:r w:rsidRPr="002E1C57">
        <w:rPr>
          <w:rFonts w:ascii="Times New Roman" w:eastAsia="Calibri" w:hAnsi="Times New Roman" w:cs="Times New Roman"/>
          <w:sz w:val="24"/>
          <w:szCs w:val="24"/>
          <w:lang w:eastAsia="ru-RU"/>
        </w:rPr>
        <w:t>„formul</w:t>
      </w:r>
      <w:r>
        <w:rPr>
          <w:rFonts w:ascii="Times New Roman" w:eastAsia="Calibri" w:hAnsi="Times New Roman" w:cs="Times New Roman"/>
          <w:sz w:val="24"/>
          <w:szCs w:val="24"/>
          <w:lang w:eastAsia="ru-RU"/>
        </w:rPr>
        <w:t>arele rapoartelor</w:t>
      </w:r>
      <w:r w:rsidRPr="002E1C57">
        <w:rPr>
          <w:rFonts w:ascii="Times New Roman" w:eastAsia="Calibri" w:hAnsi="Times New Roman" w:cs="Times New Roman"/>
          <w:sz w:val="24"/>
          <w:szCs w:val="24"/>
          <w:lang w:eastAsia="ru-RU"/>
        </w:rPr>
        <w:t xml:space="preserve"> C</w:t>
      </w:r>
      <w:r>
        <w:rPr>
          <w:rFonts w:ascii="Times New Roman" w:eastAsia="Calibri" w:hAnsi="Times New Roman" w:cs="Times New Roman"/>
          <w:sz w:val="24"/>
          <w:szCs w:val="24"/>
          <w:lang w:eastAsia="ru-RU"/>
        </w:rPr>
        <w:t xml:space="preserve"> </w:t>
      </w:r>
      <w:r w:rsidRPr="002E1C57">
        <w:rPr>
          <w:rFonts w:ascii="Times New Roman" w:eastAsia="Calibri" w:hAnsi="Times New Roman" w:cs="Times New Roman"/>
          <w:sz w:val="24"/>
          <w:szCs w:val="24"/>
          <w:lang w:eastAsia="ru-RU"/>
        </w:rPr>
        <w:t>01</w:t>
      </w:r>
      <w:r>
        <w:rPr>
          <w:rFonts w:ascii="Times New Roman" w:eastAsia="Calibri" w:hAnsi="Times New Roman" w:cs="Times New Roman"/>
          <w:sz w:val="24"/>
          <w:szCs w:val="24"/>
          <w:lang w:eastAsia="ru-RU"/>
        </w:rPr>
        <w:t>.00, C 02.00, C 03.00, C 04.00, C 07.00</w:t>
      </w:r>
      <w:r w:rsidR="002607DE">
        <w:rPr>
          <w:rFonts w:ascii="Times New Roman" w:eastAsia="Calibri" w:hAnsi="Times New Roman" w:cs="Times New Roman"/>
          <w:sz w:val="24"/>
          <w:szCs w:val="24"/>
          <w:lang w:eastAsia="ru-RU"/>
        </w:rPr>
        <w:t xml:space="preserve">, C25.01 </w:t>
      </w:r>
      <w:r w:rsidR="002607DE" w:rsidRPr="000E1749">
        <w:rPr>
          <w:rFonts w:ascii="Times New Roman" w:eastAsia="Calibri" w:hAnsi="Times New Roman" w:cs="Times New Roman"/>
          <w:sz w:val="24"/>
          <w:szCs w:val="24"/>
          <w:lang w:eastAsia="ru-RU"/>
        </w:rPr>
        <w:t xml:space="preserve">din anexa I </w:t>
      </w:r>
      <w:r w:rsidR="00DE24BD">
        <w:rPr>
          <w:rFonts w:ascii="Times New Roman" w:eastAsia="Calibri" w:hAnsi="Times New Roman" w:cs="Times New Roman"/>
          <w:sz w:val="24"/>
          <w:szCs w:val="24"/>
          <w:lang w:eastAsia="ru-RU"/>
        </w:rPr>
        <w:t xml:space="preserve">la </w:t>
      </w:r>
      <w:r w:rsidR="002607DE" w:rsidRPr="000E1749">
        <w:rPr>
          <w:rFonts w:ascii="Times New Roman" w:eastAsia="Calibri" w:hAnsi="Times New Roman" w:cs="Times New Roman"/>
          <w:sz w:val="24"/>
          <w:szCs w:val="24"/>
          <w:lang w:eastAsia="ru-RU"/>
        </w:rPr>
        <w:t>Regulamentul de punere în aplicare (UE) 2024/3117</w:t>
      </w:r>
      <w:r w:rsidR="00C705FE">
        <w:rPr>
          <w:rFonts w:ascii="Times New Roman" w:eastAsia="Calibri" w:hAnsi="Times New Roman" w:cs="Times New Roman"/>
          <w:sz w:val="24"/>
          <w:szCs w:val="24"/>
          <w:lang w:eastAsia="ru-RU"/>
        </w:rPr>
        <w:t>”.</w:t>
      </w:r>
      <w:r w:rsidRPr="002E1C57">
        <w:rPr>
          <w:rFonts w:ascii="Times New Roman" w:eastAsia="Calibri" w:hAnsi="Times New Roman" w:cs="Times New Roman"/>
          <w:sz w:val="24"/>
          <w:szCs w:val="24"/>
          <w:lang w:eastAsia="ru-RU"/>
        </w:rPr>
        <w:t xml:space="preserve"> </w:t>
      </w:r>
    </w:p>
    <w:p w14:paraId="31B68119" w14:textId="0382D231" w:rsidR="003C6263" w:rsidRPr="00A42F52" w:rsidRDefault="00790201" w:rsidP="002E1C57">
      <w:pPr>
        <w:widowControl w:val="0"/>
        <w:tabs>
          <w:tab w:val="left" w:pos="720"/>
        </w:tabs>
        <w:spacing w:after="0" w:line="240" w:lineRule="auto"/>
        <w:jc w:val="both"/>
        <w:rPr>
          <w:rFonts w:ascii="Times New Roman" w:eastAsia="Calibri" w:hAnsi="Times New Roman" w:cs="Times New Roman"/>
          <w:sz w:val="24"/>
          <w:szCs w:val="24"/>
          <w:lang w:val="ro-RO" w:eastAsia="ru-RU"/>
        </w:rPr>
      </w:pPr>
      <w:r w:rsidRPr="00790201">
        <w:rPr>
          <w:rFonts w:ascii="Times New Roman" w:eastAsia="Calibri" w:hAnsi="Times New Roman" w:cs="Times New Roman"/>
          <w:sz w:val="24"/>
          <w:szCs w:val="24"/>
          <w:lang w:val="ro-RO" w:eastAsia="ru-RU"/>
        </w:rPr>
        <w:t xml:space="preserve"> </w:t>
      </w:r>
      <w:bookmarkStart w:id="1" w:name="_Hlk195789365"/>
    </w:p>
    <w:bookmarkEnd w:id="1"/>
    <w:p w14:paraId="4C15714B" w14:textId="06963442" w:rsidR="00B21417" w:rsidRPr="000E1749" w:rsidRDefault="003C6263" w:rsidP="000E1749">
      <w:pPr>
        <w:pStyle w:val="ListParagraph"/>
        <w:numPr>
          <w:ilvl w:val="1"/>
          <w:numId w:val="8"/>
        </w:numPr>
        <w:tabs>
          <w:tab w:val="left" w:pos="720"/>
        </w:tabs>
        <w:spacing w:before="240" w:after="0"/>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w:t>
      </w:r>
      <w:r w:rsidR="006A68F2" w:rsidRPr="000E1749">
        <w:rPr>
          <w:rFonts w:ascii="Times New Roman" w:eastAsia="Calibri" w:hAnsi="Times New Roman" w:cs="Times New Roman"/>
          <w:sz w:val="24"/>
          <w:szCs w:val="24"/>
        </w:rPr>
        <w:t>A</w:t>
      </w:r>
      <w:r w:rsidR="00B21417" w:rsidRPr="000E1749">
        <w:rPr>
          <w:rFonts w:ascii="Times New Roman" w:eastAsia="Calibri" w:hAnsi="Times New Roman" w:cs="Times New Roman"/>
          <w:sz w:val="24"/>
          <w:szCs w:val="24"/>
        </w:rPr>
        <w:t xml:space="preserve">nexa </w:t>
      </w:r>
      <w:r w:rsidR="006A68F2" w:rsidRPr="000E1749">
        <w:rPr>
          <w:rFonts w:ascii="Times New Roman" w:eastAsia="Calibri" w:hAnsi="Times New Roman" w:cs="Times New Roman"/>
          <w:sz w:val="24"/>
          <w:szCs w:val="24"/>
        </w:rPr>
        <w:t>nr.</w:t>
      </w:r>
      <w:r w:rsidR="00B21417" w:rsidRPr="000E1749">
        <w:rPr>
          <w:rFonts w:ascii="Times New Roman" w:eastAsia="Times New Roman" w:hAnsi="Times New Roman" w:cs="Times New Roman"/>
          <w:sz w:val="24"/>
          <w:szCs w:val="24"/>
          <w:lang w:eastAsia="ro-MD"/>
        </w:rPr>
        <w:t>1</w:t>
      </w:r>
      <w:r w:rsidR="006A68F2" w:rsidRPr="000E1749">
        <w:rPr>
          <w:rFonts w:ascii="Times New Roman" w:eastAsia="Times New Roman" w:hAnsi="Times New Roman" w:cs="Times New Roman"/>
          <w:sz w:val="24"/>
          <w:szCs w:val="24"/>
          <w:lang w:eastAsia="ro-MD"/>
        </w:rPr>
        <w:t xml:space="preserve"> </w:t>
      </w:r>
      <w:r w:rsidR="00C04192">
        <w:rPr>
          <w:rFonts w:ascii="Times New Roman" w:eastAsia="Times New Roman" w:hAnsi="Times New Roman" w:cs="Times New Roman"/>
          <w:sz w:val="24"/>
          <w:szCs w:val="24"/>
          <w:lang w:eastAsia="ro-MD"/>
        </w:rPr>
        <w:t>va avea următorul cuprins</w:t>
      </w:r>
      <w:r w:rsidR="00B21417" w:rsidRPr="000E1749">
        <w:rPr>
          <w:rFonts w:ascii="Times New Roman" w:eastAsia="Calibri" w:hAnsi="Times New Roman" w:cs="Times New Roman"/>
          <w:sz w:val="24"/>
          <w:szCs w:val="24"/>
        </w:rPr>
        <w:t>:</w:t>
      </w:r>
    </w:p>
    <w:p w14:paraId="6DA839F6" w14:textId="77777777" w:rsidR="00B21417" w:rsidRPr="002F1431" w:rsidRDefault="00B21417" w:rsidP="00B21417">
      <w:pPr>
        <w:spacing w:after="0" w:line="240" w:lineRule="auto"/>
        <w:jc w:val="right"/>
        <w:rPr>
          <w:rFonts w:ascii="Times New Roman" w:eastAsia="Times New Roman" w:hAnsi="Times New Roman" w:cs="Times New Roman"/>
          <w:sz w:val="24"/>
          <w:szCs w:val="24"/>
          <w:lang w:eastAsia="ro-MD"/>
        </w:rPr>
      </w:pPr>
    </w:p>
    <w:p w14:paraId="69C48BE6" w14:textId="77777777" w:rsidR="00B21417" w:rsidRPr="002F1431" w:rsidRDefault="00B21417" w:rsidP="00B21417">
      <w:pPr>
        <w:spacing w:after="0" w:line="240" w:lineRule="auto"/>
        <w:jc w:val="right"/>
        <w:rPr>
          <w:rFonts w:ascii="Times New Roman" w:eastAsia="Times New Roman" w:hAnsi="Times New Roman" w:cs="Times New Roman"/>
          <w:sz w:val="24"/>
          <w:szCs w:val="24"/>
          <w:lang w:eastAsia="ro-MD"/>
        </w:rPr>
      </w:pPr>
    </w:p>
    <w:p w14:paraId="0793AFC0" w14:textId="188E749D" w:rsidR="00A80C33" w:rsidRPr="00A80C33" w:rsidRDefault="00A80C33" w:rsidP="00A80C33">
      <w:pPr>
        <w:pStyle w:val="rg"/>
        <w:spacing w:before="0" w:beforeAutospacing="0" w:after="0" w:afterAutospacing="0"/>
        <w:jc w:val="right"/>
      </w:pPr>
      <w:r w:rsidRPr="00A80C33">
        <w:t>Anexa 1</w:t>
      </w:r>
    </w:p>
    <w:p w14:paraId="47CA0E8C" w14:textId="77777777" w:rsidR="00A80C33" w:rsidRPr="00A80C33" w:rsidRDefault="00A80C33" w:rsidP="00A80C33">
      <w:pPr>
        <w:pStyle w:val="rg"/>
        <w:spacing w:before="0" w:beforeAutospacing="0" w:after="0" w:afterAutospacing="0"/>
        <w:jc w:val="right"/>
      </w:pPr>
      <w:r w:rsidRPr="00A80C33">
        <w:t xml:space="preserve">la </w:t>
      </w:r>
      <w:proofErr w:type="spellStart"/>
      <w:r w:rsidRPr="00A80C33">
        <w:t>Instrucţiunea</w:t>
      </w:r>
      <w:proofErr w:type="spellEnd"/>
      <w:r w:rsidRPr="00A80C33">
        <w:t xml:space="preserve"> cu privire la prezentarea</w:t>
      </w:r>
    </w:p>
    <w:p w14:paraId="2D9CFABC" w14:textId="77777777" w:rsidR="00A80C33" w:rsidRPr="00A80C33" w:rsidRDefault="00A80C33" w:rsidP="00A80C33">
      <w:pPr>
        <w:pStyle w:val="rg"/>
        <w:spacing w:before="0" w:beforeAutospacing="0" w:after="0" w:afterAutospacing="0"/>
        <w:jc w:val="right"/>
      </w:pPr>
      <w:r w:rsidRPr="00A80C33">
        <w:t>de către bănci a rapoartelor COREP</w:t>
      </w:r>
    </w:p>
    <w:p w14:paraId="7A4BCB05" w14:textId="77777777" w:rsidR="00A80C33" w:rsidRDefault="00A80C33" w:rsidP="00A80C33">
      <w:pPr>
        <w:pStyle w:val="rg"/>
        <w:spacing w:before="0" w:beforeAutospacing="0" w:after="0" w:afterAutospacing="0"/>
        <w:jc w:val="right"/>
      </w:pPr>
      <w:r w:rsidRPr="00A80C33">
        <w:lastRenderedPageBreak/>
        <w:t>în scopuri de supraveghere</w:t>
      </w:r>
    </w:p>
    <w:p w14:paraId="269ACFA1" w14:textId="77777777" w:rsidR="0015486B" w:rsidRPr="0063005B" w:rsidRDefault="0015486B" w:rsidP="0063005B">
      <w:pPr>
        <w:rPr>
          <w:rFonts w:ascii="Times New Roman" w:hAnsi="Times New Roman" w:cs="Times New Roman"/>
          <w:sz w:val="24"/>
          <w:szCs w:val="24"/>
        </w:rPr>
      </w:pPr>
    </w:p>
    <w:p w14:paraId="2C655A99" w14:textId="1CD57E33" w:rsidR="00A80C33" w:rsidRPr="0063005B" w:rsidRDefault="00A80C33" w:rsidP="0063005B">
      <w:pPr>
        <w:jc w:val="center"/>
        <w:rPr>
          <w:rFonts w:ascii="Times New Roman" w:eastAsia="Times New Roman" w:hAnsi="Times New Roman" w:cs="Times New Roman"/>
          <w:b/>
          <w:bCs/>
          <w:kern w:val="0"/>
          <w:sz w:val="24"/>
          <w:szCs w:val="24"/>
          <w:lang w:val="ro-RO" w:eastAsia="de-DE"/>
          <w14:ligatures w14:val="none"/>
        </w:rPr>
      </w:pPr>
      <w:r w:rsidRPr="0063005B">
        <w:rPr>
          <w:rFonts w:ascii="Times New Roman" w:eastAsia="Times New Roman" w:hAnsi="Times New Roman" w:cs="Times New Roman"/>
          <w:b/>
          <w:bCs/>
          <w:kern w:val="0"/>
          <w:sz w:val="24"/>
          <w:szCs w:val="24"/>
          <w:lang w:val="ro-RO" w:eastAsia="de-DE"/>
          <w14:ligatures w14:val="none"/>
        </w:rPr>
        <w:t>Prezentarea generală a adecvării capitalului („CA”)</w:t>
      </w:r>
    </w:p>
    <w:p w14:paraId="06C232CD" w14:textId="48CF688E" w:rsidR="00A80C33" w:rsidRPr="0063005B" w:rsidRDefault="00A80C33" w:rsidP="0063005B">
      <w:pPr>
        <w:rPr>
          <w:rFonts w:ascii="Times New Roman" w:hAnsi="Times New Roman" w:cs="Times New Roman"/>
          <w:sz w:val="24"/>
          <w:szCs w:val="24"/>
        </w:rPr>
      </w:pPr>
      <w:r w:rsidRPr="0063005B">
        <w:rPr>
          <w:rFonts w:ascii="Times New Roman" w:hAnsi="Times New Roman" w:cs="Times New Roman"/>
          <w:sz w:val="24"/>
          <w:szCs w:val="24"/>
        </w:rPr>
        <w:t xml:space="preserve">1. Formularele CA conțin informații </w:t>
      </w:r>
      <w:r w:rsidRPr="000006E9">
        <w:rPr>
          <w:rFonts w:ascii="Times New Roman" w:hAnsi="Times New Roman" w:cs="Times New Roman"/>
          <w:sz w:val="24"/>
          <w:szCs w:val="24"/>
        </w:rPr>
        <w:t>privind numărătorii aferenți pilonului 1 (fonduri proprii, fonduri proprii de nivel 1, fonduri proprii de nivel 1 de bază)</w:t>
      </w:r>
      <w:r w:rsidR="00A517FD" w:rsidRPr="000006E9">
        <w:rPr>
          <w:rFonts w:ascii="Times New Roman" w:hAnsi="Times New Roman" w:cs="Times New Roman"/>
          <w:sz w:val="24"/>
          <w:szCs w:val="24"/>
        </w:rPr>
        <w:t xml:space="preserve"> și </w:t>
      </w:r>
      <w:r w:rsidRPr="000006E9">
        <w:rPr>
          <w:rFonts w:ascii="Times New Roman" w:hAnsi="Times New Roman" w:cs="Times New Roman"/>
          <w:sz w:val="24"/>
          <w:szCs w:val="24"/>
        </w:rPr>
        <w:t>numitorul (cerințele</w:t>
      </w:r>
      <w:r w:rsidRPr="0063005B">
        <w:rPr>
          <w:rFonts w:ascii="Times New Roman" w:hAnsi="Times New Roman" w:cs="Times New Roman"/>
          <w:sz w:val="24"/>
          <w:szCs w:val="24"/>
        </w:rPr>
        <w:t xml:space="preserve"> de fonduri proprii), după cum urmează: </w:t>
      </w:r>
    </w:p>
    <w:p w14:paraId="5A72A3DE" w14:textId="28CF85B5" w:rsidR="00356222" w:rsidRPr="0063005B" w:rsidRDefault="005838F7" w:rsidP="0063005B">
      <w:pPr>
        <w:rPr>
          <w:rFonts w:ascii="Times New Roman" w:hAnsi="Times New Roman" w:cs="Times New Roman"/>
          <w:sz w:val="24"/>
          <w:szCs w:val="24"/>
        </w:rPr>
      </w:pPr>
      <w:r w:rsidRPr="0063005B">
        <w:rPr>
          <w:rFonts w:ascii="Times New Roman" w:hAnsi="Times New Roman" w:cs="Times New Roman"/>
          <w:sz w:val="24"/>
          <w:szCs w:val="24"/>
        </w:rPr>
        <w:t>1.1.</w:t>
      </w:r>
      <w:r w:rsidR="00A80C33" w:rsidRPr="0063005B">
        <w:rPr>
          <w:rFonts w:ascii="Times New Roman" w:hAnsi="Times New Roman" w:cs="Times New Roman"/>
          <w:sz w:val="24"/>
          <w:szCs w:val="24"/>
        </w:rPr>
        <w:tab/>
        <w:t xml:space="preserve">formularul CA1 conține cuantumul fondurilor proprii ale </w:t>
      </w:r>
      <w:r w:rsidR="0000455D" w:rsidRPr="0063005B">
        <w:rPr>
          <w:rFonts w:ascii="Times New Roman" w:hAnsi="Times New Roman" w:cs="Times New Roman"/>
          <w:sz w:val="24"/>
          <w:szCs w:val="24"/>
        </w:rPr>
        <w:t>băncilor</w:t>
      </w:r>
      <w:r w:rsidR="00A80C33" w:rsidRPr="0063005B">
        <w:rPr>
          <w:rFonts w:ascii="Times New Roman" w:hAnsi="Times New Roman" w:cs="Times New Roman"/>
          <w:sz w:val="24"/>
          <w:szCs w:val="24"/>
        </w:rPr>
        <w:t xml:space="preserve">, defalcat pe elementele necesare pentru a obține respectivul cuantum. </w:t>
      </w:r>
    </w:p>
    <w:p w14:paraId="4EE30B1F" w14:textId="033A761C" w:rsidR="00356222" w:rsidRPr="0063005B" w:rsidRDefault="005838F7" w:rsidP="0063005B">
      <w:pPr>
        <w:rPr>
          <w:rFonts w:ascii="Times New Roman" w:hAnsi="Times New Roman" w:cs="Times New Roman"/>
          <w:sz w:val="24"/>
          <w:szCs w:val="24"/>
        </w:rPr>
      </w:pPr>
      <w:r w:rsidRPr="0063005B">
        <w:rPr>
          <w:rFonts w:ascii="Times New Roman" w:hAnsi="Times New Roman" w:cs="Times New Roman"/>
          <w:sz w:val="24"/>
          <w:szCs w:val="24"/>
        </w:rPr>
        <w:t>1.2.</w:t>
      </w:r>
      <w:r w:rsidR="00A80C33" w:rsidRPr="0063005B">
        <w:rPr>
          <w:rFonts w:ascii="Times New Roman" w:hAnsi="Times New Roman" w:cs="Times New Roman"/>
          <w:sz w:val="24"/>
          <w:szCs w:val="24"/>
        </w:rPr>
        <w:tab/>
        <w:t xml:space="preserve">formularul CA2 </w:t>
      </w:r>
      <w:r w:rsidR="00E6038E" w:rsidRPr="0063005B">
        <w:rPr>
          <w:rFonts w:ascii="Times New Roman" w:hAnsi="Times New Roman" w:cs="Times New Roman"/>
          <w:sz w:val="24"/>
          <w:szCs w:val="24"/>
        </w:rPr>
        <w:t xml:space="preserve">conține informații privind </w:t>
      </w:r>
      <w:r w:rsidR="00A80C33" w:rsidRPr="0063005B">
        <w:rPr>
          <w:rFonts w:ascii="Times New Roman" w:hAnsi="Times New Roman" w:cs="Times New Roman"/>
          <w:sz w:val="24"/>
          <w:szCs w:val="24"/>
        </w:rPr>
        <w:t>cuantumurile totale ale expunerilor la risc (</w:t>
      </w:r>
      <w:r w:rsidR="00A80C33" w:rsidRPr="0063005B">
        <w:rPr>
          <w:rFonts w:ascii="Times New Roman" w:hAnsi="Times New Roman" w:cs="Times New Roman"/>
          <w:i/>
          <w:iCs/>
          <w:sz w:val="24"/>
          <w:szCs w:val="24"/>
        </w:rPr>
        <w:t xml:space="preserve">total </w:t>
      </w:r>
      <w:proofErr w:type="spellStart"/>
      <w:r w:rsidR="00A80C33" w:rsidRPr="0063005B">
        <w:rPr>
          <w:rFonts w:ascii="Times New Roman" w:hAnsi="Times New Roman" w:cs="Times New Roman"/>
          <w:i/>
          <w:iCs/>
          <w:sz w:val="24"/>
          <w:szCs w:val="24"/>
        </w:rPr>
        <w:t>risk</w:t>
      </w:r>
      <w:proofErr w:type="spellEnd"/>
      <w:r w:rsidR="00A80C33" w:rsidRPr="0063005B">
        <w:rPr>
          <w:rFonts w:ascii="Times New Roman" w:hAnsi="Times New Roman" w:cs="Times New Roman"/>
          <w:i/>
          <w:iCs/>
          <w:sz w:val="24"/>
          <w:szCs w:val="24"/>
        </w:rPr>
        <w:t xml:space="preserve"> </w:t>
      </w:r>
      <w:proofErr w:type="spellStart"/>
      <w:r w:rsidR="00A80C33" w:rsidRPr="0063005B">
        <w:rPr>
          <w:rFonts w:ascii="Times New Roman" w:hAnsi="Times New Roman" w:cs="Times New Roman"/>
          <w:i/>
          <w:iCs/>
          <w:sz w:val="24"/>
          <w:szCs w:val="24"/>
        </w:rPr>
        <w:t>exposure</w:t>
      </w:r>
      <w:proofErr w:type="spellEnd"/>
      <w:r w:rsidR="00A80C33" w:rsidRPr="0063005B">
        <w:rPr>
          <w:rFonts w:ascii="Times New Roman" w:hAnsi="Times New Roman" w:cs="Times New Roman"/>
          <w:i/>
          <w:iCs/>
          <w:sz w:val="24"/>
          <w:szCs w:val="24"/>
        </w:rPr>
        <w:t xml:space="preserve"> </w:t>
      </w:r>
      <w:proofErr w:type="spellStart"/>
      <w:r w:rsidR="00A80C33" w:rsidRPr="0063005B">
        <w:rPr>
          <w:rFonts w:ascii="Times New Roman" w:hAnsi="Times New Roman" w:cs="Times New Roman"/>
          <w:i/>
          <w:iCs/>
          <w:sz w:val="24"/>
          <w:szCs w:val="24"/>
        </w:rPr>
        <w:t>amounts</w:t>
      </w:r>
      <w:proofErr w:type="spellEnd"/>
      <w:r w:rsidR="00A80C33" w:rsidRPr="0063005B">
        <w:rPr>
          <w:rFonts w:ascii="Times New Roman" w:hAnsi="Times New Roman" w:cs="Times New Roman"/>
          <w:sz w:val="24"/>
          <w:szCs w:val="24"/>
        </w:rPr>
        <w:t xml:space="preserve"> - TREA) cu aplicarea pragului minim, fără aplicarea pragului minim și cuantumurile totale standardizate ale expunerilor la risc (</w:t>
      </w:r>
      <w:proofErr w:type="spellStart"/>
      <w:r w:rsidR="00A80C33" w:rsidRPr="0063005B">
        <w:rPr>
          <w:rFonts w:ascii="Times New Roman" w:hAnsi="Times New Roman" w:cs="Times New Roman"/>
          <w:i/>
          <w:iCs/>
          <w:sz w:val="24"/>
          <w:szCs w:val="24"/>
        </w:rPr>
        <w:t>standardised</w:t>
      </w:r>
      <w:proofErr w:type="spellEnd"/>
      <w:r w:rsidR="00A80C33" w:rsidRPr="0063005B">
        <w:rPr>
          <w:rFonts w:ascii="Times New Roman" w:hAnsi="Times New Roman" w:cs="Times New Roman"/>
          <w:i/>
          <w:iCs/>
          <w:sz w:val="24"/>
          <w:szCs w:val="24"/>
        </w:rPr>
        <w:t xml:space="preserve"> total </w:t>
      </w:r>
      <w:proofErr w:type="spellStart"/>
      <w:r w:rsidR="00A80C33" w:rsidRPr="0063005B">
        <w:rPr>
          <w:rFonts w:ascii="Times New Roman" w:hAnsi="Times New Roman" w:cs="Times New Roman"/>
          <w:i/>
          <w:iCs/>
          <w:sz w:val="24"/>
          <w:szCs w:val="24"/>
        </w:rPr>
        <w:t>risk</w:t>
      </w:r>
      <w:proofErr w:type="spellEnd"/>
      <w:r w:rsidR="00A80C33" w:rsidRPr="0063005B">
        <w:rPr>
          <w:rFonts w:ascii="Times New Roman" w:hAnsi="Times New Roman" w:cs="Times New Roman"/>
          <w:i/>
          <w:iCs/>
          <w:sz w:val="24"/>
          <w:szCs w:val="24"/>
        </w:rPr>
        <w:t xml:space="preserve"> </w:t>
      </w:r>
      <w:proofErr w:type="spellStart"/>
      <w:r w:rsidR="00A80C33" w:rsidRPr="0063005B">
        <w:rPr>
          <w:rFonts w:ascii="Times New Roman" w:hAnsi="Times New Roman" w:cs="Times New Roman"/>
          <w:i/>
          <w:iCs/>
          <w:sz w:val="24"/>
          <w:szCs w:val="24"/>
        </w:rPr>
        <w:t>exposures</w:t>
      </w:r>
      <w:proofErr w:type="spellEnd"/>
      <w:r w:rsidR="00A80C33" w:rsidRPr="0063005B">
        <w:rPr>
          <w:rFonts w:ascii="Times New Roman" w:hAnsi="Times New Roman" w:cs="Times New Roman"/>
          <w:i/>
          <w:iCs/>
          <w:sz w:val="24"/>
          <w:szCs w:val="24"/>
        </w:rPr>
        <w:t xml:space="preserve"> </w:t>
      </w:r>
      <w:proofErr w:type="spellStart"/>
      <w:r w:rsidR="00A80C33" w:rsidRPr="0063005B">
        <w:rPr>
          <w:rFonts w:ascii="Times New Roman" w:hAnsi="Times New Roman" w:cs="Times New Roman"/>
          <w:i/>
          <w:iCs/>
          <w:sz w:val="24"/>
          <w:szCs w:val="24"/>
        </w:rPr>
        <w:t>amounts</w:t>
      </w:r>
      <w:proofErr w:type="spellEnd"/>
      <w:r w:rsidR="00A80C33" w:rsidRPr="0063005B">
        <w:rPr>
          <w:rFonts w:ascii="Times New Roman" w:hAnsi="Times New Roman" w:cs="Times New Roman"/>
          <w:sz w:val="24"/>
          <w:szCs w:val="24"/>
        </w:rPr>
        <w:t xml:space="preserve"> - S-TREA), definite la </w:t>
      </w:r>
      <w:r w:rsidR="00CD04B5" w:rsidRPr="0063005B">
        <w:rPr>
          <w:rFonts w:ascii="Times New Roman" w:hAnsi="Times New Roman" w:cs="Times New Roman"/>
          <w:sz w:val="24"/>
          <w:szCs w:val="24"/>
        </w:rPr>
        <w:t xml:space="preserve">punctele </w:t>
      </w:r>
      <w:r w:rsidRPr="0063005B">
        <w:rPr>
          <w:rFonts w:ascii="Times New Roman" w:hAnsi="Times New Roman" w:cs="Times New Roman"/>
          <w:sz w:val="24"/>
          <w:szCs w:val="24"/>
        </w:rPr>
        <w:t>131</w:t>
      </w:r>
      <w:r w:rsidRPr="0063005B">
        <w:rPr>
          <w:rFonts w:ascii="Times New Roman" w:hAnsi="Times New Roman" w:cs="Times New Roman"/>
          <w:sz w:val="24"/>
          <w:szCs w:val="24"/>
          <w:vertAlign w:val="superscript"/>
        </w:rPr>
        <w:t>1</w:t>
      </w:r>
      <w:r w:rsidR="00CD04B5" w:rsidRPr="0063005B">
        <w:rPr>
          <w:rFonts w:ascii="Times New Roman" w:hAnsi="Times New Roman" w:cs="Times New Roman"/>
          <w:sz w:val="24"/>
          <w:szCs w:val="24"/>
        </w:rPr>
        <w:t>,</w:t>
      </w:r>
      <w:r w:rsidRPr="0063005B">
        <w:rPr>
          <w:rFonts w:ascii="Times New Roman" w:hAnsi="Times New Roman" w:cs="Times New Roman"/>
          <w:sz w:val="24"/>
          <w:szCs w:val="24"/>
        </w:rPr>
        <w:t xml:space="preserve"> 132</w:t>
      </w:r>
      <w:r w:rsidR="00CD04B5" w:rsidRPr="0063005B">
        <w:rPr>
          <w:rFonts w:ascii="Times New Roman" w:hAnsi="Times New Roman" w:cs="Times New Roman"/>
          <w:sz w:val="24"/>
          <w:szCs w:val="24"/>
        </w:rPr>
        <w:t xml:space="preserve"> și 132</w:t>
      </w:r>
      <w:r w:rsidR="00CD04B5" w:rsidRPr="0063005B">
        <w:rPr>
          <w:rFonts w:ascii="Times New Roman" w:hAnsi="Times New Roman" w:cs="Times New Roman"/>
          <w:sz w:val="24"/>
          <w:szCs w:val="24"/>
          <w:vertAlign w:val="superscript"/>
        </w:rPr>
        <w:t>1</w:t>
      </w:r>
      <w:r w:rsidR="00A80C33" w:rsidRPr="0063005B">
        <w:rPr>
          <w:rFonts w:ascii="Times New Roman" w:hAnsi="Times New Roman" w:cs="Times New Roman"/>
          <w:sz w:val="24"/>
          <w:szCs w:val="24"/>
        </w:rPr>
        <w:t xml:space="preserve"> din </w:t>
      </w:r>
      <w:r w:rsidR="00CD04B5" w:rsidRPr="0063005B">
        <w:rPr>
          <w:rFonts w:ascii="Times New Roman" w:hAnsi="Times New Roman" w:cs="Times New Roman"/>
          <w:sz w:val="24"/>
          <w:szCs w:val="24"/>
        </w:rPr>
        <w:t xml:space="preserve">Regulamentul cu privire la fondurile proprii ale băncilor </w:t>
      </w:r>
      <w:proofErr w:type="spellStart"/>
      <w:r w:rsidR="00CD04B5" w:rsidRPr="0063005B">
        <w:rPr>
          <w:rFonts w:ascii="Times New Roman" w:hAnsi="Times New Roman" w:cs="Times New Roman"/>
          <w:sz w:val="24"/>
          <w:szCs w:val="24"/>
        </w:rPr>
        <w:t>şi</w:t>
      </w:r>
      <w:proofErr w:type="spellEnd"/>
      <w:r w:rsidR="00CD04B5" w:rsidRPr="0063005B">
        <w:rPr>
          <w:rFonts w:ascii="Times New Roman" w:hAnsi="Times New Roman" w:cs="Times New Roman"/>
          <w:sz w:val="24"/>
          <w:szCs w:val="24"/>
        </w:rPr>
        <w:t xml:space="preserve"> </w:t>
      </w:r>
      <w:proofErr w:type="spellStart"/>
      <w:r w:rsidR="00CD04B5" w:rsidRPr="0063005B">
        <w:rPr>
          <w:rFonts w:ascii="Times New Roman" w:hAnsi="Times New Roman" w:cs="Times New Roman"/>
          <w:sz w:val="24"/>
          <w:szCs w:val="24"/>
        </w:rPr>
        <w:t>cerinţele</w:t>
      </w:r>
      <w:proofErr w:type="spellEnd"/>
      <w:r w:rsidR="00CD04B5" w:rsidRPr="0063005B">
        <w:rPr>
          <w:rFonts w:ascii="Times New Roman" w:hAnsi="Times New Roman" w:cs="Times New Roman"/>
          <w:sz w:val="24"/>
          <w:szCs w:val="24"/>
        </w:rPr>
        <w:t xml:space="preserve"> de capital</w:t>
      </w:r>
      <w:r w:rsidR="00447C7E">
        <w:rPr>
          <w:rFonts w:ascii="Times New Roman" w:hAnsi="Times New Roman" w:cs="Times New Roman"/>
          <w:sz w:val="24"/>
          <w:szCs w:val="24"/>
        </w:rPr>
        <w:t>,</w:t>
      </w:r>
      <w:r w:rsidR="00CD04B5" w:rsidRPr="0063005B">
        <w:rPr>
          <w:rFonts w:ascii="Times New Roman" w:hAnsi="Times New Roman" w:cs="Times New Roman"/>
          <w:sz w:val="24"/>
          <w:szCs w:val="24"/>
        </w:rPr>
        <w:t xml:space="preserve"> aprobat prin HCE al BNM nr. 109/2018 (în continuare – Regulamentul nr.109/2018)</w:t>
      </w:r>
      <w:r w:rsidR="00A80C33" w:rsidRPr="0063005B">
        <w:rPr>
          <w:rFonts w:ascii="Times New Roman" w:hAnsi="Times New Roman" w:cs="Times New Roman"/>
          <w:sz w:val="24"/>
          <w:szCs w:val="24"/>
        </w:rPr>
        <w:t>;</w:t>
      </w:r>
    </w:p>
    <w:p w14:paraId="12C2323A" w14:textId="134652B0" w:rsidR="00356222" w:rsidRPr="0063005B" w:rsidRDefault="00CD04B5" w:rsidP="0063005B">
      <w:pPr>
        <w:rPr>
          <w:rFonts w:ascii="Times New Roman" w:hAnsi="Times New Roman" w:cs="Times New Roman"/>
          <w:sz w:val="24"/>
          <w:szCs w:val="24"/>
        </w:rPr>
      </w:pPr>
      <w:r w:rsidRPr="0063005B">
        <w:rPr>
          <w:rFonts w:ascii="Times New Roman" w:hAnsi="Times New Roman" w:cs="Times New Roman"/>
          <w:sz w:val="24"/>
          <w:szCs w:val="24"/>
        </w:rPr>
        <w:t>1.3.</w:t>
      </w:r>
      <w:r w:rsidR="00A80C33" w:rsidRPr="0063005B">
        <w:rPr>
          <w:rFonts w:ascii="Times New Roman" w:hAnsi="Times New Roman" w:cs="Times New Roman"/>
          <w:sz w:val="24"/>
          <w:szCs w:val="24"/>
        </w:rPr>
        <w:tab/>
        <w:t xml:space="preserve">formularul CA3 conține ratele </w:t>
      </w:r>
      <w:r w:rsidR="00196767">
        <w:rPr>
          <w:rFonts w:ascii="Times New Roman" w:hAnsi="Times New Roman" w:cs="Times New Roman"/>
          <w:sz w:val="24"/>
          <w:szCs w:val="24"/>
        </w:rPr>
        <w:t>capitalului și nivelurile de capital</w:t>
      </w:r>
      <w:r w:rsidR="00A80C33" w:rsidRPr="0063005B">
        <w:rPr>
          <w:rFonts w:ascii="Times New Roman" w:hAnsi="Times New Roman" w:cs="Times New Roman"/>
          <w:sz w:val="24"/>
          <w:szCs w:val="24"/>
        </w:rPr>
        <w:t>, precum și alte date conexe;</w:t>
      </w:r>
    </w:p>
    <w:p w14:paraId="784D0714" w14:textId="3E6383F3" w:rsidR="00A80C33" w:rsidRPr="0063005B" w:rsidRDefault="00581426" w:rsidP="0063005B">
      <w:pPr>
        <w:rPr>
          <w:rFonts w:ascii="Times New Roman" w:hAnsi="Times New Roman" w:cs="Times New Roman"/>
          <w:sz w:val="24"/>
          <w:szCs w:val="24"/>
        </w:rPr>
      </w:pPr>
      <w:r w:rsidRPr="0063005B">
        <w:rPr>
          <w:rFonts w:ascii="Times New Roman" w:hAnsi="Times New Roman" w:cs="Times New Roman"/>
          <w:sz w:val="24"/>
          <w:szCs w:val="24"/>
        </w:rPr>
        <w:t>1.4.</w:t>
      </w:r>
      <w:r w:rsidR="00A80C33" w:rsidRPr="0063005B">
        <w:rPr>
          <w:rFonts w:ascii="Times New Roman" w:hAnsi="Times New Roman" w:cs="Times New Roman"/>
          <w:sz w:val="24"/>
          <w:szCs w:val="24"/>
        </w:rPr>
        <w:tab/>
        <w:t>formularul CA4 conține elementele memorandum necesare, pentru calcularea elementelor din CA1, precum și informații cu privire la amortizoarele de capital</w:t>
      </w:r>
      <w:r w:rsidRPr="0063005B">
        <w:rPr>
          <w:rFonts w:ascii="Times New Roman" w:hAnsi="Times New Roman" w:cs="Times New Roman"/>
          <w:sz w:val="24"/>
          <w:szCs w:val="24"/>
        </w:rPr>
        <w:t>.</w:t>
      </w:r>
    </w:p>
    <w:p w14:paraId="2E0B616A" w14:textId="0DFF6070" w:rsidR="00F10DDD" w:rsidRPr="0063005B" w:rsidRDefault="005838F7" w:rsidP="0063005B">
      <w:pPr>
        <w:rPr>
          <w:rFonts w:ascii="Times New Roman" w:hAnsi="Times New Roman" w:cs="Times New Roman"/>
          <w:sz w:val="24"/>
          <w:szCs w:val="24"/>
        </w:rPr>
      </w:pPr>
      <w:r w:rsidRPr="0063005B">
        <w:rPr>
          <w:rFonts w:ascii="Times New Roman" w:hAnsi="Times New Roman" w:cs="Times New Roman"/>
          <w:sz w:val="24"/>
          <w:szCs w:val="24"/>
        </w:rPr>
        <w:t xml:space="preserve">2. </w:t>
      </w:r>
      <w:r w:rsidR="00581426" w:rsidRPr="0063005B">
        <w:rPr>
          <w:rFonts w:ascii="Times New Roman" w:hAnsi="Times New Roman" w:cs="Times New Roman"/>
          <w:sz w:val="24"/>
          <w:szCs w:val="24"/>
        </w:rPr>
        <w:t>I</w:t>
      </w:r>
      <w:r w:rsidR="00A80C33" w:rsidRPr="0063005B">
        <w:rPr>
          <w:rFonts w:ascii="Times New Roman" w:hAnsi="Times New Roman" w:cs="Times New Roman"/>
          <w:sz w:val="24"/>
          <w:szCs w:val="24"/>
        </w:rPr>
        <w:t>nformațiile de la numitor sunt legate de rezultatele finale raportate în formularele corespunzătoare pentru calculul cuantumului total al expunerii la risc.</w:t>
      </w:r>
    </w:p>
    <w:p w14:paraId="1F009722" w14:textId="00408724" w:rsidR="00A80C33" w:rsidRPr="0063005B" w:rsidRDefault="00F10DDD" w:rsidP="0063005B">
      <w:pPr>
        <w:rPr>
          <w:rFonts w:ascii="Times New Roman" w:hAnsi="Times New Roman" w:cs="Times New Roman"/>
          <w:sz w:val="24"/>
          <w:szCs w:val="24"/>
        </w:rPr>
      </w:pPr>
      <w:r w:rsidRPr="0063005B">
        <w:rPr>
          <w:rFonts w:ascii="Times New Roman" w:hAnsi="Times New Roman" w:cs="Times New Roman"/>
          <w:sz w:val="24"/>
          <w:szCs w:val="24"/>
        </w:rPr>
        <w:t xml:space="preserve">3. </w:t>
      </w:r>
      <w:r w:rsidR="00A80C33" w:rsidRPr="0063005B">
        <w:rPr>
          <w:rFonts w:ascii="Times New Roman" w:hAnsi="Times New Roman" w:cs="Times New Roman"/>
          <w:sz w:val="24"/>
          <w:szCs w:val="24"/>
        </w:rPr>
        <w:t xml:space="preserve">Fondurile proprii totale constau în diferite tipuri de capital: fonduri proprii de nivel 1, care se compun din suma fondurilor proprii de nivel 1 de bază și a fondurilor proprii de nivel 1 suplimentar, precum și fonduri proprii de nivel 2.  </w:t>
      </w:r>
    </w:p>
    <w:p w14:paraId="74B2C58C" w14:textId="331DC6FD" w:rsidR="00A80C33" w:rsidRPr="0063005B" w:rsidRDefault="00DA2DFE" w:rsidP="0063005B">
      <w:pPr>
        <w:rPr>
          <w:rFonts w:ascii="Times New Roman" w:hAnsi="Times New Roman" w:cs="Times New Roman"/>
          <w:sz w:val="24"/>
          <w:szCs w:val="24"/>
        </w:rPr>
      </w:pPr>
      <w:r>
        <w:rPr>
          <w:rFonts w:ascii="Times New Roman" w:hAnsi="Times New Roman" w:cs="Times New Roman"/>
          <w:sz w:val="24"/>
          <w:szCs w:val="24"/>
        </w:rPr>
        <w:t>4</w:t>
      </w:r>
      <w:r w:rsidR="00A80C33" w:rsidRPr="0063005B">
        <w:rPr>
          <w:rFonts w:ascii="Times New Roman" w:hAnsi="Times New Roman" w:cs="Times New Roman"/>
          <w:sz w:val="24"/>
          <w:szCs w:val="24"/>
        </w:rPr>
        <w:t>.</w:t>
      </w:r>
      <w:r w:rsidR="00A80C33" w:rsidRPr="0063005B">
        <w:rPr>
          <w:rFonts w:ascii="Times New Roman" w:hAnsi="Times New Roman" w:cs="Times New Roman"/>
          <w:sz w:val="24"/>
          <w:szCs w:val="24"/>
        </w:rPr>
        <w:tab/>
        <w:t>Cerințele din pilonul II pot fi tratate diferit</w:t>
      </w:r>
      <w:r w:rsidR="00BF2C65" w:rsidRPr="0063005B">
        <w:rPr>
          <w:rFonts w:ascii="Times New Roman" w:hAnsi="Times New Roman" w:cs="Times New Roman"/>
          <w:sz w:val="24"/>
          <w:szCs w:val="24"/>
        </w:rPr>
        <w:t xml:space="preserve"> </w:t>
      </w:r>
      <w:r w:rsidR="00BF2C65" w:rsidRPr="00EA59DC">
        <w:rPr>
          <w:rFonts w:ascii="Times New Roman" w:hAnsi="Times New Roman" w:cs="Times New Roman"/>
          <w:sz w:val="24"/>
          <w:szCs w:val="24"/>
        </w:rPr>
        <w:t>conform art. 139</w:t>
      </w:r>
      <w:r w:rsidR="00BF2C65" w:rsidRPr="00EA59DC">
        <w:rPr>
          <w:rFonts w:ascii="Times New Roman" w:hAnsi="Times New Roman" w:cs="Times New Roman"/>
          <w:sz w:val="24"/>
          <w:szCs w:val="24"/>
          <w:vertAlign w:val="superscript"/>
        </w:rPr>
        <w:t>1</w:t>
      </w:r>
      <w:r w:rsidR="00BF2C65" w:rsidRPr="00EA59DC">
        <w:rPr>
          <w:rFonts w:ascii="Times New Roman" w:hAnsi="Times New Roman" w:cs="Times New Roman"/>
          <w:sz w:val="24"/>
          <w:szCs w:val="24"/>
        </w:rPr>
        <w:t xml:space="preserve"> alin.</w:t>
      </w:r>
      <w:r w:rsidR="00BF2C65" w:rsidRPr="0063005B">
        <w:rPr>
          <w:rFonts w:ascii="Times New Roman" w:hAnsi="Times New Roman" w:cs="Times New Roman"/>
          <w:sz w:val="24"/>
          <w:szCs w:val="24"/>
        </w:rPr>
        <w:t xml:space="preserve"> 1)</w:t>
      </w:r>
      <w:r w:rsidR="00A80C33" w:rsidRPr="0063005B">
        <w:rPr>
          <w:rFonts w:ascii="Times New Roman" w:hAnsi="Times New Roman" w:cs="Times New Roman"/>
          <w:sz w:val="24"/>
          <w:szCs w:val="24"/>
        </w:rPr>
        <w:t xml:space="preserve"> </w:t>
      </w:r>
      <w:r w:rsidR="00BF2C65" w:rsidRPr="0063005B">
        <w:rPr>
          <w:rFonts w:ascii="Times New Roman" w:hAnsi="Times New Roman" w:cs="Times New Roman"/>
          <w:sz w:val="24"/>
          <w:szCs w:val="24"/>
        </w:rPr>
        <w:t>din Legea</w:t>
      </w:r>
      <w:r w:rsidR="0063005B">
        <w:rPr>
          <w:rFonts w:ascii="Times New Roman" w:hAnsi="Times New Roman" w:cs="Times New Roman"/>
          <w:sz w:val="24"/>
          <w:szCs w:val="24"/>
        </w:rPr>
        <w:t xml:space="preserve"> nr.</w:t>
      </w:r>
      <w:r w:rsidR="00BF2C65" w:rsidRPr="0063005B">
        <w:rPr>
          <w:rFonts w:ascii="Times New Roman" w:hAnsi="Times New Roman" w:cs="Times New Roman"/>
          <w:sz w:val="24"/>
          <w:szCs w:val="24"/>
        </w:rPr>
        <w:t xml:space="preserve"> 202/2017</w:t>
      </w:r>
      <w:r w:rsidR="0063005B">
        <w:rPr>
          <w:rFonts w:ascii="Times New Roman" w:hAnsi="Times New Roman" w:cs="Times New Roman"/>
          <w:sz w:val="24"/>
          <w:szCs w:val="24"/>
        </w:rPr>
        <w:t>:</w:t>
      </w:r>
    </w:p>
    <w:p w14:paraId="09516FAB" w14:textId="7DC5BA6F" w:rsidR="00A80C33" w:rsidRPr="0063005B" w:rsidRDefault="0063005B" w:rsidP="0063005B">
      <w:pPr>
        <w:rPr>
          <w:rFonts w:ascii="Times New Roman" w:hAnsi="Times New Roman" w:cs="Times New Roman"/>
          <w:sz w:val="24"/>
          <w:szCs w:val="24"/>
        </w:rPr>
      </w:pPr>
      <w:r>
        <w:rPr>
          <w:rFonts w:ascii="Times New Roman" w:hAnsi="Times New Roman" w:cs="Times New Roman"/>
          <w:sz w:val="24"/>
          <w:szCs w:val="24"/>
        </w:rPr>
        <w:t xml:space="preserve">4.1. </w:t>
      </w:r>
      <w:r w:rsidR="00A80C33" w:rsidRPr="0063005B">
        <w:rPr>
          <w:rFonts w:ascii="Times New Roman" w:hAnsi="Times New Roman" w:cs="Times New Roman"/>
          <w:sz w:val="24"/>
          <w:szCs w:val="24"/>
        </w:rPr>
        <w:t>Formularele CA1</w:t>
      </w:r>
      <w:r w:rsidR="005D14C2" w:rsidRPr="0063005B">
        <w:rPr>
          <w:rFonts w:ascii="Times New Roman" w:hAnsi="Times New Roman" w:cs="Times New Roman"/>
          <w:sz w:val="24"/>
          <w:szCs w:val="24"/>
        </w:rPr>
        <w:t xml:space="preserve"> și</w:t>
      </w:r>
      <w:r w:rsidR="00A80C33" w:rsidRPr="0063005B">
        <w:rPr>
          <w:rFonts w:ascii="Times New Roman" w:hAnsi="Times New Roman" w:cs="Times New Roman"/>
          <w:sz w:val="24"/>
          <w:szCs w:val="24"/>
        </w:rPr>
        <w:t xml:space="preserve"> CA2 conțin numai date privind aspectele din pilonul I.</w:t>
      </w:r>
    </w:p>
    <w:p w14:paraId="1435A480" w14:textId="2F82F417" w:rsidR="00A80C33" w:rsidRPr="0063005B" w:rsidRDefault="0063005B" w:rsidP="0063005B">
      <w:pPr>
        <w:rPr>
          <w:rFonts w:ascii="Times New Roman" w:hAnsi="Times New Roman" w:cs="Times New Roman"/>
          <w:sz w:val="24"/>
          <w:szCs w:val="24"/>
        </w:rPr>
      </w:pPr>
      <w:r>
        <w:rPr>
          <w:rFonts w:ascii="Times New Roman" w:hAnsi="Times New Roman" w:cs="Times New Roman"/>
          <w:sz w:val="24"/>
          <w:szCs w:val="24"/>
        </w:rPr>
        <w:t xml:space="preserve">4.2. </w:t>
      </w:r>
      <w:r w:rsidR="00A80C33" w:rsidRPr="0063005B">
        <w:rPr>
          <w:rFonts w:ascii="Times New Roman" w:hAnsi="Times New Roman" w:cs="Times New Roman"/>
          <w:sz w:val="24"/>
          <w:szCs w:val="24"/>
        </w:rPr>
        <w:t>Formularul CA3 conține impactul cerințelor suplimentare din pilonul II asupra ratei de solvabilitate pe bază agregată. Acesta se concentrează în principal pe ratele-țintă în sine. Nu există nicio altă legătură cu formularul CA1 sau CA</w:t>
      </w:r>
      <w:r w:rsidR="005D14C2" w:rsidRPr="0063005B">
        <w:rPr>
          <w:rFonts w:ascii="Times New Roman" w:hAnsi="Times New Roman" w:cs="Times New Roman"/>
          <w:sz w:val="24"/>
          <w:szCs w:val="24"/>
        </w:rPr>
        <w:t>2</w:t>
      </w:r>
      <w:r w:rsidR="00A80C33" w:rsidRPr="0063005B">
        <w:rPr>
          <w:rFonts w:ascii="Times New Roman" w:hAnsi="Times New Roman" w:cs="Times New Roman"/>
          <w:sz w:val="24"/>
          <w:szCs w:val="24"/>
        </w:rPr>
        <w:t>.</w:t>
      </w:r>
    </w:p>
    <w:p w14:paraId="68F490DF" w14:textId="1EED22D9" w:rsidR="00A80C33" w:rsidRPr="0063005B" w:rsidRDefault="0063005B" w:rsidP="0063005B">
      <w:pPr>
        <w:rPr>
          <w:rFonts w:ascii="Times New Roman" w:hAnsi="Times New Roman" w:cs="Times New Roman"/>
          <w:sz w:val="24"/>
          <w:szCs w:val="24"/>
        </w:rPr>
      </w:pPr>
      <w:r>
        <w:rPr>
          <w:rFonts w:ascii="Times New Roman" w:hAnsi="Times New Roman" w:cs="Times New Roman"/>
          <w:sz w:val="24"/>
          <w:szCs w:val="24"/>
        </w:rPr>
        <w:t xml:space="preserve">4.3. </w:t>
      </w:r>
      <w:r w:rsidR="00A80C33" w:rsidRPr="0063005B">
        <w:rPr>
          <w:rFonts w:ascii="Times New Roman" w:hAnsi="Times New Roman" w:cs="Times New Roman"/>
          <w:sz w:val="24"/>
          <w:szCs w:val="24"/>
        </w:rPr>
        <w:t xml:space="preserve">Formularul CA4 conține o celulă cuprinzând cerințele de fonduri proprii suplimentare referitoare la pilonul II. Celula respectivă nu este legată, prin normele de validare, de ratele fondurilor proprii din formularul CA3 și reflectă articolul </w:t>
      </w:r>
      <w:r w:rsidR="00BF2C65" w:rsidRPr="0063005B">
        <w:rPr>
          <w:rFonts w:ascii="Times New Roman" w:hAnsi="Times New Roman" w:cs="Times New Roman"/>
          <w:sz w:val="24"/>
          <w:szCs w:val="24"/>
        </w:rPr>
        <w:t>139</w:t>
      </w:r>
      <w:r w:rsidR="00BF2C65" w:rsidRPr="0063005B">
        <w:rPr>
          <w:rFonts w:ascii="Times New Roman" w:hAnsi="Times New Roman" w:cs="Times New Roman"/>
          <w:sz w:val="24"/>
          <w:szCs w:val="24"/>
          <w:vertAlign w:val="superscript"/>
        </w:rPr>
        <w:t>1</w:t>
      </w:r>
      <w:r w:rsidR="00BF2C65" w:rsidRPr="0063005B">
        <w:rPr>
          <w:rFonts w:ascii="Times New Roman" w:hAnsi="Times New Roman" w:cs="Times New Roman"/>
          <w:sz w:val="24"/>
          <w:szCs w:val="24"/>
        </w:rPr>
        <w:t xml:space="preserve"> alin. 1) din Legea 202/2017</w:t>
      </w:r>
      <w:r w:rsidR="00A80C33" w:rsidRPr="0063005B">
        <w:rPr>
          <w:rFonts w:ascii="Times New Roman" w:hAnsi="Times New Roman" w:cs="Times New Roman"/>
          <w:sz w:val="24"/>
          <w:szCs w:val="24"/>
        </w:rPr>
        <w:t>, care menționează în mod explicit cerințele de fonduri proprii suplimentare drept o posibilitate pentru deciziile aferente pilonului II.</w:t>
      </w:r>
    </w:p>
    <w:p w14:paraId="0966BB11" w14:textId="3E01D4A9" w:rsidR="00A80C33" w:rsidRPr="0063005B" w:rsidRDefault="00A80C33" w:rsidP="0063005B">
      <w:pPr>
        <w:rPr>
          <w:rFonts w:ascii="Times New Roman" w:hAnsi="Times New Roman" w:cs="Times New Roman"/>
          <w:sz w:val="24"/>
          <w:szCs w:val="24"/>
        </w:rPr>
      </w:pPr>
      <w:r w:rsidRPr="0063005B">
        <w:rPr>
          <w:rFonts w:ascii="Times New Roman" w:hAnsi="Times New Roman" w:cs="Times New Roman"/>
          <w:sz w:val="24"/>
          <w:szCs w:val="24"/>
        </w:rPr>
        <w:t xml:space="preserve">5. Aplicarea cerințelor pragului minim privind cerințele de capital poate afecta nu numai TREA, dar și cerințele de fonduri proprii al căror calcul depinde de TREA: ratele fondurilor proprii, cerințele pilonului </w:t>
      </w:r>
      <w:r w:rsidR="00BF2C65" w:rsidRPr="0063005B">
        <w:rPr>
          <w:rFonts w:ascii="Times New Roman" w:hAnsi="Times New Roman" w:cs="Times New Roman"/>
          <w:sz w:val="24"/>
          <w:szCs w:val="24"/>
        </w:rPr>
        <w:t>II</w:t>
      </w:r>
      <w:r w:rsidRPr="0063005B">
        <w:rPr>
          <w:rFonts w:ascii="Times New Roman" w:hAnsi="Times New Roman" w:cs="Times New Roman"/>
          <w:sz w:val="24"/>
          <w:szCs w:val="24"/>
        </w:rPr>
        <w:t xml:space="preserve"> și amortizoarele de capital. </w:t>
      </w:r>
    </w:p>
    <w:p w14:paraId="45233EE9" w14:textId="45B448C9" w:rsidR="00A80C33" w:rsidRPr="0063005B" w:rsidRDefault="0063005B" w:rsidP="0063005B">
      <w:pPr>
        <w:rPr>
          <w:rFonts w:ascii="Times New Roman" w:hAnsi="Times New Roman" w:cs="Times New Roman"/>
          <w:sz w:val="24"/>
          <w:szCs w:val="24"/>
        </w:rPr>
      </w:pPr>
      <w:r>
        <w:rPr>
          <w:rFonts w:ascii="Times New Roman" w:hAnsi="Times New Roman" w:cs="Times New Roman"/>
          <w:sz w:val="24"/>
          <w:szCs w:val="24"/>
        </w:rPr>
        <w:t xml:space="preserve">5.1. </w:t>
      </w:r>
      <w:r w:rsidR="00A80C33" w:rsidRPr="0063005B">
        <w:rPr>
          <w:rFonts w:ascii="Times New Roman" w:hAnsi="Times New Roman" w:cs="Times New Roman"/>
          <w:sz w:val="24"/>
          <w:szCs w:val="24"/>
        </w:rPr>
        <w:t xml:space="preserve">Formularul CA2 conține cuantumurile totale ale expunerilor la risc cu aplicarea pragului minim, fără aplicarea pragului minim </w:t>
      </w:r>
      <w:r w:rsidR="00A80C33" w:rsidRPr="00714DD7">
        <w:rPr>
          <w:rFonts w:ascii="Times New Roman" w:hAnsi="Times New Roman" w:cs="Times New Roman"/>
          <w:sz w:val="24"/>
          <w:szCs w:val="24"/>
        </w:rPr>
        <w:t>și</w:t>
      </w:r>
      <w:r w:rsidR="00714DD7">
        <w:rPr>
          <w:rFonts w:ascii="Times New Roman" w:hAnsi="Times New Roman" w:cs="Times New Roman"/>
          <w:sz w:val="24"/>
          <w:szCs w:val="24"/>
        </w:rPr>
        <w:t xml:space="preserve"> </w:t>
      </w:r>
      <w:r w:rsidR="00714DD7" w:rsidRPr="00714DD7">
        <w:rPr>
          <w:rFonts w:ascii="Times New Roman" w:hAnsi="Times New Roman" w:cs="Times New Roman"/>
          <w:sz w:val="24"/>
          <w:szCs w:val="24"/>
        </w:rPr>
        <w:t>cuantumurile totale</w:t>
      </w:r>
      <w:r w:rsidR="00A80C33" w:rsidRPr="00714DD7">
        <w:rPr>
          <w:rFonts w:ascii="Times New Roman" w:hAnsi="Times New Roman" w:cs="Times New Roman"/>
          <w:sz w:val="24"/>
          <w:szCs w:val="24"/>
        </w:rPr>
        <w:t xml:space="preserve"> standardizate</w:t>
      </w:r>
      <w:r w:rsidR="00714DD7">
        <w:rPr>
          <w:rFonts w:ascii="Times New Roman" w:hAnsi="Times New Roman" w:cs="Times New Roman"/>
          <w:sz w:val="24"/>
          <w:szCs w:val="24"/>
        </w:rPr>
        <w:t xml:space="preserve"> ale expunerilor  la risc</w:t>
      </w:r>
      <w:r w:rsidR="00A80C33" w:rsidRPr="0063005B">
        <w:rPr>
          <w:rFonts w:ascii="Times New Roman" w:hAnsi="Times New Roman" w:cs="Times New Roman"/>
          <w:sz w:val="24"/>
          <w:szCs w:val="24"/>
        </w:rPr>
        <w:t xml:space="preserve">. </w:t>
      </w:r>
    </w:p>
    <w:p w14:paraId="74315246" w14:textId="7A646CD3" w:rsidR="00A80C33" w:rsidRPr="0063005B" w:rsidRDefault="0063005B" w:rsidP="0063005B">
      <w:pPr>
        <w:rPr>
          <w:rFonts w:ascii="Times New Roman" w:hAnsi="Times New Roman" w:cs="Times New Roman"/>
          <w:sz w:val="24"/>
          <w:szCs w:val="24"/>
        </w:rPr>
      </w:pPr>
      <w:r>
        <w:rPr>
          <w:rFonts w:ascii="Times New Roman" w:hAnsi="Times New Roman" w:cs="Times New Roman"/>
          <w:sz w:val="24"/>
          <w:szCs w:val="24"/>
        </w:rPr>
        <w:lastRenderedPageBreak/>
        <w:t xml:space="preserve">5.2. </w:t>
      </w:r>
      <w:r w:rsidR="00A80C33" w:rsidRPr="0063005B">
        <w:rPr>
          <w:rFonts w:ascii="Times New Roman" w:hAnsi="Times New Roman" w:cs="Times New Roman"/>
          <w:sz w:val="24"/>
          <w:szCs w:val="24"/>
        </w:rPr>
        <w:t>Formularul CA3 conține ratele fondurilor proprii cu și fără aplicarea pragului minim și cerința totală de capital SREP (</w:t>
      </w:r>
      <w:r w:rsidR="00A80C33" w:rsidRPr="0063005B">
        <w:rPr>
          <w:rFonts w:ascii="Times New Roman" w:hAnsi="Times New Roman" w:cs="Times New Roman"/>
          <w:i/>
          <w:iCs/>
          <w:sz w:val="24"/>
          <w:szCs w:val="24"/>
        </w:rPr>
        <w:t xml:space="preserve">total SREP capital </w:t>
      </w:r>
      <w:proofErr w:type="spellStart"/>
      <w:r w:rsidR="00A80C33" w:rsidRPr="0063005B">
        <w:rPr>
          <w:rFonts w:ascii="Times New Roman" w:hAnsi="Times New Roman" w:cs="Times New Roman"/>
          <w:i/>
          <w:iCs/>
          <w:sz w:val="24"/>
          <w:szCs w:val="24"/>
        </w:rPr>
        <w:t>requirement</w:t>
      </w:r>
      <w:proofErr w:type="spellEnd"/>
      <w:r w:rsidR="00A80C33" w:rsidRPr="0063005B">
        <w:rPr>
          <w:rFonts w:ascii="Times New Roman" w:hAnsi="Times New Roman" w:cs="Times New Roman"/>
          <w:sz w:val="24"/>
          <w:szCs w:val="24"/>
        </w:rPr>
        <w:t xml:space="preserve"> - TSCR)</w:t>
      </w:r>
      <w:r w:rsidR="000320F3">
        <w:rPr>
          <w:rFonts w:ascii="Times New Roman" w:hAnsi="Times New Roman" w:cs="Times New Roman"/>
          <w:sz w:val="24"/>
          <w:szCs w:val="24"/>
        </w:rPr>
        <w:t>.</w:t>
      </w:r>
      <w:r w:rsidR="00A80C33" w:rsidRPr="0063005B">
        <w:rPr>
          <w:rFonts w:ascii="Times New Roman" w:hAnsi="Times New Roman" w:cs="Times New Roman"/>
          <w:sz w:val="24"/>
          <w:szCs w:val="24"/>
        </w:rPr>
        <w:t xml:space="preserve"> </w:t>
      </w:r>
    </w:p>
    <w:p w14:paraId="35F1D923" w14:textId="77777777" w:rsidR="0063005B" w:rsidRDefault="0063005B" w:rsidP="0063005B">
      <w:pPr>
        <w:spacing w:after="0"/>
        <w:rPr>
          <w:rFonts w:ascii="Times New Roman" w:hAnsi="Times New Roman" w:cs="Times New Roman"/>
          <w:b/>
          <w:bCs/>
        </w:rPr>
      </w:pPr>
    </w:p>
    <w:p w14:paraId="687EC883" w14:textId="77777777" w:rsidR="0063005B" w:rsidRPr="0063005B" w:rsidRDefault="0063005B" w:rsidP="0063005B">
      <w:pPr>
        <w:spacing w:after="0"/>
        <w:rPr>
          <w:rFonts w:ascii="Times New Roman" w:hAnsi="Times New Roman" w:cs="Times New Roman"/>
          <w:b/>
          <w:bCs/>
        </w:rPr>
      </w:pPr>
    </w:p>
    <w:p w14:paraId="46B9917F" w14:textId="2C4CBEF3" w:rsidR="0064493C" w:rsidRDefault="0064493C" w:rsidP="0063005B">
      <w:pPr>
        <w:spacing w:after="0"/>
        <w:jc w:val="center"/>
        <w:rPr>
          <w:rFonts w:ascii="Times New Roman" w:hAnsi="Times New Roman" w:cs="Times New Roman"/>
          <w:b/>
          <w:bCs/>
        </w:rPr>
      </w:pPr>
      <w:r w:rsidRPr="0063005B">
        <w:rPr>
          <w:rFonts w:ascii="Times New Roman" w:hAnsi="Times New Roman" w:cs="Times New Roman"/>
          <w:b/>
          <w:bCs/>
        </w:rPr>
        <w:t>Form</w:t>
      </w:r>
      <w:r w:rsidR="008619D0">
        <w:rPr>
          <w:rFonts w:ascii="Times New Roman" w:hAnsi="Times New Roman" w:cs="Times New Roman"/>
          <w:b/>
          <w:bCs/>
        </w:rPr>
        <w:t>ularul</w:t>
      </w:r>
      <w:r w:rsidRPr="0063005B">
        <w:rPr>
          <w:rFonts w:ascii="Times New Roman" w:hAnsi="Times New Roman" w:cs="Times New Roman"/>
          <w:b/>
          <w:bCs/>
        </w:rPr>
        <w:t xml:space="preserve"> raportului C 01.00</w:t>
      </w:r>
    </w:p>
    <w:p w14:paraId="5F94BC7D" w14:textId="77777777" w:rsidR="0063005B" w:rsidRPr="0063005B" w:rsidRDefault="0063005B" w:rsidP="0063005B">
      <w:pPr>
        <w:spacing w:after="0"/>
        <w:rPr>
          <w:rFonts w:ascii="Times New Roman" w:hAnsi="Times New Roman" w:cs="Times New Roman"/>
          <w:b/>
          <w:bCs/>
        </w:rPr>
      </w:pPr>
    </w:p>
    <w:p w14:paraId="67503593" w14:textId="77777777" w:rsidR="0064493C" w:rsidRPr="0063005B" w:rsidRDefault="0064493C" w:rsidP="0063005B">
      <w:pPr>
        <w:spacing w:after="0"/>
        <w:rPr>
          <w:rFonts w:ascii="Times New Roman" w:hAnsi="Times New Roman" w:cs="Times New Roman"/>
          <w:b/>
          <w:bCs/>
        </w:rPr>
      </w:pPr>
      <w:r w:rsidRPr="0063005B">
        <w:rPr>
          <w:rFonts w:ascii="Times New Roman" w:hAnsi="Times New Roman" w:cs="Times New Roman"/>
          <w:b/>
          <w:bCs/>
        </w:rPr>
        <w:t>Codul băncii ____________________</w:t>
      </w:r>
    </w:p>
    <w:p w14:paraId="09A07862" w14:textId="387A4FB6" w:rsidR="0064493C" w:rsidRPr="0063005B" w:rsidRDefault="0064493C" w:rsidP="0063005B">
      <w:pPr>
        <w:spacing w:after="0"/>
        <w:rPr>
          <w:rFonts w:ascii="Times New Roman" w:hAnsi="Times New Roman" w:cs="Times New Roman"/>
          <w:b/>
          <w:bCs/>
        </w:rPr>
      </w:pPr>
      <w:r w:rsidRPr="0063005B">
        <w:rPr>
          <w:rFonts w:ascii="Times New Roman" w:hAnsi="Times New Roman" w:cs="Times New Roman"/>
          <w:b/>
          <w:bCs/>
        </w:rPr>
        <w:t>Perioada de raportare___________</w:t>
      </w:r>
      <w:r w:rsidR="00FA68D2" w:rsidRPr="0063005B">
        <w:rPr>
          <w:rFonts w:ascii="Times New Roman" w:hAnsi="Times New Roman" w:cs="Times New Roman"/>
          <w:b/>
          <w:bCs/>
        </w:rPr>
        <w:t>_</w:t>
      </w:r>
      <w:r w:rsidRPr="0063005B">
        <w:rPr>
          <w:rFonts w:ascii="Times New Roman" w:hAnsi="Times New Roman" w:cs="Times New Roman"/>
          <w:b/>
          <w:bCs/>
        </w:rPr>
        <w:t>_                                                Formular C01.00</w:t>
      </w:r>
    </w:p>
    <w:p w14:paraId="6C36ED4A" w14:textId="7D0F0757" w:rsidR="0064493C" w:rsidRPr="0063005B" w:rsidRDefault="0064493C" w:rsidP="0063005B">
      <w:pPr>
        <w:spacing w:after="0"/>
        <w:rPr>
          <w:rFonts w:ascii="Times New Roman" w:hAnsi="Times New Roman" w:cs="Times New Roman"/>
          <w:b/>
          <w:bCs/>
        </w:rPr>
      </w:pPr>
      <w:r w:rsidRPr="0063005B">
        <w:rPr>
          <w:rFonts w:ascii="Times New Roman" w:hAnsi="Times New Roman" w:cs="Times New Roman"/>
          <w:b/>
          <w:bCs/>
        </w:rPr>
        <w:t> </w:t>
      </w:r>
    </w:p>
    <w:p w14:paraId="3BF2324E" w14:textId="0D1CFEBD" w:rsidR="00260C32" w:rsidRPr="0063005B" w:rsidRDefault="00260C32" w:rsidP="00D448C0">
      <w:pPr>
        <w:jc w:val="center"/>
        <w:rPr>
          <w:rFonts w:ascii="Times New Roman" w:eastAsia="Times New Roman" w:hAnsi="Times New Roman" w:cs="Times New Roman"/>
          <w:b/>
          <w:bCs/>
          <w:sz w:val="24"/>
          <w:szCs w:val="24"/>
          <w:lang w:eastAsia="ro-MD"/>
        </w:rPr>
      </w:pPr>
      <w:r w:rsidRPr="0063005B">
        <w:rPr>
          <w:rFonts w:ascii="Times New Roman" w:eastAsia="Times New Roman" w:hAnsi="Times New Roman" w:cs="Times New Roman"/>
          <w:b/>
          <w:bCs/>
          <w:sz w:val="24"/>
          <w:szCs w:val="24"/>
          <w:lang w:eastAsia="ro-MD"/>
        </w:rPr>
        <w:t>C 01.00 – FONDURI PROPRII (CA1)</w:t>
      </w:r>
    </w:p>
    <w:p w14:paraId="7D785114" w14:textId="77777777" w:rsidR="00B47F18" w:rsidRPr="00B47F18" w:rsidRDefault="00B47F18" w:rsidP="00B47F18">
      <w:pPr>
        <w:rPr>
          <w:lang w:eastAsia="ro-MD"/>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1065"/>
        <w:gridCol w:w="6692"/>
        <w:gridCol w:w="913"/>
      </w:tblGrid>
      <w:tr w:rsidR="00260C32" w:rsidRPr="001B3261" w14:paraId="3D1AA2AC" w14:textId="77777777" w:rsidTr="00B10463">
        <w:trPr>
          <w:tblCellSpacing w:w="0" w:type="dxa"/>
        </w:trPr>
        <w:tc>
          <w:tcPr>
            <w:tcW w:w="0" w:type="auto"/>
            <w:shd w:val="clear" w:color="auto" w:fill="E7E6E6" w:themeFill="background2"/>
            <w:hideMark/>
          </w:tcPr>
          <w:p w14:paraId="5580AD81" w14:textId="77777777" w:rsidR="00260C32" w:rsidRPr="001B3261"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1B3261">
              <w:rPr>
                <w:rFonts w:ascii="Times New Roman" w:eastAsia="Times New Roman" w:hAnsi="Times New Roman" w:cs="Times New Roman"/>
                <w:b/>
                <w:bCs/>
                <w:color w:val="000000"/>
                <w:kern w:val="0"/>
                <w:lang w:eastAsia="ro-MD"/>
                <w14:ligatures w14:val="none"/>
              </w:rPr>
              <w:t>Rânduri</w:t>
            </w:r>
          </w:p>
        </w:tc>
        <w:tc>
          <w:tcPr>
            <w:tcW w:w="0" w:type="auto"/>
            <w:shd w:val="clear" w:color="auto" w:fill="E7E6E6" w:themeFill="background2"/>
            <w:hideMark/>
          </w:tcPr>
          <w:p w14:paraId="448D1F88" w14:textId="7C90B3A0" w:rsidR="00260C32" w:rsidRPr="001B3261" w:rsidRDefault="00E46B46"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1B3261">
              <w:rPr>
                <w:rFonts w:ascii="Times New Roman" w:eastAsia="Times New Roman" w:hAnsi="Times New Roman" w:cs="Times New Roman"/>
                <w:b/>
                <w:bCs/>
                <w:color w:val="000000"/>
                <w:kern w:val="0"/>
                <w:lang w:eastAsia="ro-MD"/>
                <w14:ligatures w14:val="none"/>
              </w:rPr>
              <w:t>ID</w:t>
            </w:r>
          </w:p>
        </w:tc>
        <w:tc>
          <w:tcPr>
            <w:tcW w:w="0" w:type="auto"/>
            <w:shd w:val="clear" w:color="auto" w:fill="E7E6E6" w:themeFill="background2"/>
            <w:hideMark/>
          </w:tcPr>
          <w:p w14:paraId="74FF6CEF" w14:textId="77777777" w:rsidR="00260C32" w:rsidRPr="001B3261"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1B3261">
              <w:rPr>
                <w:rFonts w:ascii="Times New Roman" w:eastAsia="Times New Roman" w:hAnsi="Times New Roman" w:cs="Times New Roman"/>
                <w:b/>
                <w:bCs/>
                <w:color w:val="000000"/>
                <w:kern w:val="0"/>
                <w:lang w:eastAsia="ro-MD"/>
                <w14:ligatures w14:val="none"/>
              </w:rPr>
              <w:t>Element</w:t>
            </w:r>
          </w:p>
        </w:tc>
        <w:tc>
          <w:tcPr>
            <w:tcW w:w="0" w:type="auto"/>
            <w:shd w:val="clear" w:color="auto" w:fill="E7E6E6" w:themeFill="background2"/>
            <w:hideMark/>
          </w:tcPr>
          <w:p w14:paraId="06030670" w14:textId="77777777" w:rsidR="00260C32" w:rsidRPr="001B3261" w:rsidRDefault="00260C32" w:rsidP="00855994">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r w:rsidRPr="001B3261">
              <w:rPr>
                <w:rFonts w:ascii="Times New Roman" w:eastAsia="Times New Roman" w:hAnsi="Times New Roman" w:cs="Times New Roman"/>
                <w:b/>
                <w:bCs/>
                <w:color w:val="000000"/>
                <w:kern w:val="0"/>
                <w:lang w:eastAsia="ro-MD"/>
                <w14:ligatures w14:val="none"/>
              </w:rPr>
              <w:t>Cuantum</w:t>
            </w:r>
          </w:p>
        </w:tc>
      </w:tr>
      <w:tr w:rsidR="00260C32" w:rsidRPr="00260C32" w14:paraId="0E9C333F" w14:textId="77777777" w:rsidTr="00B10463">
        <w:trPr>
          <w:tblCellSpacing w:w="0" w:type="dxa"/>
        </w:trPr>
        <w:tc>
          <w:tcPr>
            <w:tcW w:w="0" w:type="auto"/>
            <w:hideMark/>
          </w:tcPr>
          <w:p w14:paraId="41DF6BD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0010</w:t>
            </w:r>
          </w:p>
        </w:tc>
        <w:tc>
          <w:tcPr>
            <w:tcW w:w="0" w:type="auto"/>
            <w:hideMark/>
          </w:tcPr>
          <w:p w14:paraId="3339CCC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w:t>
            </w:r>
          </w:p>
        </w:tc>
        <w:tc>
          <w:tcPr>
            <w:tcW w:w="0" w:type="auto"/>
            <w:hideMark/>
          </w:tcPr>
          <w:p w14:paraId="4B720A2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FONDURI PROPRII</w:t>
            </w:r>
          </w:p>
        </w:tc>
        <w:tc>
          <w:tcPr>
            <w:tcW w:w="0" w:type="auto"/>
            <w:hideMark/>
          </w:tcPr>
          <w:p w14:paraId="70FC0016" w14:textId="641ADE0E"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83BDE31" w14:textId="77777777" w:rsidTr="00B10463">
        <w:trPr>
          <w:tblCellSpacing w:w="0" w:type="dxa"/>
        </w:trPr>
        <w:tc>
          <w:tcPr>
            <w:tcW w:w="0" w:type="auto"/>
            <w:hideMark/>
          </w:tcPr>
          <w:p w14:paraId="1966B70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0015</w:t>
            </w:r>
          </w:p>
        </w:tc>
        <w:tc>
          <w:tcPr>
            <w:tcW w:w="0" w:type="auto"/>
            <w:hideMark/>
          </w:tcPr>
          <w:p w14:paraId="14894C4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1.1</w:t>
            </w:r>
          </w:p>
        </w:tc>
        <w:tc>
          <w:tcPr>
            <w:tcW w:w="0" w:type="auto"/>
            <w:hideMark/>
          </w:tcPr>
          <w:p w14:paraId="724048D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FONDURI PROPRII DE NIVEL 1</w:t>
            </w:r>
          </w:p>
        </w:tc>
        <w:tc>
          <w:tcPr>
            <w:tcW w:w="0" w:type="auto"/>
            <w:hideMark/>
          </w:tcPr>
          <w:p w14:paraId="27371C0D" w14:textId="75C5A5BD"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AF53D23" w14:textId="77777777" w:rsidTr="00B10463">
        <w:trPr>
          <w:tblCellSpacing w:w="0" w:type="dxa"/>
        </w:trPr>
        <w:tc>
          <w:tcPr>
            <w:tcW w:w="0" w:type="auto"/>
            <w:hideMark/>
          </w:tcPr>
          <w:p w14:paraId="7BC7AB8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0020</w:t>
            </w:r>
          </w:p>
        </w:tc>
        <w:tc>
          <w:tcPr>
            <w:tcW w:w="0" w:type="auto"/>
            <w:hideMark/>
          </w:tcPr>
          <w:p w14:paraId="360B6C6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1.1.1</w:t>
            </w:r>
          </w:p>
        </w:tc>
        <w:tc>
          <w:tcPr>
            <w:tcW w:w="0" w:type="auto"/>
            <w:hideMark/>
          </w:tcPr>
          <w:p w14:paraId="6F4B4F1C" w14:textId="3C09E167" w:rsidR="00260C32" w:rsidRPr="00260C32" w:rsidRDefault="00825F64"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Pr>
                <w:rFonts w:ascii="Times New Roman" w:eastAsia="Times New Roman" w:hAnsi="Times New Roman" w:cs="Times New Roman"/>
                <w:b/>
                <w:bCs/>
                <w:color w:val="000000"/>
                <w:kern w:val="0"/>
                <w:lang w:eastAsia="ro-MD"/>
                <w14:ligatures w14:val="none"/>
              </w:rPr>
              <w:t>F</w:t>
            </w:r>
            <w:r w:rsidRPr="00260C32">
              <w:rPr>
                <w:rFonts w:ascii="Times New Roman" w:eastAsia="Times New Roman" w:hAnsi="Times New Roman" w:cs="Times New Roman"/>
                <w:b/>
                <w:bCs/>
                <w:color w:val="000000"/>
                <w:kern w:val="0"/>
                <w:lang w:eastAsia="ro-MD"/>
                <w14:ligatures w14:val="none"/>
              </w:rPr>
              <w:t>onduri proprii de nivel 1 de bază</w:t>
            </w:r>
          </w:p>
        </w:tc>
        <w:tc>
          <w:tcPr>
            <w:tcW w:w="0" w:type="auto"/>
            <w:hideMark/>
          </w:tcPr>
          <w:p w14:paraId="3726EA3F" w14:textId="3A742EA9"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ABAD912" w14:textId="77777777" w:rsidTr="00B10463">
        <w:trPr>
          <w:tblCellSpacing w:w="0" w:type="dxa"/>
        </w:trPr>
        <w:tc>
          <w:tcPr>
            <w:tcW w:w="0" w:type="auto"/>
            <w:hideMark/>
          </w:tcPr>
          <w:p w14:paraId="5D37682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0030</w:t>
            </w:r>
          </w:p>
        </w:tc>
        <w:tc>
          <w:tcPr>
            <w:tcW w:w="0" w:type="auto"/>
            <w:hideMark/>
          </w:tcPr>
          <w:p w14:paraId="31A313C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w:t>
            </w:r>
          </w:p>
        </w:tc>
        <w:tc>
          <w:tcPr>
            <w:tcW w:w="0" w:type="auto"/>
            <w:hideMark/>
          </w:tcPr>
          <w:p w14:paraId="583BA0C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Instrumente de capital eligibile drept fonduri proprii de nivel 1 de bază</w:t>
            </w:r>
          </w:p>
        </w:tc>
        <w:tc>
          <w:tcPr>
            <w:tcW w:w="0" w:type="auto"/>
            <w:hideMark/>
          </w:tcPr>
          <w:p w14:paraId="02949F95" w14:textId="162ECB8F"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309F9B1" w14:textId="77777777" w:rsidTr="00B10463">
        <w:trPr>
          <w:tblCellSpacing w:w="0" w:type="dxa"/>
        </w:trPr>
        <w:tc>
          <w:tcPr>
            <w:tcW w:w="0" w:type="auto"/>
            <w:hideMark/>
          </w:tcPr>
          <w:p w14:paraId="0D26350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0040</w:t>
            </w:r>
          </w:p>
        </w:tc>
        <w:tc>
          <w:tcPr>
            <w:tcW w:w="0" w:type="auto"/>
            <w:hideMark/>
          </w:tcPr>
          <w:p w14:paraId="0DCCFB7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1.1.1.1.1</w:t>
            </w:r>
          </w:p>
        </w:tc>
        <w:tc>
          <w:tcPr>
            <w:tcW w:w="0" w:type="auto"/>
            <w:hideMark/>
          </w:tcPr>
          <w:p w14:paraId="0BD8381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Instrumente de capital plătite integral</w:t>
            </w:r>
          </w:p>
        </w:tc>
        <w:tc>
          <w:tcPr>
            <w:tcW w:w="0" w:type="auto"/>
            <w:hideMark/>
          </w:tcPr>
          <w:p w14:paraId="00EB6EE5" w14:textId="1C43EF57"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853228D" w14:textId="77777777" w:rsidTr="00B10463">
        <w:trPr>
          <w:tblCellSpacing w:w="0" w:type="dxa"/>
        </w:trPr>
        <w:tc>
          <w:tcPr>
            <w:tcW w:w="0" w:type="auto"/>
            <w:hideMark/>
          </w:tcPr>
          <w:p w14:paraId="10BCE57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0045</w:t>
            </w:r>
          </w:p>
        </w:tc>
        <w:tc>
          <w:tcPr>
            <w:tcW w:w="0" w:type="auto"/>
            <w:hideMark/>
          </w:tcPr>
          <w:p w14:paraId="39BC470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1.1.1.1.1*</w:t>
            </w:r>
          </w:p>
        </w:tc>
        <w:tc>
          <w:tcPr>
            <w:tcW w:w="0" w:type="auto"/>
            <w:hideMark/>
          </w:tcPr>
          <w:p w14:paraId="06FD728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Din care: instrumente de capital subscrise de autoritățile publice în situații de urgență</w:t>
            </w:r>
          </w:p>
        </w:tc>
        <w:tc>
          <w:tcPr>
            <w:tcW w:w="0" w:type="auto"/>
            <w:hideMark/>
          </w:tcPr>
          <w:p w14:paraId="441F1AC7" w14:textId="75418D88"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C698E2B" w14:textId="77777777" w:rsidTr="00B10463">
        <w:trPr>
          <w:tblCellSpacing w:w="0" w:type="dxa"/>
        </w:trPr>
        <w:tc>
          <w:tcPr>
            <w:tcW w:w="0" w:type="auto"/>
            <w:hideMark/>
          </w:tcPr>
          <w:p w14:paraId="2861686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0050</w:t>
            </w:r>
          </w:p>
        </w:tc>
        <w:tc>
          <w:tcPr>
            <w:tcW w:w="0" w:type="auto"/>
            <w:hideMark/>
          </w:tcPr>
          <w:p w14:paraId="3BEEB73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1.1.1.1.2*</w:t>
            </w:r>
          </w:p>
        </w:tc>
        <w:tc>
          <w:tcPr>
            <w:tcW w:w="0" w:type="auto"/>
            <w:hideMark/>
          </w:tcPr>
          <w:p w14:paraId="4FF6BE1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Element memorandum: instrumente de capital care nu sunt eligibile</w:t>
            </w:r>
          </w:p>
        </w:tc>
        <w:tc>
          <w:tcPr>
            <w:tcW w:w="0" w:type="auto"/>
            <w:hideMark/>
          </w:tcPr>
          <w:p w14:paraId="47E7A31E" w14:textId="6EDF8BB2"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FBA35E3" w14:textId="77777777" w:rsidTr="00B10463">
        <w:trPr>
          <w:tblCellSpacing w:w="0" w:type="dxa"/>
        </w:trPr>
        <w:tc>
          <w:tcPr>
            <w:tcW w:w="0" w:type="auto"/>
            <w:hideMark/>
          </w:tcPr>
          <w:p w14:paraId="187FBA0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0060</w:t>
            </w:r>
          </w:p>
        </w:tc>
        <w:tc>
          <w:tcPr>
            <w:tcW w:w="0" w:type="auto"/>
            <w:hideMark/>
          </w:tcPr>
          <w:p w14:paraId="7711419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1.1.1.1.3</w:t>
            </w:r>
          </w:p>
        </w:tc>
        <w:tc>
          <w:tcPr>
            <w:tcW w:w="0" w:type="auto"/>
            <w:hideMark/>
          </w:tcPr>
          <w:p w14:paraId="6C0D1E0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Prima de emisiune</w:t>
            </w:r>
          </w:p>
        </w:tc>
        <w:tc>
          <w:tcPr>
            <w:tcW w:w="0" w:type="auto"/>
            <w:hideMark/>
          </w:tcPr>
          <w:p w14:paraId="4E460853" w14:textId="10FF1E15"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D74FCB2" w14:textId="77777777" w:rsidTr="00B10463">
        <w:trPr>
          <w:tblCellSpacing w:w="0" w:type="dxa"/>
        </w:trPr>
        <w:tc>
          <w:tcPr>
            <w:tcW w:w="0" w:type="auto"/>
            <w:hideMark/>
          </w:tcPr>
          <w:p w14:paraId="55B2283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0070</w:t>
            </w:r>
          </w:p>
        </w:tc>
        <w:tc>
          <w:tcPr>
            <w:tcW w:w="0" w:type="auto"/>
            <w:hideMark/>
          </w:tcPr>
          <w:p w14:paraId="2EBDD5C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1.1.1.1.4</w:t>
            </w:r>
          </w:p>
        </w:tc>
        <w:tc>
          <w:tcPr>
            <w:tcW w:w="0" w:type="auto"/>
            <w:hideMark/>
          </w:tcPr>
          <w:p w14:paraId="43BEAFD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Instrumente proprii de fonduri proprii de nivel 1 de bază</w:t>
            </w:r>
          </w:p>
        </w:tc>
        <w:tc>
          <w:tcPr>
            <w:tcW w:w="0" w:type="auto"/>
            <w:hideMark/>
          </w:tcPr>
          <w:p w14:paraId="056CE40A" w14:textId="2631CD31"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570A5CD" w14:textId="77777777" w:rsidTr="00B10463">
        <w:trPr>
          <w:tblCellSpacing w:w="0" w:type="dxa"/>
        </w:trPr>
        <w:tc>
          <w:tcPr>
            <w:tcW w:w="0" w:type="auto"/>
            <w:hideMark/>
          </w:tcPr>
          <w:p w14:paraId="4C0F00D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0080</w:t>
            </w:r>
          </w:p>
        </w:tc>
        <w:tc>
          <w:tcPr>
            <w:tcW w:w="0" w:type="auto"/>
            <w:hideMark/>
          </w:tcPr>
          <w:p w14:paraId="769F4F0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1.1.1.1.4.1</w:t>
            </w:r>
          </w:p>
        </w:tc>
        <w:tc>
          <w:tcPr>
            <w:tcW w:w="0" w:type="auto"/>
            <w:hideMark/>
          </w:tcPr>
          <w:p w14:paraId="58A8B2F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Dețineri directe de instrumente de fonduri proprii de nivel 1 de bază</w:t>
            </w:r>
          </w:p>
        </w:tc>
        <w:tc>
          <w:tcPr>
            <w:tcW w:w="0" w:type="auto"/>
            <w:hideMark/>
          </w:tcPr>
          <w:p w14:paraId="5AE67057" w14:textId="5F99A82A"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63635A0" w14:textId="77777777" w:rsidTr="00B10463">
        <w:trPr>
          <w:tblCellSpacing w:w="0" w:type="dxa"/>
        </w:trPr>
        <w:tc>
          <w:tcPr>
            <w:tcW w:w="0" w:type="auto"/>
            <w:hideMark/>
          </w:tcPr>
          <w:p w14:paraId="5D958E6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0090</w:t>
            </w:r>
          </w:p>
        </w:tc>
        <w:tc>
          <w:tcPr>
            <w:tcW w:w="0" w:type="auto"/>
            <w:hideMark/>
          </w:tcPr>
          <w:p w14:paraId="4D84D29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1.1.1.1.4.2</w:t>
            </w:r>
          </w:p>
        </w:tc>
        <w:tc>
          <w:tcPr>
            <w:tcW w:w="0" w:type="auto"/>
            <w:hideMark/>
          </w:tcPr>
          <w:p w14:paraId="7B8FEE8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Dețineri indirecte de instrumente de fonduri proprii de nivel 1 de bază</w:t>
            </w:r>
          </w:p>
        </w:tc>
        <w:tc>
          <w:tcPr>
            <w:tcW w:w="0" w:type="auto"/>
            <w:hideMark/>
          </w:tcPr>
          <w:p w14:paraId="5BBDAA2C" w14:textId="24D54B85"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1992919" w14:textId="77777777" w:rsidTr="00B10463">
        <w:trPr>
          <w:tblCellSpacing w:w="0" w:type="dxa"/>
        </w:trPr>
        <w:tc>
          <w:tcPr>
            <w:tcW w:w="0" w:type="auto"/>
            <w:hideMark/>
          </w:tcPr>
          <w:p w14:paraId="38B3F43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0091</w:t>
            </w:r>
          </w:p>
        </w:tc>
        <w:tc>
          <w:tcPr>
            <w:tcW w:w="0" w:type="auto"/>
            <w:hideMark/>
          </w:tcPr>
          <w:p w14:paraId="6AACF1E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1.1.1.1.4.3</w:t>
            </w:r>
          </w:p>
        </w:tc>
        <w:tc>
          <w:tcPr>
            <w:tcW w:w="0" w:type="auto"/>
            <w:hideMark/>
          </w:tcPr>
          <w:p w14:paraId="07C99B9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Dețineri sintetice de instrumente de fonduri proprii de nivel 1 de bază</w:t>
            </w:r>
          </w:p>
        </w:tc>
        <w:tc>
          <w:tcPr>
            <w:tcW w:w="0" w:type="auto"/>
            <w:hideMark/>
          </w:tcPr>
          <w:p w14:paraId="5C62B3D0" w14:textId="25BEF540"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3282DAE" w14:textId="77777777" w:rsidTr="00B10463">
        <w:trPr>
          <w:tblCellSpacing w:w="0" w:type="dxa"/>
        </w:trPr>
        <w:tc>
          <w:tcPr>
            <w:tcW w:w="0" w:type="auto"/>
            <w:hideMark/>
          </w:tcPr>
          <w:p w14:paraId="7BCA8B8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0092</w:t>
            </w:r>
          </w:p>
        </w:tc>
        <w:tc>
          <w:tcPr>
            <w:tcW w:w="0" w:type="auto"/>
            <w:hideMark/>
          </w:tcPr>
          <w:p w14:paraId="2458C0D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1.1.1.1.5</w:t>
            </w:r>
          </w:p>
        </w:tc>
        <w:tc>
          <w:tcPr>
            <w:tcW w:w="0" w:type="auto"/>
            <w:hideMark/>
          </w:tcPr>
          <w:p w14:paraId="7BEBEF4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Obligații reale sau contingente de a cumpăra instrumente proprii de fonduri proprii de nivel 1 de bază</w:t>
            </w:r>
          </w:p>
        </w:tc>
        <w:tc>
          <w:tcPr>
            <w:tcW w:w="0" w:type="auto"/>
            <w:hideMark/>
          </w:tcPr>
          <w:p w14:paraId="2547161D" w14:textId="29D35A1D"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FF5D53F" w14:textId="77777777" w:rsidTr="00B10463">
        <w:trPr>
          <w:tblCellSpacing w:w="0" w:type="dxa"/>
        </w:trPr>
        <w:tc>
          <w:tcPr>
            <w:tcW w:w="0" w:type="auto"/>
            <w:hideMark/>
          </w:tcPr>
          <w:p w14:paraId="276D293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0130</w:t>
            </w:r>
          </w:p>
        </w:tc>
        <w:tc>
          <w:tcPr>
            <w:tcW w:w="0" w:type="auto"/>
            <w:hideMark/>
          </w:tcPr>
          <w:p w14:paraId="21D2843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1.1.1.2</w:t>
            </w:r>
          </w:p>
        </w:tc>
        <w:tc>
          <w:tcPr>
            <w:tcW w:w="0" w:type="auto"/>
            <w:hideMark/>
          </w:tcPr>
          <w:p w14:paraId="2425E62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Rezultatul reportat</w:t>
            </w:r>
          </w:p>
        </w:tc>
        <w:tc>
          <w:tcPr>
            <w:tcW w:w="0" w:type="auto"/>
            <w:hideMark/>
          </w:tcPr>
          <w:p w14:paraId="5CFC23CA" w14:textId="2C34D76A"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3D49DDC" w14:textId="77777777" w:rsidTr="00B10463">
        <w:trPr>
          <w:tblCellSpacing w:w="0" w:type="dxa"/>
        </w:trPr>
        <w:tc>
          <w:tcPr>
            <w:tcW w:w="0" w:type="auto"/>
            <w:hideMark/>
          </w:tcPr>
          <w:p w14:paraId="2502BC1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0140</w:t>
            </w:r>
          </w:p>
        </w:tc>
        <w:tc>
          <w:tcPr>
            <w:tcW w:w="0" w:type="auto"/>
            <w:hideMark/>
          </w:tcPr>
          <w:p w14:paraId="74F5740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1.1.1.2.1</w:t>
            </w:r>
          </w:p>
        </w:tc>
        <w:tc>
          <w:tcPr>
            <w:tcW w:w="0" w:type="auto"/>
            <w:hideMark/>
          </w:tcPr>
          <w:p w14:paraId="0771E01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Rezultatul reportat din anii anteriori</w:t>
            </w:r>
          </w:p>
        </w:tc>
        <w:tc>
          <w:tcPr>
            <w:tcW w:w="0" w:type="auto"/>
            <w:hideMark/>
          </w:tcPr>
          <w:p w14:paraId="36AE3283" w14:textId="0238BEED"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1217E4A" w14:textId="77777777" w:rsidTr="00B10463">
        <w:trPr>
          <w:tblCellSpacing w:w="0" w:type="dxa"/>
        </w:trPr>
        <w:tc>
          <w:tcPr>
            <w:tcW w:w="0" w:type="auto"/>
            <w:hideMark/>
          </w:tcPr>
          <w:p w14:paraId="1EB8EBB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0150</w:t>
            </w:r>
          </w:p>
        </w:tc>
        <w:tc>
          <w:tcPr>
            <w:tcW w:w="0" w:type="auto"/>
            <w:hideMark/>
          </w:tcPr>
          <w:p w14:paraId="3736DF4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1.1.1.2.2</w:t>
            </w:r>
          </w:p>
        </w:tc>
        <w:tc>
          <w:tcPr>
            <w:tcW w:w="0" w:type="auto"/>
            <w:hideMark/>
          </w:tcPr>
          <w:p w14:paraId="4F20C24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Profitul sau pierderea eligibil(ă)</w:t>
            </w:r>
          </w:p>
        </w:tc>
        <w:tc>
          <w:tcPr>
            <w:tcW w:w="0" w:type="auto"/>
            <w:hideMark/>
          </w:tcPr>
          <w:p w14:paraId="36C9A73C" w14:textId="56012D2A"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BF07155" w14:textId="77777777" w:rsidTr="00B10463">
        <w:trPr>
          <w:tblCellSpacing w:w="0" w:type="dxa"/>
        </w:trPr>
        <w:tc>
          <w:tcPr>
            <w:tcW w:w="0" w:type="auto"/>
            <w:hideMark/>
          </w:tcPr>
          <w:p w14:paraId="2CF6C06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0160</w:t>
            </w:r>
          </w:p>
        </w:tc>
        <w:tc>
          <w:tcPr>
            <w:tcW w:w="0" w:type="auto"/>
            <w:hideMark/>
          </w:tcPr>
          <w:p w14:paraId="113F783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1.1.1.2.2.1</w:t>
            </w:r>
          </w:p>
        </w:tc>
        <w:tc>
          <w:tcPr>
            <w:tcW w:w="0" w:type="auto"/>
            <w:hideMark/>
          </w:tcPr>
          <w:p w14:paraId="4AF2F50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Profitul sau pierderea care poate fi atribuit(ă) proprietarilor întreprinderii-mamă</w:t>
            </w:r>
          </w:p>
        </w:tc>
        <w:tc>
          <w:tcPr>
            <w:tcW w:w="0" w:type="auto"/>
            <w:hideMark/>
          </w:tcPr>
          <w:p w14:paraId="65AEBF5E" w14:textId="062E7E67"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9D4BE9D" w14:textId="77777777" w:rsidTr="00B10463">
        <w:trPr>
          <w:tblCellSpacing w:w="0" w:type="dxa"/>
        </w:trPr>
        <w:tc>
          <w:tcPr>
            <w:tcW w:w="0" w:type="auto"/>
            <w:hideMark/>
          </w:tcPr>
          <w:p w14:paraId="5238B13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0170</w:t>
            </w:r>
          </w:p>
        </w:tc>
        <w:tc>
          <w:tcPr>
            <w:tcW w:w="0" w:type="auto"/>
            <w:hideMark/>
          </w:tcPr>
          <w:p w14:paraId="63F3044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1.1.1.2.2.2</w:t>
            </w:r>
          </w:p>
        </w:tc>
        <w:tc>
          <w:tcPr>
            <w:tcW w:w="0" w:type="auto"/>
            <w:hideMark/>
          </w:tcPr>
          <w:p w14:paraId="7CF9448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Partea din profiturile intermediare sau din cele de sfârșit de exercițiu financiar care nu este eligibilă</w:t>
            </w:r>
          </w:p>
        </w:tc>
        <w:tc>
          <w:tcPr>
            <w:tcW w:w="0" w:type="auto"/>
            <w:hideMark/>
          </w:tcPr>
          <w:p w14:paraId="01C6FC96" w14:textId="40B3ED3D"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D6FDE32" w14:textId="77777777" w:rsidTr="00B10463">
        <w:trPr>
          <w:tblCellSpacing w:w="0" w:type="dxa"/>
        </w:trPr>
        <w:tc>
          <w:tcPr>
            <w:tcW w:w="0" w:type="auto"/>
            <w:hideMark/>
          </w:tcPr>
          <w:p w14:paraId="01A168C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0180</w:t>
            </w:r>
          </w:p>
        </w:tc>
        <w:tc>
          <w:tcPr>
            <w:tcW w:w="0" w:type="auto"/>
            <w:hideMark/>
          </w:tcPr>
          <w:p w14:paraId="283C64D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1.1.1.3</w:t>
            </w:r>
          </w:p>
        </w:tc>
        <w:tc>
          <w:tcPr>
            <w:tcW w:w="0" w:type="auto"/>
            <w:hideMark/>
          </w:tcPr>
          <w:p w14:paraId="2FF4825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Alte elemente cumulate ale rezultatului global</w:t>
            </w:r>
          </w:p>
        </w:tc>
        <w:tc>
          <w:tcPr>
            <w:tcW w:w="0" w:type="auto"/>
            <w:hideMark/>
          </w:tcPr>
          <w:p w14:paraId="52381AFB" w14:textId="51A1235D"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AC87F01" w14:textId="77777777" w:rsidTr="00B10463">
        <w:trPr>
          <w:tblCellSpacing w:w="0" w:type="dxa"/>
        </w:trPr>
        <w:tc>
          <w:tcPr>
            <w:tcW w:w="0" w:type="auto"/>
            <w:hideMark/>
          </w:tcPr>
          <w:p w14:paraId="57ABFF9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0200</w:t>
            </w:r>
          </w:p>
        </w:tc>
        <w:tc>
          <w:tcPr>
            <w:tcW w:w="0" w:type="auto"/>
            <w:hideMark/>
          </w:tcPr>
          <w:p w14:paraId="7C789B5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1.1.1.4</w:t>
            </w:r>
          </w:p>
        </w:tc>
        <w:tc>
          <w:tcPr>
            <w:tcW w:w="0" w:type="auto"/>
            <w:hideMark/>
          </w:tcPr>
          <w:p w14:paraId="39EB685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Alte rezerve</w:t>
            </w:r>
          </w:p>
        </w:tc>
        <w:tc>
          <w:tcPr>
            <w:tcW w:w="0" w:type="auto"/>
            <w:hideMark/>
          </w:tcPr>
          <w:p w14:paraId="170F8E08" w14:textId="2DD67756"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26E6399C" w14:textId="77777777" w:rsidTr="00B10463">
        <w:trPr>
          <w:tblCellSpacing w:w="0" w:type="dxa"/>
        </w:trPr>
        <w:tc>
          <w:tcPr>
            <w:tcW w:w="0" w:type="auto"/>
            <w:hideMark/>
          </w:tcPr>
          <w:p w14:paraId="08BD28C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0210</w:t>
            </w:r>
          </w:p>
        </w:tc>
        <w:tc>
          <w:tcPr>
            <w:tcW w:w="0" w:type="auto"/>
            <w:hideMark/>
          </w:tcPr>
          <w:p w14:paraId="5BD109F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1.1.1.5</w:t>
            </w:r>
          </w:p>
        </w:tc>
        <w:tc>
          <w:tcPr>
            <w:tcW w:w="0" w:type="auto"/>
            <w:hideMark/>
          </w:tcPr>
          <w:p w14:paraId="7D79309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Fonduri pentru riscuri bancare generale</w:t>
            </w:r>
          </w:p>
        </w:tc>
        <w:tc>
          <w:tcPr>
            <w:tcW w:w="0" w:type="auto"/>
            <w:hideMark/>
          </w:tcPr>
          <w:p w14:paraId="2D4ABA9F" w14:textId="352B7D5A" w:rsidR="00260C32" w:rsidRPr="00260C32" w:rsidRDefault="002C1289"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x</w:t>
            </w:r>
          </w:p>
        </w:tc>
      </w:tr>
      <w:tr w:rsidR="00260C32" w:rsidRPr="00260C32" w14:paraId="2BF10610" w14:textId="77777777" w:rsidTr="00B10463">
        <w:trPr>
          <w:tblCellSpacing w:w="0" w:type="dxa"/>
        </w:trPr>
        <w:tc>
          <w:tcPr>
            <w:tcW w:w="0" w:type="auto"/>
            <w:hideMark/>
          </w:tcPr>
          <w:p w14:paraId="693CD2F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0220</w:t>
            </w:r>
          </w:p>
        </w:tc>
        <w:tc>
          <w:tcPr>
            <w:tcW w:w="0" w:type="auto"/>
            <w:hideMark/>
          </w:tcPr>
          <w:p w14:paraId="5D76178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1.1.1.6</w:t>
            </w:r>
          </w:p>
        </w:tc>
        <w:tc>
          <w:tcPr>
            <w:tcW w:w="0" w:type="auto"/>
            <w:hideMark/>
          </w:tcPr>
          <w:p w14:paraId="1671B96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Ajustări tranzitorii datorate instrumentelor de fonduri proprii de nivel 1 de bază care își păstrează drepturile obținute</w:t>
            </w:r>
          </w:p>
        </w:tc>
        <w:tc>
          <w:tcPr>
            <w:tcW w:w="0" w:type="auto"/>
            <w:hideMark/>
          </w:tcPr>
          <w:p w14:paraId="23E1E3E8" w14:textId="07C7D7FA" w:rsidR="00260C32" w:rsidRPr="00260C32" w:rsidRDefault="002C1289"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x</w:t>
            </w:r>
          </w:p>
        </w:tc>
      </w:tr>
      <w:tr w:rsidR="00260C32" w:rsidRPr="00260C32" w14:paraId="78D6BE82" w14:textId="77777777" w:rsidTr="00B10463">
        <w:trPr>
          <w:tblCellSpacing w:w="0" w:type="dxa"/>
        </w:trPr>
        <w:tc>
          <w:tcPr>
            <w:tcW w:w="0" w:type="auto"/>
            <w:hideMark/>
          </w:tcPr>
          <w:p w14:paraId="588251E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0230</w:t>
            </w:r>
          </w:p>
        </w:tc>
        <w:tc>
          <w:tcPr>
            <w:tcW w:w="0" w:type="auto"/>
            <w:hideMark/>
          </w:tcPr>
          <w:p w14:paraId="1A8DE13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1.1.1.7</w:t>
            </w:r>
          </w:p>
        </w:tc>
        <w:tc>
          <w:tcPr>
            <w:tcW w:w="0" w:type="auto"/>
            <w:hideMark/>
          </w:tcPr>
          <w:p w14:paraId="5004E47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Interese minoritare recunoscute în fondurile proprii de nivel 1 de bază</w:t>
            </w:r>
          </w:p>
        </w:tc>
        <w:tc>
          <w:tcPr>
            <w:tcW w:w="0" w:type="auto"/>
            <w:hideMark/>
          </w:tcPr>
          <w:p w14:paraId="66BCECD6" w14:textId="3AC3E595"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25AE3F23" w14:textId="77777777" w:rsidTr="00B10463">
        <w:trPr>
          <w:tblCellSpacing w:w="0" w:type="dxa"/>
        </w:trPr>
        <w:tc>
          <w:tcPr>
            <w:tcW w:w="0" w:type="auto"/>
            <w:hideMark/>
          </w:tcPr>
          <w:p w14:paraId="6157693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0240</w:t>
            </w:r>
          </w:p>
        </w:tc>
        <w:tc>
          <w:tcPr>
            <w:tcW w:w="0" w:type="auto"/>
            <w:hideMark/>
          </w:tcPr>
          <w:p w14:paraId="716CB46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1.1.1.8</w:t>
            </w:r>
          </w:p>
        </w:tc>
        <w:tc>
          <w:tcPr>
            <w:tcW w:w="0" w:type="auto"/>
            <w:hideMark/>
          </w:tcPr>
          <w:p w14:paraId="7251C78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Ajustări tranzitorii datorate intereselor minoritare suplimentare</w:t>
            </w:r>
          </w:p>
        </w:tc>
        <w:tc>
          <w:tcPr>
            <w:tcW w:w="0" w:type="auto"/>
            <w:hideMark/>
          </w:tcPr>
          <w:p w14:paraId="46618168" w14:textId="6AF79756" w:rsidR="00260C32" w:rsidRPr="00260C32" w:rsidRDefault="002C1289"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x</w:t>
            </w:r>
          </w:p>
        </w:tc>
      </w:tr>
      <w:tr w:rsidR="00260C32" w:rsidRPr="00260C32" w14:paraId="4B289D0B" w14:textId="77777777" w:rsidTr="00B10463">
        <w:trPr>
          <w:tblCellSpacing w:w="0" w:type="dxa"/>
        </w:trPr>
        <w:tc>
          <w:tcPr>
            <w:tcW w:w="0" w:type="auto"/>
            <w:hideMark/>
          </w:tcPr>
          <w:p w14:paraId="28B8D8B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0250</w:t>
            </w:r>
          </w:p>
        </w:tc>
        <w:tc>
          <w:tcPr>
            <w:tcW w:w="0" w:type="auto"/>
            <w:hideMark/>
          </w:tcPr>
          <w:p w14:paraId="565EA46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1.1.1.9</w:t>
            </w:r>
          </w:p>
        </w:tc>
        <w:tc>
          <w:tcPr>
            <w:tcW w:w="0" w:type="auto"/>
            <w:hideMark/>
          </w:tcPr>
          <w:p w14:paraId="07D58E3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Ajustări ale fondurilor proprii de nivel 1 de bază datorate filtrelor prudențiale</w:t>
            </w:r>
          </w:p>
        </w:tc>
        <w:tc>
          <w:tcPr>
            <w:tcW w:w="0" w:type="auto"/>
            <w:hideMark/>
          </w:tcPr>
          <w:p w14:paraId="26BD6717" w14:textId="4E9E20BB"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B291018" w14:textId="77777777" w:rsidTr="00B10463">
        <w:trPr>
          <w:tblCellSpacing w:w="0" w:type="dxa"/>
        </w:trPr>
        <w:tc>
          <w:tcPr>
            <w:tcW w:w="0" w:type="auto"/>
            <w:hideMark/>
          </w:tcPr>
          <w:p w14:paraId="701D97F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0260</w:t>
            </w:r>
          </w:p>
        </w:tc>
        <w:tc>
          <w:tcPr>
            <w:tcW w:w="0" w:type="auto"/>
            <w:hideMark/>
          </w:tcPr>
          <w:p w14:paraId="3A5BF14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1.1.1.9.1</w:t>
            </w:r>
          </w:p>
        </w:tc>
        <w:tc>
          <w:tcPr>
            <w:tcW w:w="0" w:type="auto"/>
            <w:hideMark/>
          </w:tcPr>
          <w:p w14:paraId="744488CF" w14:textId="77777777" w:rsidR="00260C32" w:rsidRPr="00260C32" w:rsidRDefault="00260C32" w:rsidP="00EA08C8">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Creșteri ale capitalurilor proprii care rezultă din active securitizate</w:t>
            </w:r>
          </w:p>
        </w:tc>
        <w:tc>
          <w:tcPr>
            <w:tcW w:w="0" w:type="auto"/>
            <w:hideMark/>
          </w:tcPr>
          <w:p w14:paraId="044160BE" w14:textId="1897FB6D"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9B71303" w14:textId="77777777" w:rsidTr="00B10463">
        <w:trPr>
          <w:tblCellSpacing w:w="0" w:type="dxa"/>
        </w:trPr>
        <w:tc>
          <w:tcPr>
            <w:tcW w:w="0" w:type="auto"/>
            <w:hideMark/>
          </w:tcPr>
          <w:p w14:paraId="515B55F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0270</w:t>
            </w:r>
          </w:p>
        </w:tc>
        <w:tc>
          <w:tcPr>
            <w:tcW w:w="0" w:type="auto"/>
            <w:hideMark/>
          </w:tcPr>
          <w:p w14:paraId="37FDB82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1.1.1.9.2</w:t>
            </w:r>
          </w:p>
        </w:tc>
        <w:tc>
          <w:tcPr>
            <w:tcW w:w="0" w:type="auto"/>
            <w:hideMark/>
          </w:tcPr>
          <w:p w14:paraId="1B8D83D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Rezerva din operațiuni de acoperire a fluxurilor de numerar</w:t>
            </w:r>
          </w:p>
        </w:tc>
        <w:tc>
          <w:tcPr>
            <w:tcW w:w="0" w:type="auto"/>
            <w:hideMark/>
          </w:tcPr>
          <w:p w14:paraId="1F0764E9" w14:textId="62A25810"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E8A55B9" w14:textId="77777777" w:rsidTr="00B10463">
        <w:trPr>
          <w:tblCellSpacing w:w="0" w:type="dxa"/>
        </w:trPr>
        <w:tc>
          <w:tcPr>
            <w:tcW w:w="0" w:type="auto"/>
            <w:hideMark/>
          </w:tcPr>
          <w:p w14:paraId="7F61482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0280</w:t>
            </w:r>
          </w:p>
        </w:tc>
        <w:tc>
          <w:tcPr>
            <w:tcW w:w="0" w:type="auto"/>
            <w:hideMark/>
          </w:tcPr>
          <w:p w14:paraId="521A204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1.1.1.9.3</w:t>
            </w:r>
          </w:p>
        </w:tc>
        <w:tc>
          <w:tcPr>
            <w:tcW w:w="0" w:type="auto"/>
            <w:hideMark/>
          </w:tcPr>
          <w:p w14:paraId="4F55972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Câștiguri și pierderi cumulate datorate unor modificări ale propriului risc de credit pentru datoriile evaluate la valoarea justă</w:t>
            </w:r>
          </w:p>
        </w:tc>
        <w:tc>
          <w:tcPr>
            <w:tcW w:w="0" w:type="auto"/>
            <w:hideMark/>
          </w:tcPr>
          <w:p w14:paraId="21950FC2" w14:textId="09195A1F"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EFADB5F" w14:textId="77777777" w:rsidTr="00B10463">
        <w:trPr>
          <w:tblCellSpacing w:w="0" w:type="dxa"/>
        </w:trPr>
        <w:tc>
          <w:tcPr>
            <w:tcW w:w="0" w:type="auto"/>
            <w:hideMark/>
          </w:tcPr>
          <w:p w14:paraId="4C0788A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0285</w:t>
            </w:r>
          </w:p>
        </w:tc>
        <w:tc>
          <w:tcPr>
            <w:tcW w:w="0" w:type="auto"/>
            <w:hideMark/>
          </w:tcPr>
          <w:p w14:paraId="58123E9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1.1.1.9.4</w:t>
            </w:r>
          </w:p>
        </w:tc>
        <w:tc>
          <w:tcPr>
            <w:tcW w:w="0" w:type="auto"/>
            <w:hideMark/>
          </w:tcPr>
          <w:p w14:paraId="4EF905F8" w14:textId="76218193"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Câștigurile și pierderile la valoarea justă care rezultă din propriul risc de credit al </w:t>
            </w:r>
            <w:r w:rsidR="00916018">
              <w:rPr>
                <w:rFonts w:ascii="Times New Roman" w:eastAsia="Times New Roman" w:hAnsi="Times New Roman" w:cs="Times New Roman"/>
                <w:color w:val="000000"/>
                <w:kern w:val="0"/>
                <w:lang w:eastAsia="ro-MD"/>
                <w14:ligatures w14:val="none"/>
              </w:rPr>
              <w:t>băncii</w:t>
            </w:r>
            <w:r w:rsidR="00916018" w:rsidRPr="00260C32">
              <w:rPr>
                <w:rFonts w:ascii="Times New Roman" w:eastAsia="Times New Roman" w:hAnsi="Times New Roman" w:cs="Times New Roman"/>
                <w:color w:val="000000"/>
                <w:kern w:val="0"/>
                <w:lang w:eastAsia="ro-MD"/>
                <w14:ligatures w14:val="none"/>
              </w:rPr>
              <w:t xml:space="preserve"> </w:t>
            </w:r>
            <w:r w:rsidRPr="00260C32">
              <w:rPr>
                <w:rFonts w:ascii="Times New Roman" w:eastAsia="Times New Roman" w:hAnsi="Times New Roman" w:cs="Times New Roman"/>
                <w:color w:val="000000"/>
                <w:kern w:val="0"/>
                <w:lang w:eastAsia="ro-MD"/>
                <w14:ligatures w14:val="none"/>
              </w:rPr>
              <w:t>în legătură cu datoriile aferente instrumentelor derivate</w:t>
            </w:r>
          </w:p>
        </w:tc>
        <w:tc>
          <w:tcPr>
            <w:tcW w:w="0" w:type="auto"/>
            <w:hideMark/>
          </w:tcPr>
          <w:p w14:paraId="4266DB60" w14:textId="2CA317DA"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3964B1D" w14:textId="77777777" w:rsidTr="00B10463">
        <w:trPr>
          <w:tblCellSpacing w:w="0" w:type="dxa"/>
        </w:trPr>
        <w:tc>
          <w:tcPr>
            <w:tcW w:w="0" w:type="auto"/>
            <w:hideMark/>
          </w:tcPr>
          <w:p w14:paraId="78BEC21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0290</w:t>
            </w:r>
          </w:p>
        </w:tc>
        <w:tc>
          <w:tcPr>
            <w:tcW w:w="0" w:type="auto"/>
            <w:hideMark/>
          </w:tcPr>
          <w:p w14:paraId="492A0DC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1.1.1.9.5</w:t>
            </w:r>
          </w:p>
        </w:tc>
        <w:tc>
          <w:tcPr>
            <w:tcW w:w="0" w:type="auto"/>
            <w:hideMark/>
          </w:tcPr>
          <w:p w14:paraId="6D5F887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Ajustări de valoare datorate cerințelor de evaluare prudentă</w:t>
            </w:r>
          </w:p>
        </w:tc>
        <w:tc>
          <w:tcPr>
            <w:tcW w:w="0" w:type="auto"/>
            <w:hideMark/>
          </w:tcPr>
          <w:p w14:paraId="05045DFC" w14:textId="07D6CFB4"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BAC50B7" w14:textId="77777777" w:rsidTr="00B10463">
        <w:trPr>
          <w:tblCellSpacing w:w="0" w:type="dxa"/>
        </w:trPr>
        <w:tc>
          <w:tcPr>
            <w:tcW w:w="0" w:type="auto"/>
            <w:hideMark/>
          </w:tcPr>
          <w:p w14:paraId="07CC64B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0300</w:t>
            </w:r>
          </w:p>
        </w:tc>
        <w:tc>
          <w:tcPr>
            <w:tcW w:w="0" w:type="auto"/>
            <w:hideMark/>
          </w:tcPr>
          <w:p w14:paraId="4740776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1.1.1.10</w:t>
            </w:r>
          </w:p>
        </w:tc>
        <w:tc>
          <w:tcPr>
            <w:tcW w:w="0" w:type="auto"/>
            <w:hideMark/>
          </w:tcPr>
          <w:p w14:paraId="0F3189B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Fond comercial</w:t>
            </w:r>
          </w:p>
        </w:tc>
        <w:tc>
          <w:tcPr>
            <w:tcW w:w="0" w:type="auto"/>
            <w:hideMark/>
          </w:tcPr>
          <w:p w14:paraId="7A7D8034" w14:textId="56EAE722"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88A62F3" w14:textId="77777777" w:rsidTr="00B10463">
        <w:trPr>
          <w:tblCellSpacing w:w="0" w:type="dxa"/>
        </w:trPr>
        <w:tc>
          <w:tcPr>
            <w:tcW w:w="0" w:type="auto"/>
            <w:hideMark/>
          </w:tcPr>
          <w:p w14:paraId="5CA13FD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lastRenderedPageBreak/>
              <w:t>0310</w:t>
            </w:r>
          </w:p>
        </w:tc>
        <w:tc>
          <w:tcPr>
            <w:tcW w:w="0" w:type="auto"/>
            <w:hideMark/>
          </w:tcPr>
          <w:p w14:paraId="311B004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1.1.1.10.1</w:t>
            </w:r>
          </w:p>
        </w:tc>
        <w:tc>
          <w:tcPr>
            <w:tcW w:w="0" w:type="auto"/>
            <w:hideMark/>
          </w:tcPr>
          <w:p w14:paraId="73E5C60E" w14:textId="314465C3"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 Fondul comercial contabilizat drept </w:t>
            </w:r>
            <w:r w:rsidR="00065889">
              <w:rPr>
                <w:rFonts w:ascii="Times New Roman" w:eastAsia="Times New Roman" w:hAnsi="Times New Roman" w:cs="Times New Roman"/>
                <w:color w:val="000000"/>
                <w:kern w:val="0"/>
                <w:lang w:eastAsia="ro-MD"/>
                <w14:ligatures w14:val="none"/>
              </w:rPr>
              <w:t>imobilizări</w:t>
            </w:r>
            <w:r w:rsidRPr="00260C32">
              <w:rPr>
                <w:rFonts w:ascii="Times New Roman" w:eastAsia="Times New Roman" w:hAnsi="Times New Roman" w:cs="Times New Roman"/>
                <w:color w:val="000000"/>
                <w:kern w:val="0"/>
                <w:lang w:eastAsia="ro-MD"/>
                <w14:ligatures w14:val="none"/>
              </w:rPr>
              <w:t xml:space="preserve"> necorporale</w:t>
            </w:r>
          </w:p>
        </w:tc>
        <w:tc>
          <w:tcPr>
            <w:tcW w:w="0" w:type="auto"/>
            <w:hideMark/>
          </w:tcPr>
          <w:p w14:paraId="50EBFE5F" w14:textId="0CB1ECC7"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3988C17" w14:textId="77777777" w:rsidTr="00B10463">
        <w:trPr>
          <w:tblCellSpacing w:w="0" w:type="dxa"/>
        </w:trPr>
        <w:tc>
          <w:tcPr>
            <w:tcW w:w="0" w:type="auto"/>
            <w:hideMark/>
          </w:tcPr>
          <w:p w14:paraId="4002AEF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0320</w:t>
            </w:r>
          </w:p>
        </w:tc>
        <w:tc>
          <w:tcPr>
            <w:tcW w:w="0" w:type="auto"/>
            <w:hideMark/>
          </w:tcPr>
          <w:p w14:paraId="41FFE7E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1.1.1.10.2</w:t>
            </w:r>
          </w:p>
        </w:tc>
        <w:tc>
          <w:tcPr>
            <w:tcW w:w="0" w:type="auto"/>
            <w:hideMark/>
          </w:tcPr>
          <w:p w14:paraId="1170EB3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Fondul comercial inclus în evaluarea investițiilor semnificative</w:t>
            </w:r>
          </w:p>
        </w:tc>
        <w:tc>
          <w:tcPr>
            <w:tcW w:w="0" w:type="auto"/>
            <w:hideMark/>
          </w:tcPr>
          <w:p w14:paraId="33FBF2A6" w14:textId="20D55793"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8233271" w14:textId="77777777" w:rsidTr="00B10463">
        <w:trPr>
          <w:tblCellSpacing w:w="0" w:type="dxa"/>
        </w:trPr>
        <w:tc>
          <w:tcPr>
            <w:tcW w:w="0" w:type="auto"/>
            <w:hideMark/>
          </w:tcPr>
          <w:p w14:paraId="6E433AA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0330</w:t>
            </w:r>
          </w:p>
        </w:tc>
        <w:tc>
          <w:tcPr>
            <w:tcW w:w="0" w:type="auto"/>
            <w:hideMark/>
          </w:tcPr>
          <w:p w14:paraId="242CF80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1.1.1.10.3</w:t>
            </w:r>
          </w:p>
        </w:tc>
        <w:tc>
          <w:tcPr>
            <w:tcW w:w="0" w:type="auto"/>
            <w:hideMark/>
          </w:tcPr>
          <w:p w14:paraId="6C33C73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Datoriile privind impozitul amânat asociate fondului comercial</w:t>
            </w:r>
          </w:p>
        </w:tc>
        <w:tc>
          <w:tcPr>
            <w:tcW w:w="0" w:type="auto"/>
            <w:hideMark/>
          </w:tcPr>
          <w:p w14:paraId="196F2676" w14:textId="338D6E9B"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C6FA7DA" w14:textId="77777777" w:rsidTr="00B10463">
        <w:trPr>
          <w:tblCellSpacing w:w="0" w:type="dxa"/>
        </w:trPr>
        <w:tc>
          <w:tcPr>
            <w:tcW w:w="0" w:type="auto"/>
            <w:hideMark/>
          </w:tcPr>
          <w:p w14:paraId="5952EE0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0335</w:t>
            </w:r>
          </w:p>
        </w:tc>
        <w:tc>
          <w:tcPr>
            <w:tcW w:w="0" w:type="auto"/>
            <w:hideMark/>
          </w:tcPr>
          <w:p w14:paraId="5D820EE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1.1.1.10.4</w:t>
            </w:r>
          </w:p>
        </w:tc>
        <w:tc>
          <w:tcPr>
            <w:tcW w:w="0" w:type="auto"/>
            <w:hideMark/>
          </w:tcPr>
          <w:p w14:paraId="6182B2F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Reevaluarea contabilă a fondului comercial al filialelor provenind din consolidarea filialelor care poate fi atribuită unor persoane terțe</w:t>
            </w:r>
          </w:p>
        </w:tc>
        <w:tc>
          <w:tcPr>
            <w:tcW w:w="0" w:type="auto"/>
            <w:hideMark/>
          </w:tcPr>
          <w:p w14:paraId="6E19BCDF" w14:textId="53D8FFBB"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061620B" w14:textId="77777777" w:rsidTr="00B10463">
        <w:trPr>
          <w:tblCellSpacing w:w="0" w:type="dxa"/>
        </w:trPr>
        <w:tc>
          <w:tcPr>
            <w:tcW w:w="0" w:type="auto"/>
            <w:hideMark/>
          </w:tcPr>
          <w:p w14:paraId="1287455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0340</w:t>
            </w:r>
          </w:p>
        </w:tc>
        <w:tc>
          <w:tcPr>
            <w:tcW w:w="0" w:type="auto"/>
            <w:hideMark/>
          </w:tcPr>
          <w:p w14:paraId="6A7AF64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1.1.1.11</w:t>
            </w:r>
          </w:p>
        </w:tc>
        <w:tc>
          <w:tcPr>
            <w:tcW w:w="0" w:type="auto"/>
            <w:hideMark/>
          </w:tcPr>
          <w:p w14:paraId="0A4741C3" w14:textId="3DB48EE6"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Alte </w:t>
            </w:r>
            <w:r w:rsidR="00065889">
              <w:rPr>
                <w:rFonts w:ascii="Times New Roman" w:eastAsia="Times New Roman" w:hAnsi="Times New Roman" w:cs="Times New Roman"/>
                <w:color w:val="000000"/>
                <w:kern w:val="0"/>
                <w:lang w:eastAsia="ro-MD"/>
                <w14:ligatures w14:val="none"/>
              </w:rPr>
              <w:t>imobilizări</w:t>
            </w:r>
            <w:r w:rsidRPr="00260C32">
              <w:rPr>
                <w:rFonts w:ascii="Times New Roman" w:eastAsia="Times New Roman" w:hAnsi="Times New Roman" w:cs="Times New Roman"/>
                <w:color w:val="000000"/>
                <w:kern w:val="0"/>
                <w:lang w:eastAsia="ro-MD"/>
                <w14:ligatures w14:val="none"/>
              </w:rPr>
              <w:t xml:space="preserve"> necorporale</w:t>
            </w:r>
          </w:p>
        </w:tc>
        <w:tc>
          <w:tcPr>
            <w:tcW w:w="0" w:type="auto"/>
            <w:hideMark/>
          </w:tcPr>
          <w:p w14:paraId="6AB29740" w14:textId="46D79774"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6FCDDE2" w14:textId="77777777" w:rsidTr="00B10463">
        <w:trPr>
          <w:tblCellSpacing w:w="0" w:type="dxa"/>
        </w:trPr>
        <w:tc>
          <w:tcPr>
            <w:tcW w:w="0" w:type="auto"/>
            <w:hideMark/>
          </w:tcPr>
          <w:p w14:paraId="12FB1A2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0350</w:t>
            </w:r>
          </w:p>
        </w:tc>
        <w:tc>
          <w:tcPr>
            <w:tcW w:w="0" w:type="auto"/>
            <w:hideMark/>
          </w:tcPr>
          <w:p w14:paraId="462677E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1.1.1.11.1</w:t>
            </w:r>
          </w:p>
        </w:tc>
        <w:tc>
          <w:tcPr>
            <w:tcW w:w="0" w:type="auto"/>
            <w:hideMark/>
          </w:tcPr>
          <w:p w14:paraId="4CD27B76" w14:textId="51013366"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 Alte </w:t>
            </w:r>
            <w:r w:rsidR="00065889">
              <w:rPr>
                <w:rFonts w:ascii="Times New Roman" w:eastAsia="Times New Roman" w:hAnsi="Times New Roman" w:cs="Times New Roman"/>
                <w:color w:val="000000"/>
                <w:kern w:val="0"/>
                <w:lang w:eastAsia="ro-MD"/>
                <w14:ligatures w14:val="none"/>
              </w:rPr>
              <w:t>imobilizări</w:t>
            </w:r>
            <w:r w:rsidRPr="00260C32">
              <w:rPr>
                <w:rFonts w:ascii="Times New Roman" w:eastAsia="Times New Roman" w:hAnsi="Times New Roman" w:cs="Times New Roman"/>
                <w:color w:val="000000"/>
                <w:kern w:val="0"/>
                <w:lang w:eastAsia="ro-MD"/>
                <w14:ligatures w14:val="none"/>
              </w:rPr>
              <w:t xml:space="preserve"> necorporale înainte de deducerea datoriilor privind impozitul amânat</w:t>
            </w:r>
          </w:p>
        </w:tc>
        <w:tc>
          <w:tcPr>
            <w:tcW w:w="0" w:type="auto"/>
            <w:hideMark/>
          </w:tcPr>
          <w:p w14:paraId="41D72D97" w14:textId="57DA13E8"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C41CC9" w:rsidRPr="00260C32" w14:paraId="42104D83" w14:textId="77777777" w:rsidTr="00B10463">
        <w:trPr>
          <w:tblCellSpacing w:w="0" w:type="dxa"/>
        </w:trPr>
        <w:tc>
          <w:tcPr>
            <w:tcW w:w="0" w:type="auto"/>
          </w:tcPr>
          <w:p w14:paraId="2E89A444" w14:textId="75B5C5FB" w:rsidR="00C41CC9" w:rsidRPr="0063005B" w:rsidRDefault="00C41CC9"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63005B">
              <w:rPr>
                <w:rFonts w:ascii="Times New Roman" w:eastAsia="Times New Roman" w:hAnsi="Times New Roman" w:cs="Times New Roman"/>
                <w:color w:val="000000"/>
                <w:kern w:val="0"/>
                <w:lang w:eastAsia="ro-MD"/>
                <w14:ligatures w14:val="none"/>
              </w:rPr>
              <w:t>0352</w:t>
            </w:r>
          </w:p>
        </w:tc>
        <w:tc>
          <w:tcPr>
            <w:tcW w:w="0" w:type="auto"/>
          </w:tcPr>
          <w:p w14:paraId="716F962F" w14:textId="6BB3E0D5" w:rsidR="00C41CC9" w:rsidRPr="0063005B" w:rsidRDefault="00C41CC9"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63005B">
              <w:rPr>
                <w:rFonts w:ascii="Times New Roman" w:eastAsia="Times New Roman" w:hAnsi="Times New Roman" w:cs="Times New Roman"/>
                <w:color w:val="000000"/>
                <w:kern w:val="0"/>
                <w:lang w:eastAsia="ro-MD"/>
                <w14:ligatures w14:val="none"/>
              </w:rPr>
              <w:t>1.1.1.11.1.1</w:t>
            </w:r>
          </w:p>
        </w:tc>
        <w:tc>
          <w:tcPr>
            <w:tcW w:w="0" w:type="auto"/>
          </w:tcPr>
          <w:p w14:paraId="60E18A96" w14:textId="67BC74D2" w:rsidR="00C41CC9" w:rsidRPr="0063005B" w:rsidRDefault="00C41CC9"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63005B">
              <w:rPr>
                <w:rFonts w:ascii="Times New Roman" w:eastAsia="Times New Roman" w:hAnsi="Times New Roman" w:cs="Times New Roman"/>
                <w:color w:val="000000"/>
                <w:kern w:val="0"/>
                <w:lang w:eastAsia="ro-MD"/>
                <w14:ligatures w14:val="none"/>
              </w:rPr>
              <w:t xml:space="preserve">(–) Din care: programe informatice contabilizate drept </w:t>
            </w:r>
            <w:r w:rsidR="00065889" w:rsidRPr="000E1E91">
              <w:rPr>
                <w:rFonts w:ascii="Times New Roman" w:eastAsia="Times New Roman" w:hAnsi="Times New Roman" w:cs="Times New Roman"/>
                <w:color w:val="000000"/>
                <w:kern w:val="0"/>
                <w:lang w:eastAsia="ro-MD"/>
                <w14:ligatures w14:val="none"/>
              </w:rPr>
              <w:t>imobilizări</w:t>
            </w:r>
            <w:r w:rsidR="00065889" w:rsidRPr="0063005B" w:rsidDel="00065889">
              <w:rPr>
                <w:rFonts w:ascii="Times New Roman" w:eastAsia="Times New Roman" w:hAnsi="Times New Roman" w:cs="Times New Roman"/>
                <w:color w:val="000000"/>
                <w:kern w:val="0"/>
                <w:lang w:eastAsia="ro-MD"/>
                <w14:ligatures w14:val="none"/>
              </w:rPr>
              <w:t xml:space="preserve"> </w:t>
            </w:r>
            <w:r w:rsidRPr="0063005B">
              <w:rPr>
                <w:rFonts w:ascii="Times New Roman" w:eastAsia="Times New Roman" w:hAnsi="Times New Roman" w:cs="Times New Roman"/>
                <w:color w:val="000000"/>
                <w:kern w:val="0"/>
                <w:lang w:eastAsia="ro-MD"/>
                <w14:ligatures w14:val="none"/>
              </w:rPr>
              <w:t>necorporale înainte de deducerea datoriilor privind impozitul amânat</w:t>
            </w:r>
          </w:p>
        </w:tc>
        <w:tc>
          <w:tcPr>
            <w:tcW w:w="0" w:type="auto"/>
          </w:tcPr>
          <w:p w14:paraId="478E8850" w14:textId="67A6E80F" w:rsidR="00C41CC9" w:rsidRPr="00260C32" w:rsidRDefault="00C41CC9"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2D09437" w14:textId="77777777" w:rsidTr="00B10463">
        <w:trPr>
          <w:tblCellSpacing w:w="0" w:type="dxa"/>
        </w:trPr>
        <w:tc>
          <w:tcPr>
            <w:tcW w:w="0" w:type="auto"/>
            <w:hideMark/>
          </w:tcPr>
          <w:p w14:paraId="5DD913B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0360</w:t>
            </w:r>
          </w:p>
        </w:tc>
        <w:tc>
          <w:tcPr>
            <w:tcW w:w="0" w:type="auto"/>
            <w:hideMark/>
          </w:tcPr>
          <w:p w14:paraId="6BD76EE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1.1.1.11.2</w:t>
            </w:r>
          </w:p>
        </w:tc>
        <w:tc>
          <w:tcPr>
            <w:tcW w:w="0" w:type="auto"/>
            <w:hideMark/>
          </w:tcPr>
          <w:p w14:paraId="42C6C965" w14:textId="04D0EC4F"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Datoriile privind impozitul amânat asociate altor </w:t>
            </w:r>
            <w:r w:rsidR="00F3618C">
              <w:rPr>
                <w:rFonts w:ascii="Times New Roman" w:eastAsia="Times New Roman" w:hAnsi="Times New Roman" w:cs="Times New Roman"/>
                <w:color w:val="000000"/>
                <w:kern w:val="0"/>
                <w:lang w:eastAsia="ro-MD"/>
                <w14:ligatures w14:val="none"/>
              </w:rPr>
              <w:t>imobilizări</w:t>
            </w:r>
            <w:r w:rsidRPr="00260C32">
              <w:rPr>
                <w:rFonts w:ascii="Times New Roman" w:eastAsia="Times New Roman" w:hAnsi="Times New Roman" w:cs="Times New Roman"/>
                <w:color w:val="000000"/>
                <w:kern w:val="0"/>
                <w:lang w:eastAsia="ro-MD"/>
                <w14:ligatures w14:val="none"/>
              </w:rPr>
              <w:t xml:space="preserve"> necorporale</w:t>
            </w:r>
          </w:p>
        </w:tc>
        <w:tc>
          <w:tcPr>
            <w:tcW w:w="0" w:type="auto"/>
            <w:hideMark/>
          </w:tcPr>
          <w:p w14:paraId="5F28FF22" w14:textId="643A9228"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C41CC9" w:rsidRPr="00260C32" w14:paraId="28A0C108" w14:textId="77777777" w:rsidTr="00B10463">
        <w:trPr>
          <w:tblCellSpacing w:w="0" w:type="dxa"/>
        </w:trPr>
        <w:tc>
          <w:tcPr>
            <w:tcW w:w="0" w:type="auto"/>
          </w:tcPr>
          <w:p w14:paraId="569E4EFB" w14:textId="5AFB7B88" w:rsidR="00C41CC9" w:rsidRPr="0063005B" w:rsidRDefault="00C41CC9"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63005B">
              <w:rPr>
                <w:rFonts w:ascii="Times New Roman" w:eastAsia="Times New Roman" w:hAnsi="Times New Roman" w:cs="Times New Roman"/>
                <w:color w:val="000000"/>
                <w:kern w:val="0"/>
                <w:lang w:eastAsia="ro-MD"/>
                <w14:ligatures w14:val="none"/>
              </w:rPr>
              <w:t>0362</w:t>
            </w:r>
          </w:p>
        </w:tc>
        <w:tc>
          <w:tcPr>
            <w:tcW w:w="0" w:type="auto"/>
          </w:tcPr>
          <w:p w14:paraId="1248E05B" w14:textId="158D4888" w:rsidR="00C41CC9" w:rsidRPr="0063005B" w:rsidRDefault="00C41CC9"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63005B">
              <w:rPr>
                <w:rFonts w:ascii="Times New Roman" w:eastAsia="Times New Roman" w:hAnsi="Times New Roman" w:cs="Times New Roman"/>
                <w:color w:val="000000"/>
                <w:kern w:val="0"/>
                <w:lang w:eastAsia="ro-MD"/>
                <w14:ligatures w14:val="none"/>
              </w:rPr>
              <w:t>1.1.1.11.2.1</w:t>
            </w:r>
          </w:p>
        </w:tc>
        <w:tc>
          <w:tcPr>
            <w:tcW w:w="0" w:type="auto"/>
          </w:tcPr>
          <w:p w14:paraId="10D3CF7D" w14:textId="0781D882" w:rsidR="00C41CC9" w:rsidRPr="0063005B" w:rsidRDefault="00C41CC9"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63005B">
              <w:rPr>
                <w:rFonts w:ascii="Times New Roman" w:eastAsia="Times New Roman" w:hAnsi="Times New Roman" w:cs="Times New Roman"/>
                <w:color w:val="000000"/>
                <w:kern w:val="0"/>
                <w:lang w:eastAsia="ro-MD"/>
                <w14:ligatures w14:val="none"/>
              </w:rPr>
              <w:t xml:space="preserve">Din care: Datorii privind impozitul amânat asociate programelor informatice contabilizate drept </w:t>
            </w:r>
            <w:r w:rsidR="00F3618C" w:rsidRPr="000E1E91">
              <w:rPr>
                <w:rFonts w:ascii="Times New Roman" w:eastAsia="Times New Roman" w:hAnsi="Times New Roman" w:cs="Times New Roman"/>
                <w:color w:val="000000"/>
                <w:kern w:val="0"/>
                <w:lang w:eastAsia="ro-MD"/>
                <w14:ligatures w14:val="none"/>
              </w:rPr>
              <w:t>imobilizări</w:t>
            </w:r>
            <w:r w:rsidRPr="0063005B">
              <w:rPr>
                <w:rFonts w:ascii="Times New Roman" w:eastAsia="Times New Roman" w:hAnsi="Times New Roman" w:cs="Times New Roman"/>
                <w:color w:val="000000"/>
                <w:kern w:val="0"/>
                <w:lang w:eastAsia="ro-MD"/>
                <w14:ligatures w14:val="none"/>
              </w:rPr>
              <w:t xml:space="preserve"> necorporale</w:t>
            </w:r>
          </w:p>
        </w:tc>
        <w:tc>
          <w:tcPr>
            <w:tcW w:w="0" w:type="auto"/>
          </w:tcPr>
          <w:p w14:paraId="28CBAC61" w14:textId="09217260" w:rsidR="00C41CC9" w:rsidRPr="00260C32" w:rsidRDefault="00C41CC9"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1258975" w14:textId="77777777" w:rsidTr="00B10463">
        <w:trPr>
          <w:tblCellSpacing w:w="0" w:type="dxa"/>
        </w:trPr>
        <w:tc>
          <w:tcPr>
            <w:tcW w:w="0" w:type="auto"/>
            <w:hideMark/>
          </w:tcPr>
          <w:p w14:paraId="56D2EC2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0365</w:t>
            </w:r>
          </w:p>
        </w:tc>
        <w:tc>
          <w:tcPr>
            <w:tcW w:w="0" w:type="auto"/>
            <w:hideMark/>
          </w:tcPr>
          <w:p w14:paraId="74BA7CC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1.1.1.11.3</w:t>
            </w:r>
          </w:p>
        </w:tc>
        <w:tc>
          <w:tcPr>
            <w:tcW w:w="0" w:type="auto"/>
            <w:hideMark/>
          </w:tcPr>
          <w:p w14:paraId="31515AEC" w14:textId="54C62E9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Reevaluarea contabilă a altor </w:t>
            </w:r>
            <w:r w:rsidR="00F3618C">
              <w:rPr>
                <w:rFonts w:ascii="Times New Roman" w:eastAsia="Times New Roman" w:hAnsi="Times New Roman" w:cs="Times New Roman"/>
                <w:color w:val="000000"/>
                <w:kern w:val="0"/>
                <w:lang w:eastAsia="ro-MD"/>
                <w14:ligatures w14:val="none"/>
              </w:rPr>
              <w:t>imobilizări</w:t>
            </w:r>
            <w:r w:rsidRPr="00260C32">
              <w:rPr>
                <w:rFonts w:ascii="Times New Roman" w:eastAsia="Times New Roman" w:hAnsi="Times New Roman" w:cs="Times New Roman"/>
                <w:color w:val="000000"/>
                <w:kern w:val="0"/>
                <w:lang w:eastAsia="ro-MD"/>
                <w14:ligatures w14:val="none"/>
              </w:rPr>
              <w:t xml:space="preserve"> necorporale ale filialelor provenind din consolidarea filialelor care poate fi atribuită unor persoane terțe</w:t>
            </w:r>
          </w:p>
        </w:tc>
        <w:tc>
          <w:tcPr>
            <w:tcW w:w="0" w:type="auto"/>
            <w:hideMark/>
          </w:tcPr>
          <w:p w14:paraId="1919E2FB" w14:textId="3605F16F"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B5F3A02" w14:textId="77777777" w:rsidTr="00B10463">
        <w:trPr>
          <w:tblCellSpacing w:w="0" w:type="dxa"/>
        </w:trPr>
        <w:tc>
          <w:tcPr>
            <w:tcW w:w="0" w:type="auto"/>
            <w:hideMark/>
          </w:tcPr>
          <w:p w14:paraId="681711E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0370</w:t>
            </w:r>
          </w:p>
        </w:tc>
        <w:tc>
          <w:tcPr>
            <w:tcW w:w="0" w:type="auto"/>
            <w:hideMark/>
          </w:tcPr>
          <w:p w14:paraId="581711A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1.1.1.12</w:t>
            </w:r>
          </w:p>
        </w:tc>
        <w:tc>
          <w:tcPr>
            <w:tcW w:w="0" w:type="auto"/>
            <w:hideMark/>
          </w:tcPr>
          <w:p w14:paraId="080C1C3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Creanțe privind impozitul amânat care se bazează pe profitabilitatea viitoare și nu decurg din diferențele temporare din care se deduc datoriile asociate privind impozitul amânat</w:t>
            </w:r>
          </w:p>
        </w:tc>
        <w:tc>
          <w:tcPr>
            <w:tcW w:w="0" w:type="auto"/>
            <w:hideMark/>
          </w:tcPr>
          <w:p w14:paraId="53A42654" w14:textId="1D0BEE31"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A48C4B7" w14:textId="77777777" w:rsidTr="00B10463">
        <w:trPr>
          <w:tblCellSpacing w:w="0" w:type="dxa"/>
        </w:trPr>
        <w:tc>
          <w:tcPr>
            <w:tcW w:w="0" w:type="auto"/>
            <w:hideMark/>
          </w:tcPr>
          <w:p w14:paraId="6F41423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0380</w:t>
            </w:r>
          </w:p>
        </w:tc>
        <w:tc>
          <w:tcPr>
            <w:tcW w:w="0" w:type="auto"/>
            <w:hideMark/>
          </w:tcPr>
          <w:p w14:paraId="3596B3A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1.1.1.13</w:t>
            </w:r>
          </w:p>
        </w:tc>
        <w:tc>
          <w:tcPr>
            <w:tcW w:w="0" w:type="auto"/>
            <w:hideMark/>
          </w:tcPr>
          <w:p w14:paraId="71775FB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Deficitul ajustărilor, în cadrul abordării IRB, pentru riscul de credit în funcție de pierderile așteptate</w:t>
            </w:r>
          </w:p>
        </w:tc>
        <w:tc>
          <w:tcPr>
            <w:tcW w:w="0" w:type="auto"/>
            <w:hideMark/>
          </w:tcPr>
          <w:p w14:paraId="0B9EE877" w14:textId="157E78E5"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C26478A" w14:textId="77777777" w:rsidTr="00B10463">
        <w:trPr>
          <w:tblCellSpacing w:w="0" w:type="dxa"/>
        </w:trPr>
        <w:tc>
          <w:tcPr>
            <w:tcW w:w="0" w:type="auto"/>
            <w:hideMark/>
          </w:tcPr>
          <w:p w14:paraId="04AF961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0390</w:t>
            </w:r>
          </w:p>
        </w:tc>
        <w:tc>
          <w:tcPr>
            <w:tcW w:w="0" w:type="auto"/>
            <w:hideMark/>
          </w:tcPr>
          <w:p w14:paraId="5F1EDD7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1.1.1.14</w:t>
            </w:r>
          </w:p>
        </w:tc>
        <w:tc>
          <w:tcPr>
            <w:tcW w:w="0" w:type="auto"/>
            <w:hideMark/>
          </w:tcPr>
          <w:p w14:paraId="3E2396B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Activele fondului de pensii cu beneficii determinate</w:t>
            </w:r>
          </w:p>
        </w:tc>
        <w:tc>
          <w:tcPr>
            <w:tcW w:w="0" w:type="auto"/>
            <w:hideMark/>
          </w:tcPr>
          <w:p w14:paraId="7658EA6D" w14:textId="1C5CD837"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ACE757B" w14:textId="77777777" w:rsidTr="00B10463">
        <w:trPr>
          <w:tblCellSpacing w:w="0" w:type="dxa"/>
        </w:trPr>
        <w:tc>
          <w:tcPr>
            <w:tcW w:w="0" w:type="auto"/>
            <w:hideMark/>
          </w:tcPr>
          <w:p w14:paraId="7393615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0400</w:t>
            </w:r>
          </w:p>
        </w:tc>
        <w:tc>
          <w:tcPr>
            <w:tcW w:w="0" w:type="auto"/>
            <w:hideMark/>
          </w:tcPr>
          <w:p w14:paraId="780AD34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1.1.1.14.1</w:t>
            </w:r>
          </w:p>
        </w:tc>
        <w:tc>
          <w:tcPr>
            <w:tcW w:w="0" w:type="auto"/>
            <w:hideMark/>
          </w:tcPr>
          <w:p w14:paraId="5258F28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Activele fondului de pensii cu beneficii determinate</w:t>
            </w:r>
          </w:p>
        </w:tc>
        <w:tc>
          <w:tcPr>
            <w:tcW w:w="0" w:type="auto"/>
            <w:hideMark/>
          </w:tcPr>
          <w:p w14:paraId="395D4936" w14:textId="30DF7080"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8D22589" w14:textId="77777777" w:rsidTr="00B10463">
        <w:trPr>
          <w:tblCellSpacing w:w="0" w:type="dxa"/>
        </w:trPr>
        <w:tc>
          <w:tcPr>
            <w:tcW w:w="0" w:type="auto"/>
            <w:hideMark/>
          </w:tcPr>
          <w:p w14:paraId="6D7DD9D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0410</w:t>
            </w:r>
          </w:p>
        </w:tc>
        <w:tc>
          <w:tcPr>
            <w:tcW w:w="0" w:type="auto"/>
            <w:hideMark/>
          </w:tcPr>
          <w:p w14:paraId="101B8F2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1.1.1.14.2</w:t>
            </w:r>
          </w:p>
        </w:tc>
        <w:tc>
          <w:tcPr>
            <w:tcW w:w="0" w:type="auto"/>
            <w:hideMark/>
          </w:tcPr>
          <w:p w14:paraId="0C4FE14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Datoriile privind impozitul amânat asociate activelor fondului de pensii cu beneficii determinate</w:t>
            </w:r>
          </w:p>
        </w:tc>
        <w:tc>
          <w:tcPr>
            <w:tcW w:w="0" w:type="auto"/>
            <w:hideMark/>
          </w:tcPr>
          <w:p w14:paraId="6F81276B" w14:textId="06EBB306"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740421E" w14:textId="77777777" w:rsidTr="00B10463">
        <w:trPr>
          <w:tblCellSpacing w:w="0" w:type="dxa"/>
        </w:trPr>
        <w:tc>
          <w:tcPr>
            <w:tcW w:w="0" w:type="auto"/>
            <w:hideMark/>
          </w:tcPr>
          <w:p w14:paraId="40F6E7B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0420</w:t>
            </w:r>
          </w:p>
        </w:tc>
        <w:tc>
          <w:tcPr>
            <w:tcW w:w="0" w:type="auto"/>
            <w:hideMark/>
          </w:tcPr>
          <w:p w14:paraId="5B2517D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1.1.1.14.3</w:t>
            </w:r>
          </w:p>
        </w:tc>
        <w:tc>
          <w:tcPr>
            <w:tcW w:w="0" w:type="auto"/>
            <w:hideMark/>
          </w:tcPr>
          <w:p w14:paraId="3911BA87" w14:textId="7E74E5CD"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Activele fondului de pensii cu beneficii determinate pe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are capacitatea de a le utiliza fără restricții</w:t>
            </w:r>
          </w:p>
        </w:tc>
        <w:tc>
          <w:tcPr>
            <w:tcW w:w="0" w:type="auto"/>
            <w:hideMark/>
          </w:tcPr>
          <w:p w14:paraId="782D91D3" w14:textId="1B3F9C76"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823E049" w14:textId="77777777" w:rsidTr="00B10463">
        <w:trPr>
          <w:tblCellSpacing w:w="0" w:type="dxa"/>
        </w:trPr>
        <w:tc>
          <w:tcPr>
            <w:tcW w:w="0" w:type="auto"/>
            <w:hideMark/>
          </w:tcPr>
          <w:p w14:paraId="4735331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0430</w:t>
            </w:r>
          </w:p>
        </w:tc>
        <w:tc>
          <w:tcPr>
            <w:tcW w:w="0" w:type="auto"/>
            <w:hideMark/>
          </w:tcPr>
          <w:p w14:paraId="5EF6E4E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1.1.1.15</w:t>
            </w:r>
          </w:p>
        </w:tc>
        <w:tc>
          <w:tcPr>
            <w:tcW w:w="0" w:type="auto"/>
            <w:hideMark/>
          </w:tcPr>
          <w:p w14:paraId="40B87E6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Dețineri reciproce în fonduri proprii de nivel 1 de bază</w:t>
            </w:r>
          </w:p>
        </w:tc>
        <w:tc>
          <w:tcPr>
            <w:tcW w:w="0" w:type="auto"/>
            <w:hideMark/>
          </w:tcPr>
          <w:p w14:paraId="00D64BBA" w14:textId="726225F1"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296FD15D" w14:textId="77777777" w:rsidTr="00B10463">
        <w:trPr>
          <w:tblCellSpacing w:w="0" w:type="dxa"/>
        </w:trPr>
        <w:tc>
          <w:tcPr>
            <w:tcW w:w="0" w:type="auto"/>
            <w:hideMark/>
          </w:tcPr>
          <w:p w14:paraId="53600F7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0440</w:t>
            </w:r>
          </w:p>
        </w:tc>
        <w:tc>
          <w:tcPr>
            <w:tcW w:w="0" w:type="auto"/>
            <w:hideMark/>
          </w:tcPr>
          <w:p w14:paraId="273DF6F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1.1.1.16</w:t>
            </w:r>
          </w:p>
        </w:tc>
        <w:tc>
          <w:tcPr>
            <w:tcW w:w="0" w:type="auto"/>
            <w:hideMark/>
          </w:tcPr>
          <w:p w14:paraId="0F390894" w14:textId="65A0DDFC"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 Valoarea deducerilor din elementele de fonduri proprii de nivel 1 suplimentar care </w:t>
            </w:r>
            <w:r w:rsidR="00BA54EA">
              <w:rPr>
                <w:rFonts w:ascii="Times New Roman" w:eastAsia="Times New Roman" w:hAnsi="Times New Roman" w:cs="Times New Roman"/>
                <w:color w:val="000000"/>
                <w:kern w:val="0"/>
                <w:lang w:eastAsia="ro-MD"/>
                <w14:ligatures w14:val="none"/>
              </w:rPr>
              <w:t>depășește</w:t>
            </w:r>
            <w:r w:rsidR="00BA54EA" w:rsidRPr="00260C32">
              <w:rPr>
                <w:rFonts w:ascii="Times New Roman" w:eastAsia="Times New Roman" w:hAnsi="Times New Roman" w:cs="Times New Roman"/>
                <w:color w:val="000000"/>
                <w:kern w:val="0"/>
                <w:lang w:eastAsia="ro-MD"/>
                <w14:ligatures w14:val="none"/>
              </w:rPr>
              <w:t xml:space="preserve"> </w:t>
            </w:r>
            <w:r w:rsidRPr="00260C32">
              <w:rPr>
                <w:rFonts w:ascii="Times New Roman" w:eastAsia="Times New Roman" w:hAnsi="Times New Roman" w:cs="Times New Roman"/>
                <w:color w:val="000000"/>
                <w:kern w:val="0"/>
                <w:lang w:eastAsia="ro-MD"/>
                <w14:ligatures w14:val="none"/>
              </w:rPr>
              <w:t>fondurile proprii de nivel 1 suplimentar</w:t>
            </w:r>
          </w:p>
        </w:tc>
        <w:tc>
          <w:tcPr>
            <w:tcW w:w="0" w:type="auto"/>
            <w:hideMark/>
          </w:tcPr>
          <w:p w14:paraId="1A0ABFE1" w14:textId="3A568EE7" w:rsidR="00260C32" w:rsidRPr="00260C32" w:rsidRDefault="00260C32" w:rsidP="0085599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67CFBBC" w14:textId="77777777" w:rsidTr="00B10463">
        <w:trPr>
          <w:tblCellSpacing w:w="0" w:type="dxa"/>
        </w:trPr>
        <w:tc>
          <w:tcPr>
            <w:tcW w:w="0" w:type="auto"/>
            <w:hideMark/>
          </w:tcPr>
          <w:p w14:paraId="41BFA03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0450</w:t>
            </w:r>
          </w:p>
        </w:tc>
        <w:tc>
          <w:tcPr>
            <w:tcW w:w="0" w:type="auto"/>
            <w:hideMark/>
          </w:tcPr>
          <w:p w14:paraId="6F72707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1.1.1.17</w:t>
            </w:r>
          </w:p>
        </w:tc>
        <w:tc>
          <w:tcPr>
            <w:tcW w:w="0" w:type="auto"/>
            <w:hideMark/>
          </w:tcPr>
          <w:p w14:paraId="14516332" w14:textId="6770F7C4"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Dețineri calificate din afara sectorului financiar care pot fi, ca alternativă, supuse unei ponderi de risc de 1 </w:t>
            </w:r>
            <w:r w:rsidR="007F3ACC">
              <w:rPr>
                <w:rFonts w:ascii="Times New Roman" w:eastAsia="Times New Roman" w:hAnsi="Times New Roman" w:cs="Times New Roman"/>
                <w:color w:val="000000"/>
                <w:kern w:val="0"/>
                <w:lang w:eastAsia="ro-MD"/>
                <w14:ligatures w14:val="none"/>
              </w:rPr>
              <w:t>00</w:t>
            </w:r>
            <w:r w:rsidRPr="00260C32">
              <w:rPr>
                <w:rFonts w:ascii="Times New Roman" w:eastAsia="Times New Roman" w:hAnsi="Times New Roman" w:cs="Times New Roman"/>
                <w:color w:val="000000"/>
                <w:kern w:val="0"/>
                <w:lang w:eastAsia="ro-MD"/>
                <w14:ligatures w14:val="none"/>
              </w:rPr>
              <w:t>0  %</w:t>
            </w:r>
          </w:p>
        </w:tc>
        <w:tc>
          <w:tcPr>
            <w:tcW w:w="0" w:type="auto"/>
            <w:hideMark/>
          </w:tcPr>
          <w:p w14:paraId="11572040" w14:textId="25B5139A" w:rsidR="00260C32" w:rsidRPr="00260C32" w:rsidRDefault="00260C32" w:rsidP="006F6C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227B45F8" w14:textId="77777777" w:rsidTr="00B10463">
        <w:trPr>
          <w:tblCellSpacing w:w="0" w:type="dxa"/>
        </w:trPr>
        <w:tc>
          <w:tcPr>
            <w:tcW w:w="0" w:type="auto"/>
            <w:hideMark/>
          </w:tcPr>
          <w:p w14:paraId="13D235E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0460</w:t>
            </w:r>
          </w:p>
        </w:tc>
        <w:tc>
          <w:tcPr>
            <w:tcW w:w="0" w:type="auto"/>
            <w:hideMark/>
          </w:tcPr>
          <w:p w14:paraId="026A101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1.1.1.18</w:t>
            </w:r>
          </w:p>
        </w:tc>
        <w:tc>
          <w:tcPr>
            <w:tcW w:w="0" w:type="auto"/>
            <w:hideMark/>
          </w:tcPr>
          <w:p w14:paraId="39F83F43" w14:textId="7DEFE520"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Poziții din securitizare care pot fi, ca alternativă, supuse unei ponderi de risc de 1 </w:t>
            </w:r>
            <w:r w:rsidR="007F3ACC">
              <w:rPr>
                <w:rFonts w:ascii="Times New Roman" w:eastAsia="Times New Roman" w:hAnsi="Times New Roman" w:cs="Times New Roman"/>
                <w:color w:val="000000"/>
                <w:kern w:val="0"/>
                <w:lang w:eastAsia="ro-MD"/>
                <w14:ligatures w14:val="none"/>
              </w:rPr>
              <w:t>00</w:t>
            </w:r>
            <w:r w:rsidRPr="00260C32">
              <w:rPr>
                <w:rFonts w:ascii="Times New Roman" w:eastAsia="Times New Roman" w:hAnsi="Times New Roman" w:cs="Times New Roman"/>
                <w:color w:val="000000"/>
                <w:kern w:val="0"/>
                <w:lang w:eastAsia="ro-MD"/>
                <w14:ligatures w14:val="none"/>
              </w:rPr>
              <w:t>0  %</w:t>
            </w:r>
          </w:p>
        </w:tc>
        <w:tc>
          <w:tcPr>
            <w:tcW w:w="0" w:type="auto"/>
            <w:hideMark/>
          </w:tcPr>
          <w:p w14:paraId="039FBF51" w14:textId="1B2AE45B" w:rsidR="00260C32" w:rsidRPr="00260C32" w:rsidRDefault="00260C32" w:rsidP="006F6C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2ED7FB73" w14:textId="77777777" w:rsidTr="00B10463">
        <w:trPr>
          <w:tblCellSpacing w:w="0" w:type="dxa"/>
        </w:trPr>
        <w:tc>
          <w:tcPr>
            <w:tcW w:w="0" w:type="auto"/>
            <w:hideMark/>
          </w:tcPr>
          <w:p w14:paraId="6E37EFC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0470</w:t>
            </w:r>
          </w:p>
        </w:tc>
        <w:tc>
          <w:tcPr>
            <w:tcW w:w="0" w:type="auto"/>
            <w:hideMark/>
          </w:tcPr>
          <w:p w14:paraId="72F626A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1.1.1.19</w:t>
            </w:r>
          </w:p>
        </w:tc>
        <w:tc>
          <w:tcPr>
            <w:tcW w:w="0" w:type="auto"/>
            <w:hideMark/>
          </w:tcPr>
          <w:p w14:paraId="683545E8" w14:textId="0A837749"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Tranzacții incomplete care pot fi, ca alternativă, supuse unei ponderi de risc de 1 </w:t>
            </w:r>
            <w:r w:rsidR="007F3ACC">
              <w:rPr>
                <w:rFonts w:ascii="Times New Roman" w:eastAsia="Times New Roman" w:hAnsi="Times New Roman" w:cs="Times New Roman"/>
                <w:color w:val="000000"/>
                <w:kern w:val="0"/>
                <w:lang w:eastAsia="ro-MD"/>
                <w14:ligatures w14:val="none"/>
              </w:rPr>
              <w:t>00</w:t>
            </w:r>
            <w:r w:rsidRPr="00260C32">
              <w:rPr>
                <w:rFonts w:ascii="Times New Roman" w:eastAsia="Times New Roman" w:hAnsi="Times New Roman" w:cs="Times New Roman"/>
                <w:color w:val="000000"/>
                <w:kern w:val="0"/>
                <w:lang w:eastAsia="ro-MD"/>
                <w14:ligatures w14:val="none"/>
              </w:rPr>
              <w:t>0  %</w:t>
            </w:r>
          </w:p>
        </w:tc>
        <w:tc>
          <w:tcPr>
            <w:tcW w:w="0" w:type="auto"/>
            <w:hideMark/>
          </w:tcPr>
          <w:p w14:paraId="5EC7B783" w14:textId="4356D7AA" w:rsidR="00260C32" w:rsidRPr="00260C32" w:rsidRDefault="00260C32" w:rsidP="006F6C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3CE4372" w14:textId="77777777" w:rsidTr="00B10463">
        <w:trPr>
          <w:tblCellSpacing w:w="0" w:type="dxa"/>
        </w:trPr>
        <w:tc>
          <w:tcPr>
            <w:tcW w:w="0" w:type="auto"/>
            <w:hideMark/>
          </w:tcPr>
          <w:p w14:paraId="2ED642F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0471</w:t>
            </w:r>
          </w:p>
        </w:tc>
        <w:tc>
          <w:tcPr>
            <w:tcW w:w="0" w:type="auto"/>
            <w:hideMark/>
          </w:tcPr>
          <w:p w14:paraId="6CD3F5E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1.1.1.20</w:t>
            </w:r>
          </w:p>
        </w:tc>
        <w:tc>
          <w:tcPr>
            <w:tcW w:w="0" w:type="auto"/>
            <w:hideMark/>
          </w:tcPr>
          <w:p w14:paraId="1A8DF956" w14:textId="4B5D27CE"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 Poziții dintr-un coș de expuneri pentru care o </w:t>
            </w:r>
            <w:r w:rsidR="00541213">
              <w:rPr>
                <w:rFonts w:ascii="Times New Roman" w:eastAsia="Times New Roman" w:hAnsi="Times New Roman" w:cs="Times New Roman"/>
                <w:color w:val="000000"/>
                <w:kern w:val="0"/>
                <w:lang w:eastAsia="ro-MD"/>
                <w14:ligatures w14:val="none"/>
              </w:rPr>
              <w:t>bancă</w:t>
            </w:r>
            <w:r w:rsidRPr="00260C32">
              <w:rPr>
                <w:rFonts w:ascii="Times New Roman" w:eastAsia="Times New Roman" w:hAnsi="Times New Roman" w:cs="Times New Roman"/>
                <w:color w:val="000000"/>
                <w:kern w:val="0"/>
                <w:lang w:eastAsia="ro-MD"/>
                <w14:ligatures w14:val="none"/>
              </w:rPr>
              <w:t xml:space="preserve"> nu poate determina ponderea de risc aplicând abordarea IRB și care pot fi, ca alternativă, supuse unei ponderi de risc de 1 </w:t>
            </w:r>
            <w:r w:rsidR="007F3ACC">
              <w:rPr>
                <w:rFonts w:ascii="Times New Roman" w:eastAsia="Times New Roman" w:hAnsi="Times New Roman" w:cs="Times New Roman"/>
                <w:color w:val="000000"/>
                <w:kern w:val="0"/>
                <w:lang w:eastAsia="ro-MD"/>
                <w14:ligatures w14:val="none"/>
              </w:rPr>
              <w:t>00</w:t>
            </w:r>
            <w:r w:rsidRPr="00260C32">
              <w:rPr>
                <w:rFonts w:ascii="Times New Roman" w:eastAsia="Times New Roman" w:hAnsi="Times New Roman" w:cs="Times New Roman"/>
                <w:color w:val="000000"/>
                <w:kern w:val="0"/>
                <w:lang w:eastAsia="ro-MD"/>
                <w14:ligatures w14:val="none"/>
              </w:rPr>
              <w:t>0  %</w:t>
            </w:r>
          </w:p>
        </w:tc>
        <w:tc>
          <w:tcPr>
            <w:tcW w:w="0" w:type="auto"/>
            <w:hideMark/>
          </w:tcPr>
          <w:p w14:paraId="53A31E4D" w14:textId="0490371B" w:rsidR="00260C32" w:rsidRPr="00260C32" w:rsidRDefault="00260C32" w:rsidP="006F6C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2F6D385" w14:textId="77777777" w:rsidTr="00B10463">
        <w:trPr>
          <w:tblCellSpacing w:w="0" w:type="dxa"/>
        </w:trPr>
        <w:tc>
          <w:tcPr>
            <w:tcW w:w="0" w:type="auto"/>
            <w:hideMark/>
          </w:tcPr>
          <w:p w14:paraId="0AFE2D3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0472</w:t>
            </w:r>
          </w:p>
        </w:tc>
        <w:tc>
          <w:tcPr>
            <w:tcW w:w="0" w:type="auto"/>
            <w:hideMark/>
          </w:tcPr>
          <w:p w14:paraId="5419E87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1.1.1.21</w:t>
            </w:r>
          </w:p>
        </w:tc>
        <w:tc>
          <w:tcPr>
            <w:tcW w:w="0" w:type="auto"/>
            <w:hideMark/>
          </w:tcPr>
          <w:p w14:paraId="00F88B6F" w14:textId="0A96AC72"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Expuneri provenind din titluri de capital în cadrul unei abordări bazate pe modele interne care pot fi, ca alternativă, supuse unei ponderi de risc de 1 </w:t>
            </w:r>
            <w:r w:rsidR="007F3ACC">
              <w:rPr>
                <w:rFonts w:ascii="Times New Roman" w:eastAsia="Times New Roman" w:hAnsi="Times New Roman" w:cs="Times New Roman"/>
                <w:color w:val="000000"/>
                <w:kern w:val="0"/>
                <w:lang w:eastAsia="ro-MD"/>
                <w14:ligatures w14:val="none"/>
              </w:rPr>
              <w:t>00</w:t>
            </w:r>
            <w:r w:rsidRPr="00260C32">
              <w:rPr>
                <w:rFonts w:ascii="Times New Roman" w:eastAsia="Times New Roman" w:hAnsi="Times New Roman" w:cs="Times New Roman"/>
                <w:color w:val="000000"/>
                <w:kern w:val="0"/>
                <w:lang w:eastAsia="ro-MD"/>
                <w14:ligatures w14:val="none"/>
              </w:rPr>
              <w:t>0  %</w:t>
            </w:r>
          </w:p>
        </w:tc>
        <w:tc>
          <w:tcPr>
            <w:tcW w:w="0" w:type="auto"/>
            <w:hideMark/>
          </w:tcPr>
          <w:p w14:paraId="5A09BF25" w14:textId="632D8811" w:rsidR="00260C32" w:rsidRPr="00260C32" w:rsidRDefault="00260C32" w:rsidP="006F6C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1E42B15" w14:textId="77777777" w:rsidTr="00B10463">
        <w:trPr>
          <w:tblCellSpacing w:w="0" w:type="dxa"/>
        </w:trPr>
        <w:tc>
          <w:tcPr>
            <w:tcW w:w="0" w:type="auto"/>
            <w:hideMark/>
          </w:tcPr>
          <w:p w14:paraId="121D7BE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0480</w:t>
            </w:r>
          </w:p>
        </w:tc>
        <w:tc>
          <w:tcPr>
            <w:tcW w:w="0" w:type="auto"/>
            <w:hideMark/>
          </w:tcPr>
          <w:p w14:paraId="1026CD3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1.1.1.22</w:t>
            </w:r>
          </w:p>
        </w:tc>
        <w:tc>
          <w:tcPr>
            <w:tcW w:w="0" w:type="auto"/>
            <w:hideMark/>
          </w:tcPr>
          <w:p w14:paraId="3B9BACB2" w14:textId="5B7BEFCA"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 Instrumente de fonduri proprii de nivel 1 de bază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5E3CE9DA" w14:textId="67188C62" w:rsidR="00260C32" w:rsidRPr="00260C32" w:rsidRDefault="00260C32" w:rsidP="006F6C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D2B2406" w14:textId="77777777" w:rsidTr="00B10463">
        <w:trPr>
          <w:tblCellSpacing w:w="0" w:type="dxa"/>
        </w:trPr>
        <w:tc>
          <w:tcPr>
            <w:tcW w:w="0" w:type="auto"/>
            <w:hideMark/>
          </w:tcPr>
          <w:p w14:paraId="0955AB2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0490</w:t>
            </w:r>
          </w:p>
        </w:tc>
        <w:tc>
          <w:tcPr>
            <w:tcW w:w="0" w:type="auto"/>
            <w:hideMark/>
          </w:tcPr>
          <w:p w14:paraId="3692FD6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1.1.1.23</w:t>
            </w:r>
          </w:p>
        </w:tc>
        <w:tc>
          <w:tcPr>
            <w:tcW w:w="0" w:type="auto"/>
            <w:hideMark/>
          </w:tcPr>
          <w:p w14:paraId="4010789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Creanțele deductibile privind impozitul amânat care se bazează pe profitabilitatea viitoare și decurg din diferențele temporare</w:t>
            </w:r>
          </w:p>
        </w:tc>
        <w:tc>
          <w:tcPr>
            <w:tcW w:w="0" w:type="auto"/>
            <w:hideMark/>
          </w:tcPr>
          <w:p w14:paraId="52F00636" w14:textId="33CE6C1C"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2045F19E" w14:textId="77777777" w:rsidTr="00B10463">
        <w:trPr>
          <w:tblCellSpacing w:w="0" w:type="dxa"/>
        </w:trPr>
        <w:tc>
          <w:tcPr>
            <w:tcW w:w="0" w:type="auto"/>
            <w:hideMark/>
          </w:tcPr>
          <w:p w14:paraId="5B11F54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0500</w:t>
            </w:r>
          </w:p>
        </w:tc>
        <w:tc>
          <w:tcPr>
            <w:tcW w:w="0" w:type="auto"/>
            <w:hideMark/>
          </w:tcPr>
          <w:p w14:paraId="5AFBDC1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1.1.1.24</w:t>
            </w:r>
          </w:p>
        </w:tc>
        <w:tc>
          <w:tcPr>
            <w:tcW w:w="0" w:type="auto"/>
            <w:hideMark/>
          </w:tcPr>
          <w:p w14:paraId="0B365D42" w14:textId="46A12E0E"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 Instrumente de fonduri proprii de nivel 1 de bază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3FA461BA" w14:textId="11164637"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29E37633" w14:textId="77777777" w:rsidTr="00B10463">
        <w:trPr>
          <w:tblCellSpacing w:w="0" w:type="dxa"/>
        </w:trPr>
        <w:tc>
          <w:tcPr>
            <w:tcW w:w="0" w:type="auto"/>
            <w:hideMark/>
          </w:tcPr>
          <w:p w14:paraId="3652F41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0510</w:t>
            </w:r>
          </w:p>
        </w:tc>
        <w:tc>
          <w:tcPr>
            <w:tcW w:w="0" w:type="auto"/>
            <w:hideMark/>
          </w:tcPr>
          <w:p w14:paraId="276B115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1.1.1.25</w:t>
            </w:r>
          </w:p>
        </w:tc>
        <w:tc>
          <w:tcPr>
            <w:tcW w:w="0" w:type="auto"/>
            <w:hideMark/>
          </w:tcPr>
          <w:p w14:paraId="518406A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Cuantum care depășește pragul de 17.65 %</w:t>
            </w:r>
          </w:p>
        </w:tc>
        <w:tc>
          <w:tcPr>
            <w:tcW w:w="0" w:type="auto"/>
            <w:hideMark/>
          </w:tcPr>
          <w:p w14:paraId="5100E1CE" w14:textId="1E906FDE"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2BCC683" w14:textId="77777777" w:rsidTr="00B10463">
        <w:trPr>
          <w:tblCellSpacing w:w="0" w:type="dxa"/>
        </w:trPr>
        <w:tc>
          <w:tcPr>
            <w:tcW w:w="0" w:type="auto"/>
            <w:hideMark/>
          </w:tcPr>
          <w:p w14:paraId="163A5E9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0511</w:t>
            </w:r>
          </w:p>
        </w:tc>
        <w:tc>
          <w:tcPr>
            <w:tcW w:w="0" w:type="auto"/>
            <w:hideMark/>
          </w:tcPr>
          <w:p w14:paraId="584C8FF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1.1.1.25.1</w:t>
            </w:r>
          </w:p>
        </w:tc>
        <w:tc>
          <w:tcPr>
            <w:tcW w:w="0" w:type="auto"/>
            <w:hideMark/>
          </w:tcPr>
          <w:p w14:paraId="0C3AE167" w14:textId="3070B4B1"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 Cuantum care depășește pragul de 17.65 % aferent instrumentelor de fonduri proprii de nivel 1 de bază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49E5DF85" w14:textId="262060DB"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E079EB9" w14:textId="77777777" w:rsidTr="00B10463">
        <w:trPr>
          <w:tblCellSpacing w:w="0" w:type="dxa"/>
        </w:trPr>
        <w:tc>
          <w:tcPr>
            <w:tcW w:w="0" w:type="auto"/>
            <w:hideMark/>
          </w:tcPr>
          <w:p w14:paraId="6F18573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0512</w:t>
            </w:r>
          </w:p>
        </w:tc>
        <w:tc>
          <w:tcPr>
            <w:tcW w:w="0" w:type="auto"/>
            <w:hideMark/>
          </w:tcPr>
          <w:p w14:paraId="13D6F21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1.1.1.25.2</w:t>
            </w:r>
          </w:p>
        </w:tc>
        <w:tc>
          <w:tcPr>
            <w:tcW w:w="0" w:type="auto"/>
            <w:hideMark/>
          </w:tcPr>
          <w:p w14:paraId="381106E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Cuantum care depășește pragul de 17.65 % aferent creanțelor privind impozitul amânat care decurg din diferențele temporare</w:t>
            </w:r>
          </w:p>
        </w:tc>
        <w:tc>
          <w:tcPr>
            <w:tcW w:w="0" w:type="auto"/>
            <w:hideMark/>
          </w:tcPr>
          <w:p w14:paraId="0041F95A" w14:textId="433076CB"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E8B9B75" w14:textId="77777777" w:rsidTr="00B10463">
        <w:trPr>
          <w:tblCellSpacing w:w="0" w:type="dxa"/>
        </w:trPr>
        <w:tc>
          <w:tcPr>
            <w:tcW w:w="0" w:type="auto"/>
            <w:hideMark/>
          </w:tcPr>
          <w:p w14:paraId="056125C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lastRenderedPageBreak/>
              <w:t>0513</w:t>
            </w:r>
          </w:p>
        </w:tc>
        <w:tc>
          <w:tcPr>
            <w:tcW w:w="0" w:type="auto"/>
            <w:hideMark/>
          </w:tcPr>
          <w:p w14:paraId="7AF3343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1.1.1.25A</w:t>
            </w:r>
          </w:p>
        </w:tc>
        <w:tc>
          <w:tcPr>
            <w:tcW w:w="0" w:type="auto"/>
            <w:hideMark/>
          </w:tcPr>
          <w:p w14:paraId="5F26CB3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Acoperirea insuficientă pentru expunerile neperformante</w:t>
            </w:r>
          </w:p>
        </w:tc>
        <w:tc>
          <w:tcPr>
            <w:tcW w:w="0" w:type="auto"/>
            <w:hideMark/>
          </w:tcPr>
          <w:p w14:paraId="6E4DED0A" w14:textId="354A1D4B"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3866F95" w14:textId="77777777" w:rsidTr="00B10463">
        <w:trPr>
          <w:tblCellSpacing w:w="0" w:type="dxa"/>
        </w:trPr>
        <w:tc>
          <w:tcPr>
            <w:tcW w:w="0" w:type="auto"/>
            <w:hideMark/>
          </w:tcPr>
          <w:p w14:paraId="0CD7B70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0514</w:t>
            </w:r>
          </w:p>
        </w:tc>
        <w:tc>
          <w:tcPr>
            <w:tcW w:w="0" w:type="auto"/>
            <w:hideMark/>
          </w:tcPr>
          <w:p w14:paraId="4A95C4D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1.1.1.25B</w:t>
            </w:r>
          </w:p>
        </w:tc>
        <w:tc>
          <w:tcPr>
            <w:tcW w:w="0" w:type="auto"/>
            <w:hideMark/>
          </w:tcPr>
          <w:p w14:paraId="6EAC32A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Deficite ale angajamentelor de valoare minimă</w:t>
            </w:r>
          </w:p>
        </w:tc>
        <w:tc>
          <w:tcPr>
            <w:tcW w:w="0" w:type="auto"/>
            <w:hideMark/>
          </w:tcPr>
          <w:p w14:paraId="5F2041BA" w14:textId="77528E06"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96340EC" w14:textId="77777777" w:rsidTr="00B10463">
        <w:trPr>
          <w:tblCellSpacing w:w="0" w:type="dxa"/>
        </w:trPr>
        <w:tc>
          <w:tcPr>
            <w:tcW w:w="0" w:type="auto"/>
            <w:hideMark/>
          </w:tcPr>
          <w:p w14:paraId="0773A05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0515</w:t>
            </w:r>
          </w:p>
        </w:tc>
        <w:tc>
          <w:tcPr>
            <w:tcW w:w="0" w:type="auto"/>
            <w:hideMark/>
          </w:tcPr>
          <w:p w14:paraId="79DBE5B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1.1.1.25C</w:t>
            </w:r>
          </w:p>
        </w:tc>
        <w:tc>
          <w:tcPr>
            <w:tcW w:w="0" w:type="auto"/>
            <w:hideMark/>
          </w:tcPr>
          <w:p w14:paraId="0408F78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Alte impozite previzibile</w:t>
            </w:r>
          </w:p>
        </w:tc>
        <w:tc>
          <w:tcPr>
            <w:tcW w:w="0" w:type="auto"/>
            <w:hideMark/>
          </w:tcPr>
          <w:p w14:paraId="670C9955" w14:textId="351F7CD5"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A6284DF" w14:textId="77777777" w:rsidTr="00B10463">
        <w:trPr>
          <w:tblCellSpacing w:w="0" w:type="dxa"/>
        </w:trPr>
        <w:tc>
          <w:tcPr>
            <w:tcW w:w="0" w:type="auto"/>
            <w:hideMark/>
          </w:tcPr>
          <w:p w14:paraId="1FBE7EE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0520</w:t>
            </w:r>
          </w:p>
        </w:tc>
        <w:tc>
          <w:tcPr>
            <w:tcW w:w="0" w:type="auto"/>
            <w:hideMark/>
          </w:tcPr>
          <w:p w14:paraId="6A17C76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1.1.1.26</w:t>
            </w:r>
          </w:p>
        </w:tc>
        <w:tc>
          <w:tcPr>
            <w:tcW w:w="0" w:type="auto"/>
            <w:hideMark/>
          </w:tcPr>
          <w:p w14:paraId="2D497F9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Alte ajustări tranzitorii aferente fondurilor proprii de nivel 1 de bază</w:t>
            </w:r>
          </w:p>
        </w:tc>
        <w:tc>
          <w:tcPr>
            <w:tcW w:w="0" w:type="auto"/>
            <w:hideMark/>
          </w:tcPr>
          <w:p w14:paraId="77B01D57" w14:textId="143BFF63" w:rsidR="00260C32" w:rsidRPr="00260C32" w:rsidRDefault="002C1289"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x</w:t>
            </w:r>
          </w:p>
        </w:tc>
      </w:tr>
      <w:tr w:rsidR="00260C32" w:rsidRPr="00260C32" w14:paraId="12741D6A" w14:textId="77777777" w:rsidTr="00B10463">
        <w:trPr>
          <w:tblCellSpacing w:w="0" w:type="dxa"/>
        </w:trPr>
        <w:tc>
          <w:tcPr>
            <w:tcW w:w="0" w:type="auto"/>
            <w:hideMark/>
          </w:tcPr>
          <w:p w14:paraId="709038F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0524</w:t>
            </w:r>
          </w:p>
        </w:tc>
        <w:tc>
          <w:tcPr>
            <w:tcW w:w="0" w:type="auto"/>
            <w:hideMark/>
          </w:tcPr>
          <w:p w14:paraId="67E7949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1.1.1.27</w:t>
            </w:r>
          </w:p>
        </w:tc>
        <w:tc>
          <w:tcPr>
            <w:tcW w:w="0" w:type="auto"/>
            <w:hideMark/>
          </w:tcPr>
          <w:p w14:paraId="3A3CF5D2" w14:textId="560218CA"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 Deduceri suplimentare din fondurile proprii de nivel 1 de bază efectuate în temeiul </w:t>
            </w:r>
            <w:r w:rsidR="007F3ACC">
              <w:rPr>
                <w:rFonts w:ascii="Times New Roman" w:eastAsia="Times New Roman" w:hAnsi="Times New Roman" w:cs="Times New Roman"/>
                <w:color w:val="000000"/>
                <w:kern w:val="0"/>
                <w:lang w:eastAsia="ro-MD"/>
                <w14:ligatures w14:val="none"/>
              </w:rPr>
              <w:t>punct</w:t>
            </w:r>
            <w:r w:rsidRPr="00260C32">
              <w:rPr>
                <w:rFonts w:ascii="Times New Roman" w:eastAsia="Times New Roman" w:hAnsi="Times New Roman" w:cs="Times New Roman"/>
                <w:color w:val="000000"/>
                <w:kern w:val="0"/>
                <w:lang w:eastAsia="ro-MD"/>
                <w14:ligatures w14:val="none"/>
              </w:rPr>
              <w:t xml:space="preserve">ului 3 din </w:t>
            </w:r>
            <w:r w:rsidR="007F3ACC" w:rsidRPr="004E2493">
              <w:rPr>
                <w:rFonts w:ascii="Times New Roman" w:eastAsia="Times New Roman" w:hAnsi="Times New Roman" w:cs="Times New Roman"/>
                <w:color w:val="000000"/>
                <w:kern w:val="0"/>
                <w:lang w:eastAsia="ro-MD"/>
                <w14:ligatures w14:val="none"/>
              </w:rPr>
              <w:t>Regulamentul nr.109/2018</w:t>
            </w:r>
          </w:p>
        </w:tc>
        <w:tc>
          <w:tcPr>
            <w:tcW w:w="0" w:type="auto"/>
            <w:hideMark/>
          </w:tcPr>
          <w:p w14:paraId="4FAF4843" w14:textId="334FDB55"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2CE12013" w14:textId="77777777" w:rsidTr="00B10463">
        <w:trPr>
          <w:tblCellSpacing w:w="0" w:type="dxa"/>
        </w:trPr>
        <w:tc>
          <w:tcPr>
            <w:tcW w:w="0" w:type="auto"/>
            <w:hideMark/>
          </w:tcPr>
          <w:p w14:paraId="0B9934A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0529</w:t>
            </w:r>
          </w:p>
        </w:tc>
        <w:tc>
          <w:tcPr>
            <w:tcW w:w="0" w:type="auto"/>
            <w:hideMark/>
          </w:tcPr>
          <w:p w14:paraId="0F8535D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1.1.1.28</w:t>
            </w:r>
          </w:p>
        </w:tc>
        <w:tc>
          <w:tcPr>
            <w:tcW w:w="0" w:type="auto"/>
            <w:hideMark/>
          </w:tcPr>
          <w:p w14:paraId="046F772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Elemente ale fondurilor proprii de nivel 1 de bază sau deduceri din acestea – altele</w:t>
            </w:r>
          </w:p>
        </w:tc>
        <w:tc>
          <w:tcPr>
            <w:tcW w:w="0" w:type="auto"/>
            <w:hideMark/>
          </w:tcPr>
          <w:p w14:paraId="433A411F" w14:textId="17CD84A0"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B3DEB1D" w14:textId="77777777" w:rsidTr="00B10463">
        <w:trPr>
          <w:tblCellSpacing w:w="0" w:type="dxa"/>
        </w:trPr>
        <w:tc>
          <w:tcPr>
            <w:tcW w:w="0" w:type="auto"/>
            <w:hideMark/>
          </w:tcPr>
          <w:p w14:paraId="53983C4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0530</w:t>
            </w:r>
          </w:p>
        </w:tc>
        <w:tc>
          <w:tcPr>
            <w:tcW w:w="0" w:type="auto"/>
            <w:hideMark/>
          </w:tcPr>
          <w:p w14:paraId="124CBB7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1.1.2</w:t>
            </w:r>
          </w:p>
        </w:tc>
        <w:tc>
          <w:tcPr>
            <w:tcW w:w="0" w:type="auto"/>
            <w:hideMark/>
          </w:tcPr>
          <w:p w14:paraId="24C1B2DB" w14:textId="1A3D2320" w:rsidR="00260C32" w:rsidRPr="00260C32" w:rsidRDefault="00825F64"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Pr>
                <w:rFonts w:ascii="Times New Roman" w:eastAsia="Times New Roman" w:hAnsi="Times New Roman" w:cs="Times New Roman"/>
                <w:b/>
                <w:bCs/>
                <w:color w:val="000000"/>
                <w:kern w:val="0"/>
                <w:lang w:eastAsia="ro-MD"/>
                <w14:ligatures w14:val="none"/>
              </w:rPr>
              <w:t>F</w:t>
            </w:r>
            <w:r w:rsidRPr="00260C32">
              <w:rPr>
                <w:rFonts w:ascii="Times New Roman" w:eastAsia="Times New Roman" w:hAnsi="Times New Roman" w:cs="Times New Roman"/>
                <w:b/>
                <w:bCs/>
                <w:color w:val="000000"/>
                <w:kern w:val="0"/>
                <w:lang w:eastAsia="ro-MD"/>
                <w14:ligatures w14:val="none"/>
              </w:rPr>
              <w:t>onduri proprii de nivel 1 suplimentar</w:t>
            </w:r>
          </w:p>
        </w:tc>
        <w:tc>
          <w:tcPr>
            <w:tcW w:w="0" w:type="auto"/>
            <w:hideMark/>
          </w:tcPr>
          <w:p w14:paraId="35F74C7B" w14:textId="4265A51F"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C4E8D3B" w14:textId="77777777" w:rsidTr="00B10463">
        <w:trPr>
          <w:tblCellSpacing w:w="0" w:type="dxa"/>
        </w:trPr>
        <w:tc>
          <w:tcPr>
            <w:tcW w:w="0" w:type="auto"/>
            <w:hideMark/>
          </w:tcPr>
          <w:p w14:paraId="4171AEF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0540</w:t>
            </w:r>
          </w:p>
        </w:tc>
        <w:tc>
          <w:tcPr>
            <w:tcW w:w="0" w:type="auto"/>
            <w:hideMark/>
          </w:tcPr>
          <w:p w14:paraId="41524E9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1.1.2.1</w:t>
            </w:r>
          </w:p>
        </w:tc>
        <w:tc>
          <w:tcPr>
            <w:tcW w:w="0" w:type="auto"/>
            <w:hideMark/>
          </w:tcPr>
          <w:p w14:paraId="0D9EB3C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Instrumente de capital eligibile drept fonduri proprii de nivel 1 suplimentar</w:t>
            </w:r>
          </w:p>
        </w:tc>
        <w:tc>
          <w:tcPr>
            <w:tcW w:w="0" w:type="auto"/>
            <w:hideMark/>
          </w:tcPr>
          <w:p w14:paraId="1C64A65A" w14:textId="507C7C8A"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CE19BEF" w14:textId="77777777" w:rsidTr="00B10463">
        <w:trPr>
          <w:tblCellSpacing w:w="0" w:type="dxa"/>
        </w:trPr>
        <w:tc>
          <w:tcPr>
            <w:tcW w:w="0" w:type="auto"/>
            <w:hideMark/>
          </w:tcPr>
          <w:p w14:paraId="4C8CF5A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0551</w:t>
            </w:r>
          </w:p>
        </w:tc>
        <w:tc>
          <w:tcPr>
            <w:tcW w:w="0" w:type="auto"/>
            <w:hideMark/>
          </w:tcPr>
          <w:p w14:paraId="56B93D7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1.1.2.1.1</w:t>
            </w:r>
          </w:p>
        </w:tc>
        <w:tc>
          <w:tcPr>
            <w:tcW w:w="0" w:type="auto"/>
            <w:hideMark/>
          </w:tcPr>
          <w:p w14:paraId="1B770B38" w14:textId="25F6C72F" w:rsidR="00260C32" w:rsidRPr="008619D0" w:rsidRDefault="00260C32" w:rsidP="00260C32">
            <w:pPr>
              <w:spacing w:before="100" w:beforeAutospacing="1" w:after="100" w:afterAutospacing="1" w:line="240" w:lineRule="auto"/>
              <w:rPr>
                <w:rFonts w:ascii="Times New Roman" w:eastAsia="Times New Roman" w:hAnsi="Times New Roman" w:cs="Times New Roman"/>
                <w:color w:val="000000"/>
                <w:kern w:val="0"/>
                <w:lang w:val="ro-RO" w:eastAsia="ro-MD"/>
                <w14:ligatures w14:val="none"/>
              </w:rPr>
            </w:pPr>
            <w:r w:rsidRPr="00260C32">
              <w:rPr>
                <w:rFonts w:ascii="Times New Roman" w:eastAsia="Times New Roman" w:hAnsi="Times New Roman" w:cs="Times New Roman"/>
                <w:color w:val="000000"/>
                <w:kern w:val="0"/>
                <w:lang w:eastAsia="ro-MD"/>
                <w14:ligatures w14:val="none"/>
              </w:rPr>
              <w:t>Instrumente de capital plătite integral</w:t>
            </w:r>
            <w:r w:rsidR="008619D0">
              <w:rPr>
                <w:rFonts w:ascii="Times New Roman" w:eastAsia="Times New Roman" w:hAnsi="Times New Roman" w:cs="Times New Roman"/>
                <w:color w:val="000000"/>
                <w:kern w:val="0"/>
                <w:lang w:eastAsia="ro-MD"/>
                <w14:ligatures w14:val="none"/>
              </w:rPr>
              <w:t xml:space="preserve"> </w:t>
            </w:r>
            <w:r w:rsidR="008619D0">
              <w:rPr>
                <w:rFonts w:ascii="Times New Roman" w:eastAsia="Times New Roman" w:hAnsi="Times New Roman" w:cs="Times New Roman"/>
                <w:color w:val="000000"/>
                <w:kern w:val="0"/>
                <w:lang w:val="ro-RO" w:eastAsia="ro-MD"/>
                <w14:ligatures w14:val="none"/>
              </w:rPr>
              <w:t xml:space="preserve">și </w:t>
            </w:r>
            <w:r w:rsidR="008619D0" w:rsidRPr="00260C32">
              <w:rPr>
                <w:rFonts w:ascii="Times New Roman" w:eastAsia="Times New Roman" w:hAnsi="Times New Roman" w:cs="Times New Roman"/>
                <w:color w:val="000000"/>
                <w:kern w:val="0"/>
                <w:lang w:eastAsia="ro-MD"/>
                <w14:ligatures w14:val="none"/>
              </w:rPr>
              <w:t>emise direct</w:t>
            </w:r>
          </w:p>
        </w:tc>
        <w:tc>
          <w:tcPr>
            <w:tcW w:w="0" w:type="auto"/>
            <w:hideMark/>
          </w:tcPr>
          <w:p w14:paraId="40F61DCA" w14:textId="52C291A6"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009B11E" w14:textId="77777777" w:rsidTr="00B10463">
        <w:trPr>
          <w:tblCellSpacing w:w="0" w:type="dxa"/>
        </w:trPr>
        <w:tc>
          <w:tcPr>
            <w:tcW w:w="0" w:type="auto"/>
            <w:hideMark/>
          </w:tcPr>
          <w:p w14:paraId="3627F99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0560</w:t>
            </w:r>
          </w:p>
        </w:tc>
        <w:tc>
          <w:tcPr>
            <w:tcW w:w="0" w:type="auto"/>
            <w:hideMark/>
          </w:tcPr>
          <w:p w14:paraId="369EE08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1.1.2.1.2*</w:t>
            </w:r>
          </w:p>
        </w:tc>
        <w:tc>
          <w:tcPr>
            <w:tcW w:w="0" w:type="auto"/>
            <w:hideMark/>
          </w:tcPr>
          <w:p w14:paraId="0819AB7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Element memorandum: instrumente de capital care nu sunt eligibile</w:t>
            </w:r>
          </w:p>
        </w:tc>
        <w:tc>
          <w:tcPr>
            <w:tcW w:w="0" w:type="auto"/>
            <w:hideMark/>
          </w:tcPr>
          <w:p w14:paraId="5BD39BB7" w14:textId="0D5A6D24"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BD26036" w14:textId="77777777" w:rsidTr="00B10463">
        <w:trPr>
          <w:tblCellSpacing w:w="0" w:type="dxa"/>
        </w:trPr>
        <w:tc>
          <w:tcPr>
            <w:tcW w:w="0" w:type="auto"/>
            <w:hideMark/>
          </w:tcPr>
          <w:p w14:paraId="6EDCAC7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0571</w:t>
            </w:r>
          </w:p>
        </w:tc>
        <w:tc>
          <w:tcPr>
            <w:tcW w:w="0" w:type="auto"/>
            <w:hideMark/>
          </w:tcPr>
          <w:p w14:paraId="22D1C9B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1.1.2.1.3</w:t>
            </w:r>
          </w:p>
        </w:tc>
        <w:tc>
          <w:tcPr>
            <w:tcW w:w="0" w:type="auto"/>
            <w:hideMark/>
          </w:tcPr>
          <w:p w14:paraId="6533716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Prima de emisiune</w:t>
            </w:r>
          </w:p>
        </w:tc>
        <w:tc>
          <w:tcPr>
            <w:tcW w:w="0" w:type="auto"/>
            <w:hideMark/>
          </w:tcPr>
          <w:p w14:paraId="0193528B" w14:textId="6119BDC4"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29A903F0" w14:textId="77777777" w:rsidTr="00B10463">
        <w:trPr>
          <w:tblCellSpacing w:w="0" w:type="dxa"/>
        </w:trPr>
        <w:tc>
          <w:tcPr>
            <w:tcW w:w="0" w:type="auto"/>
            <w:hideMark/>
          </w:tcPr>
          <w:p w14:paraId="20C1B68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0580</w:t>
            </w:r>
          </w:p>
        </w:tc>
        <w:tc>
          <w:tcPr>
            <w:tcW w:w="0" w:type="auto"/>
            <w:hideMark/>
          </w:tcPr>
          <w:p w14:paraId="4285611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1.1.2.1.4</w:t>
            </w:r>
          </w:p>
        </w:tc>
        <w:tc>
          <w:tcPr>
            <w:tcW w:w="0" w:type="auto"/>
            <w:hideMark/>
          </w:tcPr>
          <w:p w14:paraId="11EB202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Instrumente proprii de fonduri proprii de nivel 1 suplimentar</w:t>
            </w:r>
          </w:p>
        </w:tc>
        <w:tc>
          <w:tcPr>
            <w:tcW w:w="0" w:type="auto"/>
            <w:hideMark/>
          </w:tcPr>
          <w:p w14:paraId="043CC047" w14:textId="3391F12E"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AD97DC3" w14:textId="77777777" w:rsidTr="00B10463">
        <w:trPr>
          <w:tblCellSpacing w:w="0" w:type="dxa"/>
        </w:trPr>
        <w:tc>
          <w:tcPr>
            <w:tcW w:w="0" w:type="auto"/>
            <w:hideMark/>
          </w:tcPr>
          <w:p w14:paraId="5408E51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0590</w:t>
            </w:r>
          </w:p>
        </w:tc>
        <w:tc>
          <w:tcPr>
            <w:tcW w:w="0" w:type="auto"/>
            <w:hideMark/>
          </w:tcPr>
          <w:p w14:paraId="744A0B4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1.1.2.1.4.1</w:t>
            </w:r>
          </w:p>
        </w:tc>
        <w:tc>
          <w:tcPr>
            <w:tcW w:w="0" w:type="auto"/>
            <w:hideMark/>
          </w:tcPr>
          <w:p w14:paraId="579EC3A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Dețineri directe de instrumente de fonduri proprii de nivel 1 suplimentar</w:t>
            </w:r>
          </w:p>
        </w:tc>
        <w:tc>
          <w:tcPr>
            <w:tcW w:w="0" w:type="auto"/>
            <w:hideMark/>
          </w:tcPr>
          <w:p w14:paraId="00C403FC" w14:textId="00DE378C"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BAAC84C" w14:textId="77777777" w:rsidTr="00B10463">
        <w:trPr>
          <w:tblCellSpacing w:w="0" w:type="dxa"/>
        </w:trPr>
        <w:tc>
          <w:tcPr>
            <w:tcW w:w="0" w:type="auto"/>
            <w:hideMark/>
          </w:tcPr>
          <w:p w14:paraId="04BA89E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0620</w:t>
            </w:r>
          </w:p>
        </w:tc>
        <w:tc>
          <w:tcPr>
            <w:tcW w:w="0" w:type="auto"/>
            <w:hideMark/>
          </w:tcPr>
          <w:p w14:paraId="0349C6E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1.1.2.1.4.2</w:t>
            </w:r>
          </w:p>
        </w:tc>
        <w:tc>
          <w:tcPr>
            <w:tcW w:w="0" w:type="auto"/>
            <w:hideMark/>
          </w:tcPr>
          <w:p w14:paraId="406141A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Dețineri indirecte de instrumente de fonduri proprii de nivel 1 suplimentar</w:t>
            </w:r>
          </w:p>
        </w:tc>
        <w:tc>
          <w:tcPr>
            <w:tcW w:w="0" w:type="auto"/>
            <w:hideMark/>
          </w:tcPr>
          <w:p w14:paraId="6E213994" w14:textId="6805B46C"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E3CE125" w14:textId="77777777" w:rsidTr="00B10463">
        <w:trPr>
          <w:tblCellSpacing w:w="0" w:type="dxa"/>
        </w:trPr>
        <w:tc>
          <w:tcPr>
            <w:tcW w:w="0" w:type="auto"/>
            <w:hideMark/>
          </w:tcPr>
          <w:p w14:paraId="31D2C3E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0621</w:t>
            </w:r>
          </w:p>
        </w:tc>
        <w:tc>
          <w:tcPr>
            <w:tcW w:w="0" w:type="auto"/>
            <w:hideMark/>
          </w:tcPr>
          <w:p w14:paraId="7DB1786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1.1.2.1.4.3</w:t>
            </w:r>
          </w:p>
        </w:tc>
        <w:tc>
          <w:tcPr>
            <w:tcW w:w="0" w:type="auto"/>
            <w:hideMark/>
          </w:tcPr>
          <w:p w14:paraId="1C644C2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Dețineri sintetice de instrumente de fonduri proprii de nivel 1 suplimentar</w:t>
            </w:r>
          </w:p>
        </w:tc>
        <w:tc>
          <w:tcPr>
            <w:tcW w:w="0" w:type="auto"/>
            <w:hideMark/>
          </w:tcPr>
          <w:p w14:paraId="4ECA3415" w14:textId="3DE786C7"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1F49101" w14:textId="77777777" w:rsidTr="00B10463">
        <w:trPr>
          <w:tblCellSpacing w:w="0" w:type="dxa"/>
        </w:trPr>
        <w:tc>
          <w:tcPr>
            <w:tcW w:w="0" w:type="auto"/>
            <w:hideMark/>
          </w:tcPr>
          <w:p w14:paraId="4096284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0622</w:t>
            </w:r>
          </w:p>
        </w:tc>
        <w:tc>
          <w:tcPr>
            <w:tcW w:w="0" w:type="auto"/>
            <w:hideMark/>
          </w:tcPr>
          <w:p w14:paraId="5B93EB7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1.1.2.1.5</w:t>
            </w:r>
          </w:p>
        </w:tc>
        <w:tc>
          <w:tcPr>
            <w:tcW w:w="0" w:type="auto"/>
            <w:hideMark/>
          </w:tcPr>
          <w:p w14:paraId="54BDB6A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Obligații reale sau contingente de a cumpăra instrumente proprii de fonduri proprii de nivel 1 suplimentar</w:t>
            </w:r>
          </w:p>
        </w:tc>
        <w:tc>
          <w:tcPr>
            <w:tcW w:w="0" w:type="auto"/>
            <w:hideMark/>
          </w:tcPr>
          <w:p w14:paraId="0D15373B" w14:textId="762A42AD"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600B44D" w14:textId="77777777" w:rsidTr="00B10463">
        <w:trPr>
          <w:tblCellSpacing w:w="0" w:type="dxa"/>
        </w:trPr>
        <w:tc>
          <w:tcPr>
            <w:tcW w:w="0" w:type="auto"/>
            <w:hideMark/>
          </w:tcPr>
          <w:p w14:paraId="1E6B7A2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0660</w:t>
            </w:r>
          </w:p>
        </w:tc>
        <w:tc>
          <w:tcPr>
            <w:tcW w:w="0" w:type="auto"/>
            <w:hideMark/>
          </w:tcPr>
          <w:p w14:paraId="1C3AEDA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1.1.2.2</w:t>
            </w:r>
          </w:p>
        </w:tc>
        <w:tc>
          <w:tcPr>
            <w:tcW w:w="0" w:type="auto"/>
            <w:hideMark/>
          </w:tcPr>
          <w:p w14:paraId="1BBB562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Ajustări tranzitorii datorate instrumentelor de fonduri proprii de nivel 1 suplimentar care își păstrează drepturile obținute</w:t>
            </w:r>
          </w:p>
        </w:tc>
        <w:tc>
          <w:tcPr>
            <w:tcW w:w="0" w:type="auto"/>
            <w:hideMark/>
          </w:tcPr>
          <w:p w14:paraId="7CE55BD3" w14:textId="15CD79B3" w:rsidR="00260C32" w:rsidRPr="00260C32" w:rsidRDefault="002C1289"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x</w:t>
            </w:r>
          </w:p>
        </w:tc>
      </w:tr>
      <w:tr w:rsidR="00260C32" w:rsidRPr="00260C32" w14:paraId="0A7F0E14" w14:textId="77777777" w:rsidTr="00B10463">
        <w:trPr>
          <w:tblCellSpacing w:w="0" w:type="dxa"/>
        </w:trPr>
        <w:tc>
          <w:tcPr>
            <w:tcW w:w="0" w:type="auto"/>
            <w:hideMark/>
          </w:tcPr>
          <w:p w14:paraId="6411B12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0670</w:t>
            </w:r>
          </w:p>
        </w:tc>
        <w:tc>
          <w:tcPr>
            <w:tcW w:w="0" w:type="auto"/>
            <w:hideMark/>
          </w:tcPr>
          <w:p w14:paraId="15C72F4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1.1.2.3</w:t>
            </w:r>
          </w:p>
        </w:tc>
        <w:tc>
          <w:tcPr>
            <w:tcW w:w="0" w:type="auto"/>
            <w:hideMark/>
          </w:tcPr>
          <w:p w14:paraId="156E143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Instrumente emise de filiale care sunt recunoscute în fondurile proprii de nivel 1 suplimentar</w:t>
            </w:r>
          </w:p>
        </w:tc>
        <w:tc>
          <w:tcPr>
            <w:tcW w:w="0" w:type="auto"/>
            <w:hideMark/>
          </w:tcPr>
          <w:p w14:paraId="3B0A056E" w14:textId="76E6F3DD"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E152DAB" w14:textId="77777777" w:rsidTr="00B10463">
        <w:trPr>
          <w:tblCellSpacing w:w="0" w:type="dxa"/>
        </w:trPr>
        <w:tc>
          <w:tcPr>
            <w:tcW w:w="0" w:type="auto"/>
            <w:hideMark/>
          </w:tcPr>
          <w:p w14:paraId="474BC2D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0680</w:t>
            </w:r>
          </w:p>
        </w:tc>
        <w:tc>
          <w:tcPr>
            <w:tcW w:w="0" w:type="auto"/>
            <w:hideMark/>
          </w:tcPr>
          <w:p w14:paraId="407DDCE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1.1.2.4</w:t>
            </w:r>
          </w:p>
        </w:tc>
        <w:tc>
          <w:tcPr>
            <w:tcW w:w="0" w:type="auto"/>
            <w:hideMark/>
          </w:tcPr>
          <w:p w14:paraId="3790C2B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Ajustările tranzitorii datorate recunoașterii suplimentare în fondurile proprii de nivel 1 suplimentar a instrumentelor emise de filiale</w:t>
            </w:r>
          </w:p>
        </w:tc>
        <w:tc>
          <w:tcPr>
            <w:tcW w:w="0" w:type="auto"/>
            <w:hideMark/>
          </w:tcPr>
          <w:p w14:paraId="4789D74B" w14:textId="0974ABA6" w:rsidR="00260C32" w:rsidRPr="00260C32" w:rsidRDefault="002C1289"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x</w:t>
            </w:r>
          </w:p>
        </w:tc>
      </w:tr>
      <w:tr w:rsidR="00260C32" w:rsidRPr="00260C32" w14:paraId="6928EFC3" w14:textId="77777777" w:rsidTr="00B10463">
        <w:trPr>
          <w:tblCellSpacing w:w="0" w:type="dxa"/>
        </w:trPr>
        <w:tc>
          <w:tcPr>
            <w:tcW w:w="0" w:type="auto"/>
            <w:hideMark/>
          </w:tcPr>
          <w:p w14:paraId="5D85AF4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0690</w:t>
            </w:r>
          </w:p>
        </w:tc>
        <w:tc>
          <w:tcPr>
            <w:tcW w:w="0" w:type="auto"/>
            <w:hideMark/>
          </w:tcPr>
          <w:p w14:paraId="6CA2B69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1.1.2.5</w:t>
            </w:r>
          </w:p>
        </w:tc>
        <w:tc>
          <w:tcPr>
            <w:tcW w:w="0" w:type="auto"/>
            <w:hideMark/>
          </w:tcPr>
          <w:p w14:paraId="3943EA1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Dețineri reciproce în fonduri proprii de nivel 1 suplimentar</w:t>
            </w:r>
          </w:p>
        </w:tc>
        <w:tc>
          <w:tcPr>
            <w:tcW w:w="0" w:type="auto"/>
            <w:hideMark/>
          </w:tcPr>
          <w:p w14:paraId="7D7769F6" w14:textId="7C0AA9D9"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2B2EF4A7" w14:textId="77777777" w:rsidTr="00B10463">
        <w:trPr>
          <w:tblCellSpacing w:w="0" w:type="dxa"/>
        </w:trPr>
        <w:tc>
          <w:tcPr>
            <w:tcW w:w="0" w:type="auto"/>
            <w:hideMark/>
          </w:tcPr>
          <w:p w14:paraId="6282ED2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0700</w:t>
            </w:r>
          </w:p>
        </w:tc>
        <w:tc>
          <w:tcPr>
            <w:tcW w:w="0" w:type="auto"/>
            <w:hideMark/>
          </w:tcPr>
          <w:p w14:paraId="53D188F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1.1.2.6</w:t>
            </w:r>
          </w:p>
        </w:tc>
        <w:tc>
          <w:tcPr>
            <w:tcW w:w="0" w:type="auto"/>
            <w:hideMark/>
          </w:tcPr>
          <w:p w14:paraId="287FB58F" w14:textId="297DE03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 Instrumente de fonduri proprii de nivel 1 suplimentar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4664FC46" w14:textId="4022E0F8"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13DAA2D" w14:textId="77777777" w:rsidTr="00B10463">
        <w:trPr>
          <w:tblCellSpacing w:w="0" w:type="dxa"/>
        </w:trPr>
        <w:tc>
          <w:tcPr>
            <w:tcW w:w="0" w:type="auto"/>
            <w:hideMark/>
          </w:tcPr>
          <w:p w14:paraId="436C81B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0710</w:t>
            </w:r>
          </w:p>
        </w:tc>
        <w:tc>
          <w:tcPr>
            <w:tcW w:w="0" w:type="auto"/>
            <w:hideMark/>
          </w:tcPr>
          <w:p w14:paraId="34B9E5A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1.1.2.7</w:t>
            </w:r>
          </w:p>
        </w:tc>
        <w:tc>
          <w:tcPr>
            <w:tcW w:w="0" w:type="auto"/>
            <w:hideMark/>
          </w:tcPr>
          <w:p w14:paraId="5AAD42FD" w14:textId="5D0F67DC"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 Instrumente de fonduri proprii de nivel 1 suplimentar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43EFCAA3" w14:textId="151D5CBE"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F19AA90" w14:textId="77777777" w:rsidTr="00B10463">
        <w:trPr>
          <w:tblCellSpacing w:w="0" w:type="dxa"/>
        </w:trPr>
        <w:tc>
          <w:tcPr>
            <w:tcW w:w="0" w:type="auto"/>
            <w:hideMark/>
          </w:tcPr>
          <w:p w14:paraId="15B66DD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0720</w:t>
            </w:r>
          </w:p>
        </w:tc>
        <w:tc>
          <w:tcPr>
            <w:tcW w:w="0" w:type="auto"/>
            <w:hideMark/>
          </w:tcPr>
          <w:p w14:paraId="129FD33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1.1.2.8</w:t>
            </w:r>
          </w:p>
        </w:tc>
        <w:tc>
          <w:tcPr>
            <w:tcW w:w="0" w:type="auto"/>
            <w:hideMark/>
          </w:tcPr>
          <w:p w14:paraId="18772BEB" w14:textId="33104082"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 Valoarea deducerilor din elementele de fonduri proprii de nivel 2 care </w:t>
            </w:r>
            <w:r w:rsidR="00A07033">
              <w:rPr>
                <w:rFonts w:ascii="Times New Roman" w:eastAsia="Times New Roman" w:hAnsi="Times New Roman" w:cs="Times New Roman"/>
                <w:color w:val="000000"/>
                <w:kern w:val="0"/>
                <w:lang w:eastAsia="ro-MD"/>
                <w14:ligatures w14:val="none"/>
              </w:rPr>
              <w:t>depășește</w:t>
            </w:r>
            <w:r w:rsidRPr="00260C32">
              <w:rPr>
                <w:rFonts w:ascii="Times New Roman" w:eastAsia="Times New Roman" w:hAnsi="Times New Roman" w:cs="Times New Roman"/>
                <w:color w:val="000000"/>
                <w:kern w:val="0"/>
                <w:lang w:eastAsia="ro-MD"/>
                <w14:ligatures w14:val="none"/>
              </w:rPr>
              <w:t xml:space="preserve"> fondurile proprii de nivel 2</w:t>
            </w:r>
          </w:p>
        </w:tc>
        <w:tc>
          <w:tcPr>
            <w:tcW w:w="0" w:type="auto"/>
            <w:hideMark/>
          </w:tcPr>
          <w:p w14:paraId="2EDC93AA" w14:textId="227BA5EA"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2FE8C90" w14:textId="77777777" w:rsidTr="00B10463">
        <w:trPr>
          <w:tblCellSpacing w:w="0" w:type="dxa"/>
        </w:trPr>
        <w:tc>
          <w:tcPr>
            <w:tcW w:w="0" w:type="auto"/>
            <w:hideMark/>
          </w:tcPr>
          <w:p w14:paraId="76B12CE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0730</w:t>
            </w:r>
          </w:p>
        </w:tc>
        <w:tc>
          <w:tcPr>
            <w:tcW w:w="0" w:type="auto"/>
            <w:hideMark/>
          </w:tcPr>
          <w:p w14:paraId="06157F6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1.1.2.9</w:t>
            </w:r>
          </w:p>
        </w:tc>
        <w:tc>
          <w:tcPr>
            <w:tcW w:w="0" w:type="auto"/>
            <w:hideMark/>
          </w:tcPr>
          <w:p w14:paraId="01C55D4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Alte ajustări tranzitorii aferente fondurilor proprii de nivel 1 suplimentar</w:t>
            </w:r>
          </w:p>
        </w:tc>
        <w:tc>
          <w:tcPr>
            <w:tcW w:w="0" w:type="auto"/>
            <w:hideMark/>
          </w:tcPr>
          <w:p w14:paraId="0B980B84" w14:textId="2A949411" w:rsidR="00260C32" w:rsidRPr="00260C32" w:rsidRDefault="002C1289"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x</w:t>
            </w:r>
          </w:p>
        </w:tc>
      </w:tr>
      <w:tr w:rsidR="00260C32" w:rsidRPr="00260C32" w14:paraId="1B1CE17C" w14:textId="77777777" w:rsidTr="00B10463">
        <w:trPr>
          <w:tblCellSpacing w:w="0" w:type="dxa"/>
        </w:trPr>
        <w:tc>
          <w:tcPr>
            <w:tcW w:w="0" w:type="auto"/>
            <w:hideMark/>
          </w:tcPr>
          <w:p w14:paraId="5A63575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0740</w:t>
            </w:r>
          </w:p>
        </w:tc>
        <w:tc>
          <w:tcPr>
            <w:tcW w:w="0" w:type="auto"/>
            <w:hideMark/>
          </w:tcPr>
          <w:p w14:paraId="301A191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1.1.2.10</w:t>
            </w:r>
          </w:p>
        </w:tc>
        <w:tc>
          <w:tcPr>
            <w:tcW w:w="0" w:type="auto"/>
            <w:hideMark/>
          </w:tcPr>
          <w:p w14:paraId="74407C10" w14:textId="1187900C"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Valoarea deducerilor din elementele de fonduri proprii de nivel 1 suplimentar care </w:t>
            </w:r>
            <w:r w:rsidR="00A07033">
              <w:rPr>
                <w:rFonts w:ascii="Times New Roman" w:eastAsia="Times New Roman" w:hAnsi="Times New Roman" w:cs="Times New Roman"/>
                <w:color w:val="000000"/>
                <w:kern w:val="0"/>
                <w:lang w:eastAsia="ro-MD"/>
                <w14:ligatures w14:val="none"/>
              </w:rPr>
              <w:t>depășește</w:t>
            </w:r>
            <w:r w:rsidRPr="00260C32">
              <w:rPr>
                <w:rFonts w:ascii="Times New Roman" w:eastAsia="Times New Roman" w:hAnsi="Times New Roman" w:cs="Times New Roman"/>
                <w:color w:val="000000"/>
                <w:kern w:val="0"/>
                <w:lang w:eastAsia="ro-MD"/>
                <w14:ligatures w14:val="none"/>
              </w:rPr>
              <w:t xml:space="preserve"> fondurile proprii de nivel 1 suplimentar (deduse din fondurile proprii de nivel 1 de bază)</w:t>
            </w:r>
          </w:p>
        </w:tc>
        <w:tc>
          <w:tcPr>
            <w:tcW w:w="0" w:type="auto"/>
            <w:hideMark/>
          </w:tcPr>
          <w:p w14:paraId="68E45850" w14:textId="0B31D3CE"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A0BF5BC" w14:textId="77777777" w:rsidTr="00B10463">
        <w:trPr>
          <w:tblCellSpacing w:w="0" w:type="dxa"/>
        </w:trPr>
        <w:tc>
          <w:tcPr>
            <w:tcW w:w="0" w:type="auto"/>
            <w:hideMark/>
          </w:tcPr>
          <w:p w14:paraId="3E03258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0744</w:t>
            </w:r>
          </w:p>
        </w:tc>
        <w:tc>
          <w:tcPr>
            <w:tcW w:w="0" w:type="auto"/>
            <w:hideMark/>
          </w:tcPr>
          <w:p w14:paraId="19C3202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1.1.2.11</w:t>
            </w:r>
          </w:p>
        </w:tc>
        <w:tc>
          <w:tcPr>
            <w:tcW w:w="0" w:type="auto"/>
            <w:hideMark/>
          </w:tcPr>
          <w:p w14:paraId="6DB47065" w14:textId="18ADE784"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 Deduceri suplimentare din fondurile proprii de nivel 1 suplimentar efectuate în temeiul </w:t>
            </w:r>
            <w:r w:rsidR="00BA54EA" w:rsidRPr="00025230">
              <w:rPr>
                <w:rFonts w:ascii="Times New Roman" w:eastAsia="Times New Roman" w:hAnsi="Times New Roman" w:cs="Times New Roman"/>
                <w:color w:val="000000"/>
                <w:kern w:val="0"/>
                <w:lang w:eastAsia="ro-MD"/>
                <w14:ligatures w14:val="none"/>
              </w:rPr>
              <w:t>punctul</w:t>
            </w:r>
            <w:r w:rsidR="00BA54EA">
              <w:rPr>
                <w:rFonts w:ascii="Times New Roman" w:eastAsia="Times New Roman" w:hAnsi="Times New Roman" w:cs="Times New Roman"/>
                <w:color w:val="000000"/>
                <w:kern w:val="0"/>
                <w:lang w:eastAsia="ro-MD"/>
                <w14:ligatures w14:val="none"/>
              </w:rPr>
              <w:t>ui</w:t>
            </w:r>
            <w:r w:rsidR="00BA54EA" w:rsidRPr="00025230">
              <w:rPr>
                <w:rFonts w:ascii="Times New Roman" w:eastAsia="Times New Roman" w:hAnsi="Times New Roman" w:cs="Times New Roman"/>
                <w:color w:val="000000"/>
                <w:kern w:val="0"/>
                <w:lang w:eastAsia="ro-MD"/>
                <w14:ligatures w14:val="none"/>
              </w:rPr>
              <w:t xml:space="preserve"> 3 din </w:t>
            </w:r>
            <w:r w:rsidR="00BA54EA">
              <w:rPr>
                <w:rFonts w:ascii="Times New Roman" w:eastAsia="Times New Roman" w:hAnsi="Times New Roman" w:cs="Times New Roman"/>
                <w:color w:val="000000"/>
                <w:kern w:val="0"/>
                <w:lang w:eastAsia="ro-MD"/>
                <w14:ligatures w14:val="none"/>
              </w:rPr>
              <w:t>Regulamentul nr.109/2018</w:t>
            </w:r>
          </w:p>
        </w:tc>
        <w:tc>
          <w:tcPr>
            <w:tcW w:w="0" w:type="auto"/>
            <w:hideMark/>
          </w:tcPr>
          <w:p w14:paraId="3E48CDCD" w14:textId="11974A66"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025E904" w14:textId="77777777" w:rsidTr="00B10463">
        <w:trPr>
          <w:tblCellSpacing w:w="0" w:type="dxa"/>
        </w:trPr>
        <w:tc>
          <w:tcPr>
            <w:tcW w:w="0" w:type="auto"/>
            <w:hideMark/>
          </w:tcPr>
          <w:p w14:paraId="07DEF2F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0748</w:t>
            </w:r>
          </w:p>
        </w:tc>
        <w:tc>
          <w:tcPr>
            <w:tcW w:w="0" w:type="auto"/>
            <w:hideMark/>
          </w:tcPr>
          <w:p w14:paraId="0F1C5E2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1.1.2.12</w:t>
            </w:r>
          </w:p>
        </w:tc>
        <w:tc>
          <w:tcPr>
            <w:tcW w:w="0" w:type="auto"/>
            <w:hideMark/>
          </w:tcPr>
          <w:p w14:paraId="4E55B9C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Elemente ale fondurilor proprii de nivel 1 suplimentar sau deduceri din acestea – altele</w:t>
            </w:r>
          </w:p>
        </w:tc>
        <w:tc>
          <w:tcPr>
            <w:tcW w:w="0" w:type="auto"/>
            <w:hideMark/>
          </w:tcPr>
          <w:p w14:paraId="49C470BD" w14:textId="740DE63F"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80F9CC0" w14:textId="77777777" w:rsidTr="00B10463">
        <w:trPr>
          <w:tblCellSpacing w:w="0" w:type="dxa"/>
        </w:trPr>
        <w:tc>
          <w:tcPr>
            <w:tcW w:w="0" w:type="auto"/>
            <w:hideMark/>
          </w:tcPr>
          <w:p w14:paraId="1968F69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0750</w:t>
            </w:r>
          </w:p>
        </w:tc>
        <w:tc>
          <w:tcPr>
            <w:tcW w:w="0" w:type="auto"/>
            <w:hideMark/>
          </w:tcPr>
          <w:p w14:paraId="6AC8411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1.2</w:t>
            </w:r>
          </w:p>
        </w:tc>
        <w:tc>
          <w:tcPr>
            <w:tcW w:w="0" w:type="auto"/>
            <w:hideMark/>
          </w:tcPr>
          <w:p w14:paraId="1F76DBF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FONDURI PROPRII DE NIVEL 2</w:t>
            </w:r>
          </w:p>
        </w:tc>
        <w:tc>
          <w:tcPr>
            <w:tcW w:w="0" w:type="auto"/>
            <w:hideMark/>
          </w:tcPr>
          <w:p w14:paraId="2DE151E5" w14:textId="5446EBC2"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60C0B84" w14:textId="77777777" w:rsidTr="00B10463">
        <w:trPr>
          <w:tblCellSpacing w:w="0" w:type="dxa"/>
        </w:trPr>
        <w:tc>
          <w:tcPr>
            <w:tcW w:w="0" w:type="auto"/>
            <w:hideMark/>
          </w:tcPr>
          <w:p w14:paraId="49FD546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0760</w:t>
            </w:r>
          </w:p>
        </w:tc>
        <w:tc>
          <w:tcPr>
            <w:tcW w:w="0" w:type="auto"/>
            <w:hideMark/>
          </w:tcPr>
          <w:p w14:paraId="169CE24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1.2.1</w:t>
            </w:r>
          </w:p>
        </w:tc>
        <w:tc>
          <w:tcPr>
            <w:tcW w:w="0" w:type="auto"/>
            <w:hideMark/>
          </w:tcPr>
          <w:p w14:paraId="1BA1308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Instrumente de capital eligibile drept fonduri proprii de nivel 2</w:t>
            </w:r>
          </w:p>
        </w:tc>
        <w:tc>
          <w:tcPr>
            <w:tcW w:w="0" w:type="auto"/>
            <w:hideMark/>
          </w:tcPr>
          <w:p w14:paraId="11CFA57B" w14:textId="3FCF4878"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9018F65" w14:textId="77777777" w:rsidTr="00B10463">
        <w:trPr>
          <w:tblCellSpacing w:w="0" w:type="dxa"/>
        </w:trPr>
        <w:tc>
          <w:tcPr>
            <w:tcW w:w="0" w:type="auto"/>
            <w:hideMark/>
          </w:tcPr>
          <w:p w14:paraId="7722AAC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0771</w:t>
            </w:r>
          </w:p>
        </w:tc>
        <w:tc>
          <w:tcPr>
            <w:tcW w:w="0" w:type="auto"/>
            <w:hideMark/>
          </w:tcPr>
          <w:p w14:paraId="07FDAC3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1.2.1.1</w:t>
            </w:r>
          </w:p>
        </w:tc>
        <w:tc>
          <w:tcPr>
            <w:tcW w:w="0" w:type="auto"/>
            <w:hideMark/>
          </w:tcPr>
          <w:p w14:paraId="29C4AEC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Instrumente de capital emise direct, plătite integral</w:t>
            </w:r>
          </w:p>
        </w:tc>
        <w:tc>
          <w:tcPr>
            <w:tcW w:w="0" w:type="auto"/>
            <w:hideMark/>
          </w:tcPr>
          <w:p w14:paraId="79728267" w14:textId="0E1BF904"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05A1F79" w14:textId="77777777" w:rsidTr="00B10463">
        <w:trPr>
          <w:tblCellSpacing w:w="0" w:type="dxa"/>
        </w:trPr>
        <w:tc>
          <w:tcPr>
            <w:tcW w:w="0" w:type="auto"/>
            <w:hideMark/>
          </w:tcPr>
          <w:p w14:paraId="0BE6F7C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0780</w:t>
            </w:r>
          </w:p>
        </w:tc>
        <w:tc>
          <w:tcPr>
            <w:tcW w:w="0" w:type="auto"/>
            <w:hideMark/>
          </w:tcPr>
          <w:p w14:paraId="36BC37D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1.2.1.2*</w:t>
            </w:r>
          </w:p>
        </w:tc>
        <w:tc>
          <w:tcPr>
            <w:tcW w:w="0" w:type="auto"/>
            <w:hideMark/>
          </w:tcPr>
          <w:p w14:paraId="6DB786A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Element memorandum: instrumente de capital care nu sunt eligibile</w:t>
            </w:r>
          </w:p>
        </w:tc>
        <w:tc>
          <w:tcPr>
            <w:tcW w:w="0" w:type="auto"/>
            <w:hideMark/>
          </w:tcPr>
          <w:p w14:paraId="34B49F90" w14:textId="622CC4A0"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C76D615" w14:textId="77777777" w:rsidTr="00B10463">
        <w:trPr>
          <w:tblCellSpacing w:w="0" w:type="dxa"/>
        </w:trPr>
        <w:tc>
          <w:tcPr>
            <w:tcW w:w="0" w:type="auto"/>
            <w:hideMark/>
          </w:tcPr>
          <w:p w14:paraId="6C76155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0791</w:t>
            </w:r>
          </w:p>
        </w:tc>
        <w:tc>
          <w:tcPr>
            <w:tcW w:w="0" w:type="auto"/>
            <w:hideMark/>
          </w:tcPr>
          <w:p w14:paraId="091E514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1.2.1.3</w:t>
            </w:r>
          </w:p>
        </w:tc>
        <w:tc>
          <w:tcPr>
            <w:tcW w:w="0" w:type="auto"/>
            <w:hideMark/>
          </w:tcPr>
          <w:p w14:paraId="6B21B99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Prima de emisiune</w:t>
            </w:r>
          </w:p>
        </w:tc>
        <w:tc>
          <w:tcPr>
            <w:tcW w:w="0" w:type="auto"/>
            <w:hideMark/>
          </w:tcPr>
          <w:p w14:paraId="07D97554" w14:textId="6A80147A"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62B1861" w14:textId="77777777" w:rsidTr="00B10463">
        <w:trPr>
          <w:tblCellSpacing w:w="0" w:type="dxa"/>
        </w:trPr>
        <w:tc>
          <w:tcPr>
            <w:tcW w:w="0" w:type="auto"/>
            <w:hideMark/>
          </w:tcPr>
          <w:p w14:paraId="35FFB0C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0800</w:t>
            </w:r>
          </w:p>
        </w:tc>
        <w:tc>
          <w:tcPr>
            <w:tcW w:w="0" w:type="auto"/>
            <w:hideMark/>
          </w:tcPr>
          <w:p w14:paraId="2D2EAC2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1.2.1.4</w:t>
            </w:r>
          </w:p>
        </w:tc>
        <w:tc>
          <w:tcPr>
            <w:tcW w:w="0" w:type="auto"/>
            <w:hideMark/>
          </w:tcPr>
          <w:p w14:paraId="728E009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Instrumente proprii de fonduri proprii de nivel 2</w:t>
            </w:r>
          </w:p>
        </w:tc>
        <w:tc>
          <w:tcPr>
            <w:tcW w:w="0" w:type="auto"/>
            <w:hideMark/>
          </w:tcPr>
          <w:p w14:paraId="4CB8BCAD" w14:textId="4E9E6ACE"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6F15ED4" w14:textId="77777777" w:rsidTr="00B10463">
        <w:trPr>
          <w:tblCellSpacing w:w="0" w:type="dxa"/>
        </w:trPr>
        <w:tc>
          <w:tcPr>
            <w:tcW w:w="0" w:type="auto"/>
            <w:hideMark/>
          </w:tcPr>
          <w:p w14:paraId="1E5331C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0810</w:t>
            </w:r>
          </w:p>
        </w:tc>
        <w:tc>
          <w:tcPr>
            <w:tcW w:w="0" w:type="auto"/>
            <w:hideMark/>
          </w:tcPr>
          <w:p w14:paraId="78A998C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1.2.1.4.1</w:t>
            </w:r>
          </w:p>
        </w:tc>
        <w:tc>
          <w:tcPr>
            <w:tcW w:w="0" w:type="auto"/>
            <w:hideMark/>
          </w:tcPr>
          <w:p w14:paraId="1D55E87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Dețineri directe de instrumente de fonduri proprii de nivel 2</w:t>
            </w:r>
          </w:p>
        </w:tc>
        <w:tc>
          <w:tcPr>
            <w:tcW w:w="0" w:type="auto"/>
            <w:hideMark/>
          </w:tcPr>
          <w:p w14:paraId="03C3506F" w14:textId="2E743C8D"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615C1B2" w14:textId="77777777" w:rsidTr="00B10463">
        <w:trPr>
          <w:tblCellSpacing w:w="0" w:type="dxa"/>
        </w:trPr>
        <w:tc>
          <w:tcPr>
            <w:tcW w:w="0" w:type="auto"/>
            <w:hideMark/>
          </w:tcPr>
          <w:p w14:paraId="24CFE72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0840</w:t>
            </w:r>
          </w:p>
        </w:tc>
        <w:tc>
          <w:tcPr>
            <w:tcW w:w="0" w:type="auto"/>
            <w:hideMark/>
          </w:tcPr>
          <w:p w14:paraId="56E45C1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1.2.1.4.2</w:t>
            </w:r>
          </w:p>
        </w:tc>
        <w:tc>
          <w:tcPr>
            <w:tcW w:w="0" w:type="auto"/>
            <w:hideMark/>
          </w:tcPr>
          <w:p w14:paraId="11AD1D9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Dețineri indirecte de instrumente de fonduri proprii de nivel 2</w:t>
            </w:r>
          </w:p>
        </w:tc>
        <w:tc>
          <w:tcPr>
            <w:tcW w:w="0" w:type="auto"/>
            <w:hideMark/>
          </w:tcPr>
          <w:p w14:paraId="395612A3" w14:textId="3C43AD49"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20B53326" w14:textId="77777777" w:rsidTr="00B10463">
        <w:trPr>
          <w:tblCellSpacing w:w="0" w:type="dxa"/>
        </w:trPr>
        <w:tc>
          <w:tcPr>
            <w:tcW w:w="0" w:type="auto"/>
            <w:hideMark/>
          </w:tcPr>
          <w:p w14:paraId="7BB4924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0841</w:t>
            </w:r>
          </w:p>
        </w:tc>
        <w:tc>
          <w:tcPr>
            <w:tcW w:w="0" w:type="auto"/>
            <w:hideMark/>
          </w:tcPr>
          <w:p w14:paraId="595C3B4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1.2.1.4.3</w:t>
            </w:r>
          </w:p>
        </w:tc>
        <w:tc>
          <w:tcPr>
            <w:tcW w:w="0" w:type="auto"/>
            <w:hideMark/>
          </w:tcPr>
          <w:p w14:paraId="425B074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Dețineri sintetice de instrumente de fonduri proprii de nivel 2</w:t>
            </w:r>
          </w:p>
        </w:tc>
        <w:tc>
          <w:tcPr>
            <w:tcW w:w="0" w:type="auto"/>
            <w:hideMark/>
          </w:tcPr>
          <w:p w14:paraId="3934267C" w14:textId="0B5BAEFA"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F380D51" w14:textId="77777777" w:rsidTr="00B10463">
        <w:trPr>
          <w:tblCellSpacing w:w="0" w:type="dxa"/>
        </w:trPr>
        <w:tc>
          <w:tcPr>
            <w:tcW w:w="0" w:type="auto"/>
            <w:hideMark/>
          </w:tcPr>
          <w:p w14:paraId="6277F2F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0842</w:t>
            </w:r>
          </w:p>
        </w:tc>
        <w:tc>
          <w:tcPr>
            <w:tcW w:w="0" w:type="auto"/>
            <w:hideMark/>
          </w:tcPr>
          <w:p w14:paraId="2EB02C5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1.2.1.5</w:t>
            </w:r>
          </w:p>
        </w:tc>
        <w:tc>
          <w:tcPr>
            <w:tcW w:w="0" w:type="auto"/>
            <w:hideMark/>
          </w:tcPr>
          <w:p w14:paraId="37A109A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Obligații reale sau contingente de a cumpăra instrumente proprii de fonduri proprii de nivel 2</w:t>
            </w:r>
          </w:p>
        </w:tc>
        <w:tc>
          <w:tcPr>
            <w:tcW w:w="0" w:type="auto"/>
            <w:hideMark/>
          </w:tcPr>
          <w:p w14:paraId="37FCFB0E" w14:textId="57545E0C"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6C5DA58" w14:textId="77777777" w:rsidTr="00B10463">
        <w:trPr>
          <w:tblCellSpacing w:w="0" w:type="dxa"/>
        </w:trPr>
        <w:tc>
          <w:tcPr>
            <w:tcW w:w="0" w:type="auto"/>
            <w:hideMark/>
          </w:tcPr>
          <w:p w14:paraId="2463D65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lastRenderedPageBreak/>
              <w:t>0880</w:t>
            </w:r>
          </w:p>
        </w:tc>
        <w:tc>
          <w:tcPr>
            <w:tcW w:w="0" w:type="auto"/>
            <w:hideMark/>
          </w:tcPr>
          <w:p w14:paraId="2522691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1.2.2</w:t>
            </w:r>
          </w:p>
        </w:tc>
        <w:tc>
          <w:tcPr>
            <w:tcW w:w="0" w:type="auto"/>
            <w:hideMark/>
          </w:tcPr>
          <w:p w14:paraId="3426C55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Ajustări tranzitorii datorate instrumentelor de fonduri proprii de nivel 2 care își păstrează drepturile obținute</w:t>
            </w:r>
          </w:p>
        </w:tc>
        <w:tc>
          <w:tcPr>
            <w:tcW w:w="0" w:type="auto"/>
            <w:hideMark/>
          </w:tcPr>
          <w:p w14:paraId="4E6D6B9A" w14:textId="3CEA16A7" w:rsidR="00260C32" w:rsidRPr="00260C32" w:rsidRDefault="002C1289"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x</w:t>
            </w:r>
          </w:p>
        </w:tc>
      </w:tr>
      <w:tr w:rsidR="00260C32" w:rsidRPr="00260C32" w14:paraId="3B5648EF" w14:textId="77777777" w:rsidTr="00B10463">
        <w:trPr>
          <w:tblCellSpacing w:w="0" w:type="dxa"/>
        </w:trPr>
        <w:tc>
          <w:tcPr>
            <w:tcW w:w="0" w:type="auto"/>
            <w:hideMark/>
          </w:tcPr>
          <w:p w14:paraId="7F56554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0890</w:t>
            </w:r>
          </w:p>
        </w:tc>
        <w:tc>
          <w:tcPr>
            <w:tcW w:w="0" w:type="auto"/>
            <w:hideMark/>
          </w:tcPr>
          <w:p w14:paraId="2E1299E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1.2.3</w:t>
            </w:r>
          </w:p>
        </w:tc>
        <w:tc>
          <w:tcPr>
            <w:tcW w:w="0" w:type="auto"/>
            <w:hideMark/>
          </w:tcPr>
          <w:p w14:paraId="1AA6F86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Instrumente emise de filiale care sunt recunoscute în fondurile proprii de nivel 2</w:t>
            </w:r>
          </w:p>
        </w:tc>
        <w:tc>
          <w:tcPr>
            <w:tcW w:w="0" w:type="auto"/>
            <w:hideMark/>
          </w:tcPr>
          <w:p w14:paraId="12936354" w14:textId="1A9FDBD4"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732C621" w14:textId="77777777" w:rsidTr="00B10463">
        <w:trPr>
          <w:tblCellSpacing w:w="0" w:type="dxa"/>
        </w:trPr>
        <w:tc>
          <w:tcPr>
            <w:tcW w:w="0" w:type="auto"/>
            <w:hideMark/>
          </w:tcPr>
          <w:p w14:paraId="7838D43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0900</w:t>
            </w:r>
          </w:p>
        </w:tc>
        <w:tc>
          <w:tcPr>
            <w:tcW w:w="0" w:type="auto"/>
            <w:hideMark/>
          </w:tcPr>
          <w:p w14:paraId="3732F2B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1.2.4</w:t>
            </w:r>
          </w:p>
        </w:tc>
        <w:tc>
          <w:tcPr>
            <w:tcW w:w="0" w:type="auto"/>
            <w:hideMark/>
          </w:tcPr>
          <w:p w14:paraId="3896262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Ajustările tranzitorii datorate recunoașterii suplimentare în fondurile proprii de nivel 2 a instrumentelor emise de filiale</w:t>
            </w:r>
          </w:p>
        </w:tc>
        <w:tc>
          <w:tcPr>
            <w:tcW w:w="0" w:type="auto"/>
            <w:hideMark/>
          </w:tcPr>
          <w:p w14:paraId="73419D0C" w14:textId="58B80F4B" w:rsidR="00260C32" w:rsidRPr="00260C32" w:rsidRDefault="002C1289"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x</w:t>
            </w:r>
          </w:p>
        </w:tc>
      </w:tr>
      <w:tr w:rsidR="00260C32" w:rsidRPr="00260C32" w14:paraId="48786BF6" w14:textId="77777777" w:rsidTr="00B10463">
        <w:trPr>
          <w:tblCellSpacing w:w="0" w:type="dxa"/>
        </w:trPr>
        <w:tc>
          <w:tcPr>
            <w:tcW w:w="0" w:type="auto"/>
            <w:hideMark/>
          </w:tcPr>
          <w:p w14:paraId="31E7A1B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0910</w:t>
            </w:r>
          </w:p>
        </w:tc>
        <w:tc>
          <w:tcPr>
            <w:tcW w:w="0" w:type="auto"/>
            <w:hideMark/>
          </w:tcPr>
          <w:p w14:paraId="1E33355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1.2.5</w:t>
            </w:r>
          </w:p>
        </w:tc>
        <w:tc>
          <w:tcPr>
            <w:tcW w:w="0" w:type="auto"/>
            <w:hideMark/>
          </w:tcPr>
          <w:p w14:paraId="2D91C789" w14:textId="62976D8C"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Valoarea provizioanelor, conform abordării IRB, care </w:t>
            </w:r>
            <w:r w:rsidR="00A07033">
              <w:rPr>
                <w:rFonts w:ascii="Times New Roman" w:eastAsia="Times New Roman" w:hAnsi="Times New Roman" w:cs="Times New Roman"/>
                <w:b/>
                <w:bCs/>
                <w:color w:val="000000"/>
                <w:kern w:val="0"/>
                <w:lang w:eastAsia="ro-MD"/>
                <w14:ligatures w14:val="none"/>
              </w:rPr>
              <w:t>depășește</w:t>
            </w:r>
            <w:r w:rsidRPr="00260C32">
              <w:rPr>
                <w:rFonts w:ascii="Times New Roman" w:eastAsia="Times New Roman" w:hAnsi="Times New Roman" w:cs="Times New Roman"/>
                <w:b/>
                <w:bCs/>
                <w:color w:val="000000"/>
                <w:kern w:val="0"/>
                <w:lang w:eastAsia="ro-MD"/>
                <w14:ligatures w14:val="none"/>
              </w:rPr>
              <w:t xml:space="preserve"> pierderile eligibile așteptate</w:t>
            </w:r>
          </w:p>
        </w:tc>
        <w:tc>
          <w:tcPr>
            <w:tcW w:w="0" w:type="auto"/>
            <w:hideMark/>
          </w:tcPr>
          <w:p w14:paraId="4CA09B73" w14:textId="6A9AA9ED"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7447FDA" w14:textId="77777777" w:rsidTr="00B10463">
        <w:trPr>
          <w:tblCellSpacing w:w="0" w:type="dxa"/>
        </w:trPr>
        <w:tc>
          <w:tcPr>
            <w:tcW w:w="0" w:type="auto"/>
            <w:hideMark/>
          </w:tcPr>
          <w:p w14:paraId="4ED2866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0920</w:t>
            </w:r>
          </w:p>
        </w:tc>
        <w:tc>
          <w:tcPr>
            <w:tcW w:w="0" w:type="auto"/>
            <w:hideMark/>
          </w:tcPr>
          <w:p w14:paraId="7D7ABC3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1.2.6</w:t>
            </w:r>
          </w:p>
        </w:tc>
        <w:tc>
          <w:tcPr>
            <w:tcW w:w="0" w:type="auto"/>
            <w:hideMark/>
          </w:tcPr>
          <w:p w14:paraId="6893568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Ajustările generale pentru riscul de credit prevăzute de abordarea standard</w:t>
            </w:r>
          </w:p>
        </w:tc>
        <w:tc>
          <w:tcPr>
            <w:tcW w:w="0" w:type="auto"/>
            <w:hideMark/>
          </w:tcPr>
          <w:p w14:paraId="776C7800" w14:textId="70DD142C"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269CB4B" w14:textId="77777777" w:rsidTr="00B10463">
        <w:trPr>
          <w:tblCellSpacing w:w="0" w:type="dxa"/>
        </w:trPr>
        <w:tc>
          <w:tcPr>
            <w:tcW w:w="0" w:type="auto"/>
            <w:hideMark/>
          </w:tcPr>
          <w:p w14:paraId="39E99EB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0930</w:t>
            </w:r>
          </w:p>
        </w:tc>
        <w:tc>
          <w:tcPr>
            <w:tcW w:w="0" w:type="auto"/>
            <w:hideMark/>
          </w:tcPr>
          <w:p w14:paraId="527BC2F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1.2.7</w:t>
            </w:r>
          </w:p>
        </w:tc>
        <w:tc>
          <w:tcPr>
            <w:tcW w:w="0" w:type="auto"/>
            <w:hideMark/>
          </w:tcPr>
          <w:p w14:paraId="70F3D67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Dețineri reciproce de fonduri proprii de nivel 2</w:t>
            </w:r>
          </w:p>
        </w:tc>
        <w:tc>
          <w:tcPr>
            <w:tcW w:w="0" w:type="auto"/>
            <w:hideMark/>
          </w:tcPr>
          <w:p w14:paraId="5578B2A2" w14:textId="6C5BC209"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0ED1804" w14:textId="77777777" w:rsidTr="00B10463">
        <w:trPr>
          <w:tblCellSpacing w:w="0" w:type="dxa"/>
        </w:trPr>
        <w:tc>
          <w:tcPr>
            <w:tcW w:w="0" w:type="auto"/>
            <w:hideMark/>
          </w:tcPr>
          <w:p w14:paraId="7FA8B8E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0940</w:t>
            </w:r>
          </w:p>
        </w:tc>
        <w:tc>
          <w:tcPr>
            <w:tcW w:w="0" w:type="auto"/>
            <w:hideMark/>
          </w:tcPr>
          <w:p w14:paraId="06CBADF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1.2.8</w:t>
            </w:r>
          </w:p>
        </w:tc>
        <w:tc>
          <w:tcPr>
            <w:tcW w:w="0" w:type="auto"/>
            <w:hideMark/>
          </w:tcPr>
          <w:p w14:paraId="4EDDFAC1" w14:textId="66526F58"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 Instrumente de fonduri proprii de nivel 2 ale entităților din sectorul financiar în care </w:t>
            </w:r>
            <w:r w:rsidR="00916018">
              <w:rPr>
                <w:rFonts w:ascii="Times New Roman" w:eastAsia="Times New Roman" w:hAnsi="Times New Roman" w:cs="Times New Roman"/>
                <w:b/>
                <w:bCs/>
                <w:color w:val="000000"/>
                <w:kern w:val="0"/>
                <w:lang w:eastAsia="ro-MD"/>
                <w14:ligatures w14:val="none"/>
              </w:rPr>
              <w:t>banca</w:t>
            </w:r>
            <w:r w:rsidRPr="00260C32">
              <w:rPr>
                <w:rFonts w:ascii="Times New Roman" w:eastAsia="Times New Roman" w:hAnsi="Times New Roman" w:cs="Times New Roman"/>
                <w:b/>
                <w:bCs/>
                <w:color w:val="000000"/>
                <w:kern w:val="0"/>
                <w:lang w:eastAsia="ro-MD"/>
                <w14:ligatures w14:val="none"/>
              </w:rPr>
              <w:t xml:space="preserve"> nu deține o investiție semnificativă</w:t>
            </w:r>
          </w:p>
        </w:tc>
        <w:tc>
          <w:tcPr>
            <w:tcW w:w="0" w:type="auto"/>
            <w:hideMark/>
          </w:tcPr>
          <w:p w14:paraId="34E99B06" w14:textId="172FBC66"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96863A9" w14:textId="77777777" w:rsidTr="00B10463">
        <w:trPr>
          <w:tblCellSpacing w:w="0" w:type="dxa"/>
        </w:trPr>
        <w:tc>
          <w:tcPr>
            <w:tcW w:w="0" w:type="auto"/>
            <w:hideMark/>
          </w:tcPr>
          <w:p w14:paraId="22BEF4F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0950</w:t>
            </w:r>
          </w:p>
        </w:tc>
        <w:tc>
          <w:tcPr>
            <w:tcW w:w="0" w:type="auto"/>
            <w:hideMark/>
          </w:tcPr>
          <w:p w14:paraId="12C8ABA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1.2.9</w:t>
            </w:r>
          </w:p>
        </w:tc>
        <w:tc>
          <w:tcPr>
            <w:tcW w:w="0" w:type="auto"/>
            <w:hideMark/>
          </w:tcPr>
          <w:p w14:paraId="376F1288" w14:textId="03867ADC"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 Instrumente de fonduri proprii de nivel 2 ale entităților din sectorul financiar în care </w:t>
            </w:r>
            <w:r w:rsidR="00916018">
              <w:rPr>
                <w:rFonts w:ascii="Times New Roman" w:eastAsia="Times New Roman" w:hAnsi="Times New Roman" w:cs="Times New Roman"/>
                <w:b/>
                <w:bCs/>
                <w:color w:val="000000"/>
                <w:kern w:val="0"/>
                <w:lang w:eastAsia="ro-MD"/>
                <w14:ligatures w14:val="none"/>
              </w:rPr>
              <w:t>banca</w:t>
            </w:r>
            <w:r w:rsidRPr="00260C32">
              <w:rPr>
                <w:rFonts w:ascii="Times New Roman" w:eastAsia="Times New Roman" w:hAnsi="Times New Roman" w:cs="Times New Roman"/>
                <w:b/>
                <w:bCs/>
                <w:color w:val="000000"/>
                <w:kern w:val="0"/>
                <w:lang w:eastAsia="ro-MD"/>
                <w14:ligatures w14:val="none"/>
              </w:rPr>
              <w:t xml:space="preserve"> deține o investiție semnificativă</w:t>
            </w:r>
          </w:p>
        </w:tc>
        <w:tc>
          <w:tcPr>
            <w:tcW w:w="0" w:type="auto"/>
            <w:hideMark/>
          </w:tcPr>
          <w:p w14:paraId="3B26C535" w14:textId="1D5B428A"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7433CC7" w14:textId="77777777" w:rsidTr="00B10463">
        <w:trPr>
          <w:tblCellSpacing w:w="0" w:type="dxa"/>
        </w:trPr>
        <w:tc>
          <w:tcPr>
            <w:tcW w:w="0" w:type="auto"/>
            <w:hideMark/>
          </w:tcPr>
          <w:p w14:paraId="14C4295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0955</w:t>
            </w:r>
          </w:p>
        </w:tc>
        <w:tc>
          <w:tcPr>
            <w:tcW w:w="0" w:type="auto"/>
            <w:hideMark/>
          </w:tcPr>
          <w:p w14:paraId="44725AA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1.2.9A</w:t>
            </w:r>
          </w:p>
        </w:tc>
        <w:tc>
          <w:tcPr>
            <w:tcW w:w="0" w:type="auto"/>
            <w:hideMark/>
          </w:tcPr>
          <w:p w14:paraId="720D6C8C" w14:textId="5923EF03"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 Valoarea deducerilor din datoriile eligibile care </w:t>
            </w:r>
            <w:r w:rsidR="00A07033">
              <w:rPr>
                <w:rFonts w:ascii="Times New Roman" w:eastAsia="Times New Roman" w:hAnsi="Times New Roman" w:cs="Times New Roman"/>
                <w:color w:val="000000"/>
                <w:kern w:val="0"/>
                <w:lang w:eastAsia="ro-MD"/>
                <w14:ligatures w14:val="none"/>
              </w:rPr>
              <w:t>depășește</w:t>
            </w:r>
            <w:r w:rsidRPr="00260C32">
              <w:rPr>
                <w:rFonts w:ascii="Times New Roman" w:eastAsia="Times New Roman" w:hAnsi="Times New Roman" w:cs="Times New Roman"/>
                <w:color w:val="000000"/>
                <w:kern w:val="0"/>
                <w:lang w:eastAsia="ro-MD"/>
                <w14:ligatures w14:val="none"/>
              </w:rPr>
              <w:t xml:space="preserve"> datoriile eligibile</w:t>
            </w:r>
          </w:p>
        </w:tc>
        <w:tc>
          <w:tcPr>
            <w:tcW w:w="0" w:type="auto"/>
            <w:hideMark/>
          </w:tcPr>
          <w:p w14:paraId="080A1E90" w14:textId="5114656C"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55DF64C" w14:textId="77777777" w:rsidTr="00B10463">
        <w:trPr>
          <w:tblCellSpacing w:w="0" w:type="dxa"/>
        </w:trPr>
        <w:tc>
          <w:tcPr>
            <w:tcW w:w="0" w:type="auto"/>
            <w:hideMark/>
          </w:tcPr>
          <w:p w14:paraId="397F563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0960</w:t>
            </w:r>
          </w:p>
        </w:tc>
        <w:tc>
          <w:tcPr>
            <w:tcW w:w="0" w:type="auto"/>
            <w:hideMark/>
          </w:tcPr>
          <w:p w14:paraId="651A5C9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1.2.10</w:t>
            </w:r>
          </w:p>
        </w:tc>
        <w:tc>
          <w:tcPr>
            <w:tcW w:w="0" w:type="auto"/>
            <w:hideMark/>
          </w:tcPr>
          <w:p w14:paraId="3F5F991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Alte ajustări tranzitorii aferente fondurilor proprii de nivel 2</w:t>
            </w:r>
          </w:p>
        </w:tc>
        <w:tc>
          <w:tcPr>
            <w:tcW w:w="0" w:type="auto"/>
            <w:hideMark/>
          </w:tcPr>
          <w:p w14:paraId="51813869" w14:textId="40145A36" w:rsidR="00260C32" w:rsidRPr="00260C32" w:rsidRDefault="002C1289"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x</w:t>
            </w:r>
          </w:p>
        </w:tc>
      </w:tr>
      <w:tr w:rsidR="00260C32" w:rsidRPr="00260C32" w14:paraId="51B559EA" w14:textId="77777777" w:rsidTr="00B10463">
        <w:trPr>
          <w:tblCellSpacing w:w="0" w:type="dxa"/>
        </w:trPr>
        <w:tc>
          <w:tcPr>
            <w:tcW w:w="0" w:type="auto"/>
            <w:hideMark/>
          </w:tcPr>
          <w:p w14:paraId="60BEBFD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0970</w:t>
            </w:r>
          </w:p>
        </w:tc>
        <w:tc>
          <w:tcPr>
            <w:tcW w:w="0" w:type="auto"/>
            <w:hideMark/>
          </w:tcPr>
          <w:p w14:paraId="10D35D9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1.2.11</w:t>
            </w:r>
          </w:p>
        </w:tc>
        <w:tc>
          <w:tcPr>
            <w:tcW w:w="0" w:type="auto"/>
            <w:hideMark/>
          </w:tcPr>
          <w:p w14:paraId="17BA8808" w14:textId="52951C8E"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Valoarea deducerilor din elementele de fonduri proprii de nivel 2 care </w:t>
            </w:r>
            <w:r w:rsidR="00A07033">
              <w:rPr>
                <w:rFonts w:ascii="Times New Roman" w:eastAsia="Times New Roman" w:hAnsi="Times New Roman" w:cs="Times New Roman"/>
                <w:b/>
                <w:bCs/>
                <w:color w:val="000000"/>
                <w:kern w:val="0"/>
                <w:lang w:eastAsia="ro-MD"/>
                <w14:ligatures w14:val="none"/>
              </w:rPr>
              <w:t>depășește</w:t>
            </w:r>
            <w:r w:rsidRPr="00260C32">
              <w:rPr>
                <w:rFonts w:ascii="Times New Roman" w:eastAsia="Times New Roman" w:hAnsi="Times New Roman" w:cs="Times New Roman"/>
                <w:b/>
                <w:bCs/>
                <w:color w:val="000000"/>
                <w:kern w:val="0"/>
                <w:lang w:eastAsia="ro-MD"/>
                <w14:ligatures w14:val="none"/>
              </w:rPr>
              <w:t xml:space="preserve"> fondurile proprii de nivel 2 (deduse din fondurile proprii de nivel 1 suplimentar)</w:t>
            </w:r>
          </w:p>
        </w:tc>
        <w:tc>
          <w:tcPr>
            <w:tcW w:w="0" w:type="auto"/>
            <w:hideMark/>
          </w:tcPr>
          <w:p w14:paraId="6A015F63" w14:textId="59DED609"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9F3B2E2" w14:textId="77777777" w:rsidTr="00B10463">
        <w:trPr>
          <w:tblCellSpacing w:w="0" w:type="dxa"/>
        </w:trPr>
        <w:tc>
          <w:tcPr>
            <w:tcW w:w="0" w:type="auto"/>
            <w:hideMark/>
          </w:tcPr>
          <w:p w14:paraId="3547570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0974</w:t>
            </w:r>
          </w:p>
        </w:tc>
        <w:tc>
          <w:tcPr>
            <w:tcW w:w="0" w:type="auto"/>
            <w:hideMark/>
          </w:tcPr>
          <w:p w14:paraId="0CE1718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1.2.12</w:t>
            </w:r>
          </w:p>
        </w:tc>
        <w:tc>
          <w:tcPr>
            <w:tcW w:w="0" w:type="auto"/>
            <w:hideMark/>
          </w:tcPr>
          <w:p w14:paraId="3FCDB378" w14:textId="3D7564F4"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 Deduceri suplimentare din fondurile proprii de nivel 2 efectuate în temeiul </w:t>
            </w:r>
            <w:r w:rsidR="00BA54EA" w:rsidRPr="004E2493">
              <w:rPr>
                <w:rFonts w:ascii="Times New Roman" w:eastAsia="Times New Roman" w:hAnsi="Times New Roman" w:cs="Times New Roman"/>
                <w:b/>
                <w:bCs/>
                <w:color w:val="000000"/>
                <w:kern w:val="0"/>
                <w:lang w:eastAsia="ro-MD"/>
                <w14:ligatures w14:val="none"/>
              </w:rPr>
              <w:t>punctului 3 din Regulamentul nr.109/2018</w:t>
            </w:r>
          </w:p>
        </w:tc>
        <w:tc>
          <w:tcPr>
            <w:tcW w:w="0" w:type="auto"/>
            <w:hideMark/>
          </w:tcPr>
          <w:p w14:paraId="516AD17E" w14:textId="54C5F035"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A35087B" w14:textId="77777777" w:rsidTr="00B10463">
        <w:trPr>
          <w:tblCellSpacing w:w="0" w:type="dxa"/>
        </w:trPr>
        <w:tc>
          <w:tcPr>
            <w:tcW w:w="0" w:type="auto"/>
            <w:hideMark/>
          </w:tcPr>
          <w:p w14:paraId="65222EF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0978</w:t>
            </w:r>
          </w:p>
        </w:tc>
        <w:tc>
          <w:tcPr>
            <w:tcW w:w="0" w:type="auto"/>
            <w:hideMark/>
          </w:tcPr>
          <w:p w14:paraId="6B71842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1.2.13</w:t>
            </w:r>
          </w:p>
        </w:tc>
        <w:tc>
          <w:tcPr>
            <w:tcW w:w="0" w:type="auto"/>
            <w:hideMark/>
          </w:tcPr>
          <w:p w14:paraId="7CE81A7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Elemente ale fondurilor proprii de nivel 2 sau deduceri din acestea – altele</w:t>
            </w:r>
          </w:p>
        </w:tc>
        <w:tc>
          <w:tcPr>
            <w:tcW w:w="0" w:type="auto"/>
            <w:hideMark/>
          </w:tcPr>
          <w:p w14:paraId="6F4B6380" w14:textId="489D1265" w:rsidR="00260C32" w:rsidRPr="00260C32" w:rsidRDefault="00260C32" w:rsidP="004E249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bl>
    <w:p w14:paraId="0043C3FF" w14:textId="77777777" w:rsidR="006217EE" w:rsidRDefault="006217EE" w:rsidP="006217EE">
      <w:pPr>
        <w:spacing w:after="0" w:line="240" w:lineRule="auto"/>
        <w:jc w:val="center"/>
        <w:rPr>
          <w:rFonts w:ascii="Arial" w:eastAsia="Times New Roman" w:hAnsi="Arial" w:cs="Arial"/>
          <w:b/>
          <w:bCs/>
          <w:kern w:val="0"/>
          <w:sz w:val="24"/>
          <w:szCs w:val="24"/>
          <w:lang w:eastAsia="ro-MD"/>
          <w14:ligatures w14:val="none"/>
        </w:rPr>
      </w:pPr>
    </w:p>
    <w:p w14:paraId="6C0BD0F0" w14:textId="77777777" w:rsidR="001B3261" w:rsidRDefault="001B3261" w:rsidP="0063005B">
      <w:pPr>
        <w:rPr>
          <w:lang w:val="ro-RO" w:eastAsia="de-DE"/>
        </w:rPr>
      </w:pPr>
    </w:p>
    <w:p w14:paraId="10BA2A1B" w14:textId="77777777" w:rsidR="0063005B" w:rsidRDefault="006217EE" w:rsidP="00E22B81">
      <w:pPr>
        <w:jc w:val="center"/>
        <w:rPr>
          <w:rFonts w:ascii="Times New Roman" w:eastAsia="Times New Roman" w:hAnsi="Times New Roman" w:cs="Times New Roman"/>
          <w:b/>
          <w:bCs/>
          <w:color w:val="000000"/>
          <w:kern w:val="0"/>
          <w:lang w:eastAsia="ro-MD"/>
          <w14:ligatures w14:val="none"/>
        </w:rPr>
      </w:pPr>
      <w:r w:rsidRPr="00E22B81">
        <w:rPr>
          <w:rFonts w:ascii="Times New Roman" w:eastAsia="Times New Roman" w:hAnsi="Times New Roman" w:cs="Times New Roman"/>
          <w:b/>
          <w:bCs/>
          <w:color w:val="000000"/>
          <w:kern w:val="0"/>
          <w:lang w:eastAsia="ro-MD"/>
          <w14:ligatures w14:val="none"/>
        </w:rPr>
        <w:t>Modul de completare a raportului</w:t>
      </w:r>
      <w:r w:rsidR="0015486B">
        <w:rPr>
          <w:rFonts w:ascii="Times New Roman" w:eastAsia="Times New Roman" w:hAnsi="Times New Roman" w:cs="Times New Roman"/>
          <w:b/>
          <w:bCs/>
          <w:color w:val="000000"/>
          <w:kern w:val="0"/>
          <w:lang w:eastAsia="ro-MD"/>
          <w14:ligatures w14:val="none"/>
        </w:rPr>
        <w:t xml:space="preserve"> </w:t>
      </w:r>
    </w:p>
    <w:p w14:paraId="0F9C7DF1" w14:textId="2971E064" w:rsidR="006217EE" w:rsidRPr="0063005B" w:rsidRDefault="006217EE" w:rsidP="00E22B81">
      <w:pPr>
        <w:jc w:val="center"/>
        <w:rPr>
          <w:rFonts w:ascii="Times New Roman" w:eastAsia="Times New Roman" w:hAnsi="Times New Roman" w:cs="Times New Roman"/>
          <w:b/>
          <w:bCs/>
          <w:color w:val="000000"/>
          <w:kern w:val="0"/>
          <w:lang w:eastAsia="ro-MD"/>
          <w14:ligatures w14:val="none"/>
        </w:rPr>
      </w:pPr>
      <w:r w:rsidRPr="0063005B">
        <w:rPr>
          <w:rFonts w:ascii="Times New Roman" w:eastAsia="Times New Roman" w:hAnsi="Times New Roman" w:cs="Times New Roman"/>
          <w:b/>
          <w:bCs/>
          <w:color w:val="000000"/>
          <w:kern w:val="0"/>
          <w:lang w:eastAsia="ro-MD"/>
          <w14:ligatures w14:val="none"/>
        </w:rPr>
        <w:t>C 01.00 – FONDURI PROPRII (CA1)</w:t>
      </w:r>
    </w:p>
    <w:p w14:paraId="7ED6C6A6" w14:textId="42ADFE41" w:rsidR="006217EE" w:rsidRPr="00260C32" w:rsidRDefault="006217EE" w:rsidP="006217E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Instrucțiuni privind anumite poziții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4"/>
        <w:gridCol w:w="8134"/>
        <w:gridCol w:w="857"/>
      </w:tblGrid>
      <w:tr w:rsidR="00D448C0" w:rsidRPr="00260C32" w14:paraId="1F8F0244" w14:textId="3DA0D4A0" w:rsidTr="00D448C0">
        <w:trPr>
          <w:tblCellSpacing w:w="0" w:type="dxa"/>
        </w:trPr>
        <w:tc>
          <w:tcPr>
            <w:tcW w:w="260" w:type="pct"/>
            <w:hideMark/>
          </w:tcPr>
          <w:p w14:paraId="108FBFE6" w14:textId="77777777" w:rsidR="00D448C0" w:rsidRPr="00260C32" w:rsidRDefault="00D448C0" w:rsidP="00D442AC">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Rând</w:t>
            </w:r>
          </w:p>
        </w:tc>
        <w:tc>
          <w:tcPr>
            <w:tcW w:w="4288" w:type="pct"/>
            <w:hideMark/>
          </w:tcPr>
          <w:p w14:paraId="75C19C1D" w14:textId="77777777" w:rsidR="00D448C0" w:rsidRPr="00260C32" w:rsidRDefault="00D448C0" w:rsidP="00D442AC">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Referințe juridice și instrucțiuni</w:t>
            </w:r>
          </w:p>
        </w:tc>
        <w:tc>
          <w:tcPr>
            <w:tcW w:w="452" w:type="pct"/>
          </w:tcPr>
          <w:p w14:paraId="5E09D411" w14:textId="77777777" w:rsidR="00D448C0" w:rsidRPr="00260C32" w:rsidRDefault="00D448C0" w:rsidP="00D442AC">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p>
        </w:tc>
      </w:tr>
      <w:tr w:rsidR="00D448C0" w:rsidRPr="00260C32" w14:paraId="09C732CE" w14:textId="3A197721" w:rsidTr="00D448C0">
        <w:trPr>
          <w:tblCellSpacing w:w="0" w:type="dxa"/>
        </w:trPr>
        <w:tc>
          <w:tcPr>
            <w:tcW w:w="260" w:type="pct"/>
            <w:hideMark/>
          </w:tcPr>
          <w:p w14:paraId="4C56BCC0"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0010</w:t>
            </w:r>
          </w:p>
        </w:tc>
        <w:tc>
          <w:tcPr>
            <w:tcW w:w="4288" w:type="pct"/>
            <w:hideMark/>
          </w:tcPr>
          <w:p w14:paraId="3693E79E" w14:textId="77777777" w:rsidR="00D448C0" w:rsidRPr="00B603AB"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B603AB">
              <w:rPr>
                <w:rFonts w:ascii="Times New Roman" w:eastAsia="Times New Roman" w:hAnsi="Times New Roman" w:cs="Times New Roman"/>
                <w:b/>
                <w:bCs/>
                <w:color w:val="000000"/>
                <w:kern w:val="0"/>
                <w:lang w:eastAsia="ro-MD"/>
                <w14:ligatures w14:val="none"/>
              </w:rPr>
              <w:t>1. Fonduri proprii</w:t>
            </w:r>
          </w:p>
          <w:p w14:paraId="508989B5" w14:textId="0858983D" w:rsidR="00D448C0" w:rsidRPr="00727D1E" w:rsidRDefault="00D448C0" w:rsidP="00B973D9">
            <w:pPr>
              <w:pStyle w:val="lf"/>
              <w:spacing w:before="0" w:beforeAutospacing="0" w:after="0" w:afterAutospacing="0"/>
              <w:rPr>
                <w:color w:val="000000"/>
                <w:sz w:val="22"/>
                <w:szCs w:val="22"/>
              </w:rPr>
            </w:pPr>
            <w:r w:rsidRPr="00727D1E">
              <w:rPr>
                <w:color w:val="000000"/>
                <w:sz w:val="22"/>
                <w:szCs w:val="22"/>
              </w:rPr>
              <w:t xml:space="preserve">Punctul 5 din </w:t>
            </w:r>
            <w:r>
              <w:rPr>
                <w:color w:val="000000"/>
                <w:sz w:val="22"/>
                <w:szCs w:val="22"/>
              </w:rPr>
              <w:t>R</w:t>
            </w:r>
            <w:r w:rsidRPr="00727D1E">
              <w:rPr>
                <w:color w:val="000000"/>
                <w:sz w:val="22"/>
                <w:szCs w:val="22"/>
              </w:rPr>
              <w:t>egulament</w:t>
            </w:r>
            <w:r>
              <w:rPr>
                <w:color w:val="000000"/>
                <w:sz w:val="22"/>
                <w:szCs w:val="22"/>
              </w:rPr>
              <w:t>ul nr.109/2018</w:t>
            </w:r>
            <w:r w:rsidRPr="00727D1E">
              <w:rPr>
                <w:color w:val="000000"/>
                <w:sz w:val="22"/>
                <w:szCs w:val="22"/>
              </w:rPr>
              <w:t>.</w:t>
            </w:r>
          </w:p>
          <w:p w14:paraId="48FC153A" w14:textId="59CCED35"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c>
          <w:tcPr>
            <w:tcW w:w="452" w:type="pct"/>
          </w:tcPr>
          <w:p w14:paraId="7DFBF67D" w14:textId="77777777" w:rsidR="00D448C0" w:rsidRPr="00B603AB" w:rsidRDefault="00D448C0" w:rsidP="00B973D9">
            <w:pPr>
              <w:spacing w:after="0" w:line="240" w:lineRule="auto"/>
              <w:rPr>
                <w:rFonts w:ascii="Times New Roman" w:eastAsia="Times New Roman" w:hAnsi="Times New Roman" w:cs="Times New Roman"/>
                <w:b/>
                <w:bCs/>
                <w:color w:val="000000"/>
                <w:kern w:val="0"/>
                <w:lang w:eastAsia="ro-MD"/>
                <w14:ligatures w14:val="none"/>
              </w:rPr>
            </w:pPr>
          </w:p>
        </w:tc>
      </w:tr>
      <w:tr w:rsidR="00D448C0" w:rsidRPr="00260C32" w14:paraId="351CC32E" w14:textId="462C20E1" w:rsidTr="00D448C0">
        <w:trPr>
          <w:tblCellSpacing w:w="0" w:type="dxa"/>
        </w:trPr>
        <w:tc>
          <w:tcPr>
            <w:tcW w:w="260" w:type="pct"/>
            <w:hideMark/>
          </w:tcPr>
          <w:p w14:paraId="39F4CF6B"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0015</w:t>
            </w:r>
          </w:p>
        </w:tc>
        <w:tc>
          <w:tcPr>
            <w:tcW w:w="4288" w:type="pct"/>
            <w:hideMark/>
          </w:tcPr>
          <w:p w14:paraId="7FC619C1" w14:textId="77777777" w:rsidR="00D448C0" w:rsidRPr="00B603AB"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B603AB">
              <w:rPr>
                <w:rFonts w:ascii="Times New Roman" w:eastAsia="Times New Roman" w:hAnsi="Times New Roman" w:cs="Times New Roman"/>
                <w:b/>
                <w:bCs/>
                <w:color w:val="000000"/>
                <w:kern w:val="0"/>
                <w:lang w:eastAsia="ro-MD"/>
                <w14:ligatures w14:val="none"/>
              </w:rPr>
              <w:t>1.1. Fonduri proprii de nivel 1</w:t>
            </w:r>
          </w:p>
          <w:p w14:paraId="6655E279" w14:textId="77777777" w:rsidR="0063005B"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0C1544">
              <w:rPr>
                <w:rFonts w:ascii="Times New Roman" w:hAnsi="Times New Roman" w:cs="Times New Roman"/>
                <w:color w:val="000000"/>
              </w:rPr>
              <w:t xml:space="preserve">Punctul </w:t>
            </w:r>
            <w:r>
              <w:rPr>
                <w:rFonts w:ascii="Times New Roman" w:hAnsi="Times New Roman" w:cs="Times New Roman"/>
                <w:color w:val="000000"/>
              </w:rPr>
              <w:t>6</w:t>
            </w:r>
            <w:r w:rsidRPr="000C1544">
              <w:rPr>
                <w:rFonts w:ascii="Times New Roman" w:hAnsi="Times New Roman" w:cs="Times New Roman"/>
                <w:color w:val="000000"/>
              </w:rPr>
              <w:t xml:space="preserve"> </w:t>
            </w:r>
            <w:r w:rsidRPr="00727D1E">
              <w:rPr>
                <w:rFonts w:ascii="Times New Roman" w:eastAsia="Times New Roman" w:hAnsi="Times New Roman" w:cs="Times New Roman"/>
                <w:color w:val="000000"/>
                <w:kern w:val="0"/>
                <w:lang w:eastAsia="ro-MD"/>
                <w14:ligatures w14:val="none"/>
              </w:rPr>
              <w:t xml:space="preserve">din Regulamentul nr.109/2018. </w:t>
            </w:r>
          </w:p>
          <w:p w14:paraId="6A074CDE" w14:textId="00858320"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c>
          <w:tcPr>
            <w:tcW w:w="452" w:type="pct"/>
          </w:tcPr>
          <w:p w14:paraId="25F6412A" w14:textId="77777777" w:rsidR="00D448C0" w:rsidRPr="00B603AB" w:rsidRDefault="00D448C0" w:rsidP="00B973D9">
            <w:pPr>
              <w:spacing w:after="0" w:line="240" w:lineRule="auto"/>
              <w:rPr>
                <w:rFonts w:ascii="Times New Roman" w:eastAsia="Times New Roman" w:hAnsi="Times New Roman" w:cs="Times New Roman"/>
                <w:b/>
                <w:bCs/>
                <w:color w:val="000000"/>
                <w:kern w:val="0"/>
                <w:lang w:eastAsia="ro-MD"/>
                <w14:ligatures w14:val="none"/>
              </w:rPr>
            </w:pPr>
          </w:p>
        </w:tc>
      </w:tr>
      <w:tr w:rsidR="00D448C0" w:rsidRPr="00260C32" w14:paraId="52D2708D" w14:textId="732EB189" w:rsidTr="00D448C0">
        <w:trPr>
          <w:tblCellSpacing w:w="0" w:type="dxa"/>
        </w:trPr>
        <w:tc>
          <w:tcPr>
            <w:tcW w:w="260" w:type="pct"/>
            <w:hideMark/>
          </w:tcPr>
          <w:p w14:paraId="2B789015"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0020</w:t>
            </w:r>
          </w:p>
        </w:tc>
        <w:tc>
          <w:tcPr>
            <w:tcW w:w="4288" w:type="pct"/>
            <w:hideMark/>
          </w:tcPr>
          <w:p w14:paraId="4B3C3D56"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 Fonduri proprii de nivel 1 de bază</w:t>
            </w:r>
          </w:p>
          <w:p w14:paraId="6109DF90" w14:textId="18F161E8" w:rsidR="00D448C0" w:rsidRPr="001742F9"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27D1E">
              <w:rPr>
                <w:rFonts w:ascii="Times New Roman" w:eastAsia="Times New Roman" w:hAnsi="Times New Roman" w:cs="Times New Roman"/>
                <w:color w:val="000000"/>
                <w:kern w:val="0"/>
                <w:lang w:eastAsia="ro-MD"/>
                <w14:ligatures w14:val="none"/>
              </w:rPr>
              <w:t>Punctul 7 din Regulamentul nr.109/2018</w:t>
            </w:r>
            <w:r>
              <w:rPr>
                <w:rFonts w:ascii="Times New Roman" w:hAnsi="Times New Roman" w:cs="Times New Roman"/>
                <w:color w:val="000000"/>
              </w:rPr>
              <w:t>.</w:t>
            </w:r>
          </w:p>
        </w:tc>
        <w:tc>
          <w:tcPr>
            <w:tcW w:w="452" w:type="pct"/>
          </w:tcPr>
          <w:p w14:paraId="615DC755"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15058589" w14:textId="65B4FDBD" w:rsidTr="00D448C0">
        <w:trPr>
          <w:tblCellSpacing w:w="0" w:type="dxa"/>
        </w:trPr>
        <w:tc>
          <w:tcPr>
            <w:tcW w:w="260" w:type="pct"/>
            <w:hideMark/>
          </w:tcPr>
          <w:p w14:paraId="6E34B7DF"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0030</w:t>
            </w:r>
          </w:p>
        </w:tc>
        <w:tc>
          <w:tcPr>
            <w:tcW w:w="4288" w:type="pct"/>
            <w:hideMark/>
          </w:tcPr>
          <w:p w14:paraId="777EE05E" w14:textId="77777777" w:rsidR="00D448C0" w:rsidRPr="00212C16" w:rsidRDefault="00D448C0" w:rsidP="00B973D9">
            <w:pPr>
              <w:spacing w:after="0" w:line="240" w:lineRule="auto"/>
              <w:rPr>
                <w:rFonts w:ascii="Times New Roman" w:hAnsi="Times New Roman" w:cs="Times New Roman"/>
                <w:b/>
                <w:bCs/>
                <w:color w:val="000000"/>
              </w:rPr>
            </w:pPr>
            <w:r w:rsidRPr="00212C16">
              <w:rPr>
                <w:rFonts w:ascii="Times New Roman" w:eastAsia="Times New Roman" w:hAnsi="Times New Roman" w:cs="Times New Roman"/>
                <w:b/>
                <w:bCs/>
                <w:color w:val="000000"/>
                <w:kern w:val="0"/>
                <w:lang w:eastAsia="ro-MD"/>
                <w14:ligatures w14:val="none"/>
              </w:rPr>
              <w:t>1.1.1.1. I</w:t>
            </w:r>
            <w:r w:rsidRPr="00212C16">
              <w:rPr>
                <w:rFonts w:ascii="Times New Roman" w:hAnsi="Times New Roman" w:cs="Times New Roman"/>
                <w:b/>
                <w:bCs/>
                <w:color w:val="000000"/>
              </w:rPr>
              <w:t>nstrumente de capital eligibile drept fonduri proprii de nivel 1 de bază</w:t>
            </w:r>
          </w:p>
          <w:p w14:paraId="597267D0" w14:textId="056FF355"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27D1E">
              <w:rPr>
                <w:rFonts w:ascii="Times New Roman" w:hAnsi="Times New Roman" w:cs="Times New Roman"/>
                <w:color w:val="000000"/>
              </w:rPr>
              <w:t xml:space="preserve">Punctul 10 subpunctele 1) </w:t>
            </w:r>
            <w:proofErr w:type="spellStart"/>
            <w:r w:rsidRPr="00727D1E">
              <w:rPr>
                <w:rFonts w:ascii="Times New Roman" w:hAnsi="Times New Roman" w:cs="Times New Roman"/>
                <w:color w:val="000000"/>
              </w:rPr>
              <w:t>şi</w:t>
            </w:r>
            <w:proofErr w:type="spellEnd"/>
            <w:r w:rsidRPr="00727D1E">
              <w:rPr>
                <w:rFonts w:ascii="Times New Roman" w:hAnsi="Times New Roman" w:cs="Times New Roman"/>
                <w:color w:val="000000"/>
              </w:rPr>
              <w:t xml:space="preserve"> 2), punctele 16-24, punctul 30 subpunctul </w:t>
            </w:r>
            <w:r>
              <w:rPr>
                <w:rFonts w:ascii="Times New Roman" w:hAnsi="Times New Roman" w:cs="Times New Roman"/>
                <w:color w:val="000000"/>
              </w:rPr>
              <w:t>5</w:t>
            </w:r>
            <w:r w:rsidRPr="00727D1E">
              <w:rPr>
                <w:rFonts w:ascii="Times New Roman" w:hAnsi="Times New Roman" w:cs="Times New Roman"/>
                <w:color w:val="000000"/>
              </w:rPr>
              <w:t xml:space="preserve">) </w:t>
            </w:r>
            <w:proofErr w:type="spellStart"/>
            <w:r w:rsidRPr="00727D1E">
              <w:rPr>
                <w:rFonts w:ascii="Times New Roman" w:hAnsi="Times New Roman" w:cs="Times New Roman"/>
                <w:color w:val="000000"/>
              </w:rPr>
              <w:t>şi</w:t>
            </w:r>
            <w:proofErr w:type="spellEnd"/>
            <w:r w:rsidRPr="00727D1E">
              <w:rPr>
                <w:rFonts w:ascii="Times New Roman" w:hAnsi="Times New Roman" w:cs="Times New Roman"/>
                <w:color w:val="000000"/>
              </w:rPr>
              <w:t xml:space="preserve"> punctul 51 din </w:t>
            </w:r>
            <w:r>
              <w:rPr>
                <w:rFonts w:ascii="Times New Roman" w:hAnsi="Times New Roman" w:cs="Times New Roman"/>
                <w:color w:val="000000"/>
              </w:rPr>
              <w:t>Regulamentul nr.109/2018</w:t>
            </w:r>
            <w:r w:rsidRPr="00727D1E">
              <w:rPr>
                <w:rFonts w:ascii="Times New Roman" w:hAnsi="Times New Roman" w:cs="Times New Roman"/>
                <w:color w:val="000000"/>
              </w:rPr>
              <w:t>.</w:t>
            </w:r>
          </w:p>
        </w:tc>
        <w:tc>
          <w:tcPr>
            <w:tcW w:w="452" w:type="pct"/>
          </w:tcPr>
          <w:p w14:paraId="6B773125"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22D6AB2C" w14:textId="56A55173" w:rsidTr="00D448C0">
        <w:trPr>
          <w:tblCellSpacing w:w="0" w:type="dxa"/>
        </w:trPr>
        <w:tc>
          <w:tcPr>
            <w:tcW w:w="260" w:type="pct"/>
            <w:hideMark/>
          </w:tcPr>
          <w:p w14:paraId="0FE08CA0"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0040</w:t>
            </w:r>
          </w:p>
        </w:tc>
        <w:tc>
          <w:tcPr>
            <w:tcW w:w="4288" w:type="pct"/>
            <w:hideMark/>
          </w:tcPr>
          <w:p w14:paraId="347F7DEA"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1.1.1.1.1. Instrumente de capital plătite integral</w:t>
            </w:r>
          </w:p>
          <w:p w14:paraId="6BDAE8FF" w14:textId="1476862B" w:rsidR="00D448C0" w:rsidRPr="00727D1E" w:rsidRDefault="00D448C0" w:rsidP="00B973D9">
            <w:pPr>
              <w:spacing w:after="0" w:line="240" w:lineRule="auto"/>
              <w:rPr>
                <w:rFonts w:ascii="Times New Roman" w:hAnsi="Times New Roman" w:cs="Times New Roman"/>
                <w:color w:val="000000"/>
              </w:rPr>
            </w:pPr>
            <w:r w:rsidRPr="00727D1E">
              <w:rPr>
                <w:rFonts w:ascii="Times New Roman" w:hAnsi="Times New Roman" w:cs="Times New Roman"/>
                <w:color w:val="000000"/>
              </w:rPr>
              <w:t xml:space="preserve">Punctul 10 subpunctul 1) </w:t>
            </w:r>
            <w:proofErr w:type="spellStart"/>
            <w:r w:rsidRPr="00727D1E">
              <w:rPr>
                <w:rFonts w:ascii="Times New Roman" w:hAnsi="Times New Roman" w:cs="Times New Roman"/>
                <w:color w:val="000000"/>
              </w:rPr>
              <w:t>şi</w:t>
            </w:r>
            <w:proofErr w:type="spellEnd"/>
            <w:r w:rsidRPr="00727D1E">
              <w:rPr>
                <w:rFonts w:ascii="Times New Roman" w:hAnsi="Times New Roman" w:cs="Times New Roman"/>
                <w:color w:val="000000"/>
              </w:rPr>
              <w:t xml:space="preserve"> punctele 16-25 din </w:t>
            </w:r>
            <w:r>
              <w:rPr>
                <w:rFonts w:ascii="Times New Roman" w:hAnsi="Times New Roman" w:cs="Times New Roman"/>
                <w:color w:val="000000"/>
              </w:rPr>
              <w:t>Regulamentul nr.109/2018</w:t>
            </w:r>
            <w:r w:rsidRPr="00727D1E">
              <w:rPr>
                <w:rFonts w:ascii="Times New Roman" w:hAnsi="Times New Roman" w:cs="Times New Roman"/>
                <w:color w:val="000000"/>
              </w:rPr>
              <w:t>.</w:t>
            </w:r>
          </w:p>
          <w:p w14:paraId="2F8BC1D9" w14:textId="35BA571C"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944CF4">
              <w:rPr>
                <w:rFonts w:ascii="Times New Roman" w:eastAsia="Times New Roman" w:hAnsi="Times New Roman" w:cs="Times New Roman"/>
                <w:color w:val="000000"/>
                <w:kern w:val="0"/>
                <w:lang w:eastAsia="ro-MD"/>
                <w14:ligatures w14:val="none"/>
              </w:rPr>
              <w:t xml:space="preserve">Sunt incluse instrumentele de capital ale societăților mutuale, organizațiilor cooperatiste de credit sau ale instituțiilor </w:t>
            </w:r>
            <w:r w:rsidRPr="001E6EDB">
              <w:rPr>
                <w:rFonts w:ascii="Times New Roman" w:eastAsia="Times New Roman" w:hAnsi="Times New Roman" w:cs="Times New Roman"/>
                <w:color w:val="000000"/>
                <w:kern w:val="0"/>
                <w:lang w:eastAsia="ro-MD"/>
                <w14:ligatures w14:val="none"/>
              </w:rPr>
              <w:t>similare (punctele 23</w:t>
            </w:r>
            <w:r w:rsidRPr="001E6EDB">
              <w:rPr>
                <w:rFonts w:ascii="Times New Roman" w:eastAsia="Times New Roman" w:hAnsi="Times New Roman" w:cs="Times New Roman"/>
                <w:color w:val="000000"/>
                <w:kern w:val="0"/>
                <w:vertAlign w:val="superscript"/>
                <w:lang w:eastAsia="ro-MD"/>
                <w14:ligatures w14:val="none"/>
              </w:rPr>
              <w:t>1</w:t>
            </w:r>
            <w:r w:rsidRPr="001E6EDB">
              <w:rPr>
                <w:rFonts w:ascii="Times New Roman" w:eastAsia="Times New Roman" w:hAnsi="Times New Roman" w:cs="Times New Roman"/>
                <w:color w:val="000000"/>
                <w:kern w:val="0"/>
                <w:lang w:eastAsia="ro-MD"/>
                <w14:ligatures w14:val="none"/>
              </w:rPr>
              <w:t xml:space="preserve"> - 23</w:t>
            </w:r>
            <w:r w:rsidRPr="001E6EDB">
              <w:rPr>
                <w:rFonts w:ascii="Times New Roman" w:eastAsia="Times New Roman" w:hAnsi="Times New Roman" w:cs="Times New Roman"/>
                <w:color w:val="000000"/>
                <w:kern w:val="0"/>
                <w:vertAlign w:val="superscript"/>
                <w:lang w:eastAsia="ro-MD"/>
                <w14:ligatures w14:val="none"/>
              </w:rPr>
              <w:t>8</w:t>
            </w:r>
            <w:r w:rsidRPr="001E6EDB">
              <w:rPr>
                <w:rFonts w:ascii="Times New Roman" w:eastAsia="Times New Roman" w:hAnsi="Times New Roman" w:cs="Times New Roman"/>
                <w:color w:val="000000"/>
                <w:kern w:val="0"/>
                <w:lang w:eastAsia="ro-MD"/>
                <w14:ligatures w14:val="none"/>
              </w:rPr>
              <w:t xml:space="preserve"> din Regulamentul nr.109/2018).</w:t>
            </w:r>
          </w:p>
          <w:p w14:paraId="1F985BFB"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Nu este inclusă prima de emisiune aferentă instrumentelor.</w:t>
            </w:r>
          </w:p>
          <w:p w14:paraId="330D5DDD" w14:textId="226CD14C"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Instrumentele de capital subscrise de autoritățile publice în situații de urgență sunt incluse în cazul în care sunt îndeplinite toate condițiile de la</w:t>
            </w:r>
            <w:r>
              <w:rPr>
                <w:rFonts w:ascii="Times New Roman" w:eastAsia="Times New Roman" w:hAnsi="Times New Roman" w:cs="Times New Roman"/>
                <w:color w:val="000000"/>
                <w:kern w:val="0"/>
                <w:lang w:eastAsia="ro-MD"/>
                <w14:ligatures w14:val="none"/>
              </w:rPr>
              <w:t xml:space="preserve"> punctul 25 din Regulamentul nr.109/2018</w:t>
            </w:r>
            <w:r w:rsidRPr="00260C32">
              <w:rPr>
                <w:rFonts w:ascii="Times New Roman" w:eastAsia="Times New Roman" w:hAnsi="Times New Roman" w:cs="Times New Roman"/>
                <w:color w:val="000000"/>
                <w:kern w:val="0"/>
                <w:lang w:eastAsia="ro-MD"/>
                <w14:ligatures w14:val="none"/>
              </w:rPr>
              <w:t>.</w:t>
            </w:r>
          </w:p>
        </w:tc>
        <w:tc>
          <w:tcPr>
            <w:tcW w:w="452" w:type="pct"/>
          </w:tcPr>
          <w:p w14:paraId="1F32901B"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5AB5AC0B" w14:textId="71CF21CA" w:rsidTr="00D448C0">
        <w:trPr>
          <w:tblCellSpacing w:w="0" w:type="dxa"/>
        </w:trPr>
        <w:tc>
          <w:tcPr>
            <w:tcW w:w="260" w:type="pct"/>
            <w:hideMark/>
          </w:tcPr>
          <w:p w14:paraId="20718031"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0045</w:t>
            </w:r>
          </w:p>
        </w:tc>
        <w:tc>
          <w:tcPr>
            <w:tcW w:w="4288" w:type="pct"/>
            <w:hideMark/>
          </w:tcPr>
          <w:p w14:paraId="3D4F9D09"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1.1.1.1.1* Din care: instrumente de capital subscrise de autoritățile publice în situații de urgență</w:t>
            </w:r>
          </w:p>
          <w:p w14:paraId="092B2902" w14:textId="6922DA2D" w:rsidR="00D238C5" w:rsidRDefault="00D448C0" w:rsidP="00B973D9">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Punctul 25 din Regulamentul nr.109/2018</w:t>
            </w:r>
            <w:r w:rsidR="00D238C5">
              <w:rPr>
                <w:rFonts w:ascii="Times New Roman" w:eastAsia="Times New Roman" w:hAnsi="Times New Roman" w:cs="Times New Roman"/>
                <w:color w:val="000000"/>
                <w:kern w:val="0"/>
                <w:lang w:eastAsia="ro-MD"/>
                <w14:ligatures w14:val="none"/>
              </w:rPr>
              <w:t>.</w:t>
            </w:r>
          </w:p>
          <w:p w14:paraId="17455AB6" w14:textId="79502AB2"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lastRenderedPageBreak/>
              <w:t xml:space="preserve">Instrumentele de capital subscrise de autoritățile publice în situații de urgență sunt incluse în fondurile proprii de nivel 1 de bază în cazul în care sunt îndeplinite toate </w:t>
            </w:r>
            <w:r w:rsidRPr="002C7B4D">
              <w:rPr>
                <w:rFonts w:ascii="Times New Roman" w:eastAsia="Times New Roman" w:hAnsi="Times New Roman" w:cs="Times New Roman"/>
                <w:color w:val="000000"/>
                <w:kern w:val="0"/>
                <w:lang w:eastAsia="ro-MD"/>
                <w14:ligatures w14:val="none"/>
              </w:rPr>
              <w:t xml:space="preserve">condițiile de la punctul 25 din </w:t>
            </w:r>
            <w:r>
              <w:rPr>
                <w:rFonts w:ascii="Times New Roman" w:eastAsia="Times New Roman" w:hAnsi="Times New Roman" w:cs="Times New Roman"/>
                <w:color w:val="000000"/>
                <w:kern w:val="0"/>
                <w:lang w:eastAsia="ro-MD"/>
                <w14:ligatures w14:val="none"/>
              </w:rPr>
              <w:t>Regulamentul nr.109/2018</w:t>
            </w:r>
            <w:r w:rsidRPr="002C7B4D">
              <w:rPr>
                <w:rFonts w:ascii="Times New Roman" w:eastAsia="Times New Roman" w:hAnsi="Times New Roman" w:cs="Times New Roman"/>
                <w:color w:val="000000"/>
                <w:kern w:val="0"/>
                <w:lang w:eastAsia="ro-MD"/>
                <w14:ligatures w14:val="none"/>
              </w:rPr>
              <w:t>.</w:t>
            </w:r>
          </w:p>
        </w:tc>
        <w:tc>
          <w:tcPr>
            <w:tcW w:w="452" w:type="pct"/>
          </w:tcPr>
          <w:p w14:paraId="32503540"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4B70CB04" w14:textId="4A179D42" w:rsidTr="00D448C0">
        <w:trPr>
          <w:tblCellSpacing w:w="0" w:type="dxa"/>
        </w:trPr>
        <w:tc>
          <w:tcPr>
            <w:tcW w:w="260" w:type="pct"/>
            <w:hideMark/>
          </w:tcPr>
          <w:p w14:paraId="0695F71E"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0050</w:t>
            </w:r>
          </w:p>
        </w:tc>
        <w:tc>
          <w:tcPr>
            <w:tcW w:w="4288" w:type="pct"/>
            <w:hideMark/>
          </w:tcPr>
          <w:p w14:paraId="4235FA90"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1.1.1.1.2* Element memorandum: instrumente de capital care nu sunt eligibile</w:t>
            </w:r>
          </w:p>
          <w:p w14:paraId="5AD188C2" w14:textId="77777777" w:rsidR="00D238C5"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27D1E">
              <w:rPr>
                <w:rFonts w:ascii="Times New Roman" w:eastAsia="Times New Roman" w:hAnsi="Times New Roman" w:cs="Times New Roman"/>
                <w:color w:val="000000"/>
                <w:kern w:val="0"/>
                <w:lang w:eastAsia="ro-MD"/>
                <w14:ligatures w14:val="none"/>
              </w:rPr>
              <w:t xml:space="preserve">Punctul 16 subpunctele 2), 12) </w:t>
            </w:r>
            <w:proofErr w:type="spellStart"/>
            <w:r w:rsidRPr="00727D1E">
              <w:rPr>
                <w:rFonts w:ascii="Times New Roman" w:eastAsia="Times New Roman" w:hAnsi="Times New Roman" w:cs="Times New Roman"/>
                <w:color w:val="000000"/>
                <w:kern w:val="0"/>
                <w:lang w:eastAsia="ro-MD"/>
                <w14:ligatures w14:val="none"/>
              </w:rPr>
              <w:t>şi</w:t>
            </w:r>
            <w:proofErr w:type="spellEnd"/>
            <w:r w:rsidRPr="00727D1E">
              <w:rPr>
                <w:rFonts w:ascii="Times New Roman" w:eastAsia="Times New Roman" w:hAnsi="Times New Roman" w:cs="Times New Roman"/>
                <w:color w:val="000000"/>
                <w:kern w:val="0"/>
                <w:lang w:eastAsia="ro-MD"/>
                <w14:ligatures w14:val="none"/>
              </w:rPr>
              <w:t xml:space="preserve"> 13) din </w:t>
            </w:r>
            <w:r>
              <w:rPr>
                <w:rFonts w:ascii="Times New Roman" w:eastAsia="Times New Roman" w:hAnsi="Times New Roman" w:cs="Times New Roman"/>
                <w:color w:val="000000"/>
                <w:kern w:val="0"/>
                <w:lang w:eastAsia="ro-MD"/>
                <w14:ligatures w14:val="none"/>
              </w:rPr>
              <w:t>Regulamentul nr.109/2018</w:t>
            </w:r>
            <w:r w:rsidRPr="00727D1E">
              <w:rPr>
                <w:rFonts w:ascii="Times New Roman" w:eastAsia="Times New Roman" w:hAnsi="Times New Roman" w:cs="Times New Roman"/>
                <w:color w:val="000000"/>
                <w:kern w:val="0"/>
                <w:lang w:eastAsia="ro-MD"/>
                <w14:ligatures w14:val="none"/>
              </w:rPr>
              <w:t>.</w:t>
            </w:r>
          </w:p>
          <w:p w14:paraId="6D749A01" w14:textId="21BDBE0E"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Condițiile de la punctele respective reflectă diferitele situații ale capitalului care sunt reversibile și, prin urmare, cuantumul raportat aici poate fi eligibil în perioadele ulterioare.</w:t>
            </w:r>
          </w:p>
          <w:p w14:paraId="2D45022A"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care trebuie raportat nu include prima de emisiune aferentă instrumentelor.</w:t>
            </w:r>
          </w:p>
        </w:tc>
        <w:tc>
          <w:tcPr>
            <w:tcW w:w="452" w:type="pct"/>
          </w:tcPr>
          <w:p w14:paraId="06F8D1FC"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3960F871" w14:textId="129C5E55" w:rsidTr="00D448C0">
        <w:trPr>
          <w:tblCellSpacing w:w="0" w:type="dxa"/>
        </w:trPr>
        <w:tc>
          <w:tcPr>
            <w:tcW w:w="260" w:type="pct"/>
            <w:hideMark/>
          </w:tcPr>
          <w:p w14:paraId="4129366A"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0060</w:t>
            </w:r>
          </w:p>
        </w:tc>
        <w:tc>
          <w:tcPr>
            <w:tcW w:w="4288" w:type="pct"/>
            <w:hideMark/>
          </w:tcPr>
          <w:p w14:paraId="651951CE"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1.1.1.1.3. Prima de emisiune</w:t>
            </w:r>
          </w:p>
          <w:p w14:paraId="7315B9A0" w14:textId="66847C92" w:rsidR="00D448C0" w:rsidRPr="00727D1E" w:rsidRDefault="00D448C0" w:rsidP="00B973D9">
            <w:pPr>
              <w:pStyle w:val="lf"/>
              <w:spacing w:before="0" w:beforeAutospacing="0" w:after="0" w:afterAutospacing="0"/>
              <w:rPr>
                <w:color w:val="000000"/>
                <w:sz w:val="22"/>
                <w:szCs w:val="22"/>
              </w:rPr>
            </w:pPr>
            <w:r w:rsidRPr="00727D1E">
              <w:rPr>
                <w:color w:val="000000"/>
                <w:sz w:val="22"/>
                <w:szCs w:val="22"/>
              </w:rPr>
              <w:t xml:space="preserve">Punctul 10 subpunctul 2) din </w:t>
            </w:r>
            <w:r>
              <w:rPr>
                <w:color w:val="000000"/>
                <w:sz w:val="22"/>
                <w:szCs w:val="22"/>
              </w:rPr>
              <w:t>Regulamentul nr.109/2018</w:t>
            </w:r>
            <w:r w:rsidRPr="00727D1E">
              <w:rPr>
                <w:color w:val="000000"/>
                <w:sz w:val="22"/>
                <w:szCs w:val="22"/>
              </w:rPr>
              <w:t>.</w:t>
            </w:r>
          </w:p>
          <w:p w14:paraId="787C0A37"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Prima de emisiune are același înțeles ca în standardul contabil aplicabil.</w:t>
            </w:r>
          </w:p>
          <w:p w14:paraId="49A0D039"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care urmează să fie raportat la acest punct trebuie să fie partea referitoare la „Instrumente de capital plătite integral”.</w:t>
            </w:r>
          </w:p>
        </w:tc>
        <w:tc>
          <w:tcPr>
            <w:tcW w:w="452" w:type="pct"/>
          </w:tcPr>
          <w:p w14:paraId="13DB95AF"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4131AE29" w14:textId="6A0A13E4" w:rsidTr="00D448C0">
        <w:trPr>
          <w:tblCellSpacing w:w="0" w:type="dxa"/>
        </w:trPr>
        <w:tc>
          <w:tcPr>
            <w:tcW w:w="260" w:type="pct"/>
            <w:hideMark/>
          </w:tcPr>
          <w:p w14:paraId="5827E9CE"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0070</w:t>
            </w:r>
          </w:p>
        </w:tc>
        <w:tc>
          <w:tcPr>
            <w:tcW w:w="4288" w:type="pct"/>
            <w:hideMark/>
          </w:tcPr>
          <w:p w14:paraId="0E416D1D"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1.1.1.1.4. (-) Instrumente proprii de fonduri proprii de nivel 1 de bază</w:t>
            </w:r>
          </w:p>
          <w:p w14:paraId="652DEB16" w14:textId="5116CB3C" w:rsidR="00D448C0" w:rsidRPr="00727D1E" w:rsidRDefault="00D448C0" w:rsidP="00B973D9">
            <w:pPr>
              <w:pStyle w:val="lf"/>
              <w:spacing w:before="0" w:beforeAutospacing="0" w:after="0" w:afterAutospacing="0"/>
              <w:rPr>
                <w:color w:val="000000"/>
                <w:sz w:val="22"/>
                <w:szCs w:val="22"/>
              </w:rPr>
            </w:pPr>
            <w:r w:rsidRPr="00727D1E">
              <w:rPr>
                <w:color w:val="000000"/>
                <w:sz w:val="22"/>
                <w:szCs w:val="22"/>
              </w:rPr>
              <w:t xml:space="preserve">Punctul 30 subpunctul </w:t>
            </w:r>
            <w:r>
              <w:rPr>
                <w:color w:val="000000"/>
                <w:sz w:val="22"/>
                <w:szCs w:val="22"/>
              </w:rPr>
              <w:t>5</w:t>
            </w:r>
            <w:r w:rsidRPr="00727D1E">
              <w:rPr>
                <w:color w:val="000000"/>
                <w:sz w:val="22"/>
                <w:szCs w:val="22"/>
              </w:rPr>
              <w:t xml:space="preserve">) </w:t>
            </w:r>
            <w:proofErr w:type="spellStart"/>
            <w:r w:rsidRPr="00727D1E">
              <w:rPr>
                <w:color w:val="000000"/>
                <w:sz w:val="22"/>
                <w:szCs w:val="22"/>
              </w:rPr>
              <w:t>şi</w:t>
            </w:r>
            <w:proofErr w:type="spellEnd"/>
            <w:r w:rsidRPr="00727D1E">
              <w:rPr>
                <w:color w:val="000000"/>
                <w:sz w:val="22"/>
                <w:szCs w:val="22"/>
              </w:rPr>
              <w:t xml:space="preserve"> punctul 51 din </w:t>
            </w:r>
            <w:r>
              <w:rPr>
                <w:color w:val="000000"/>
                <w:sz w:val="22"/>
                <w:szCs w:val="22"/>
              </w:rPr>
              <w:t>Regulamentul nr.109/2018</w:t>
            </w:r>
            <w:r w:rsidRPr="00727D1E">
              <w:rPr>
                <w:color w:val="000000"/>
                <w:sz w:val="22"/>
                <w:szCs w:val="22"/>
              </w:rPr>
              <w:t>.</w:t>
            </w:r>
          </w:p>
          <w:p w14:paraId="4B0C082F" w14:textId="6DE26480"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Fondurile proprii de nivel 1 de bază deținute de </w:t>
            </w:r>
            <w:r>
              <w:rPr>
                <w:rFonts w:ascii="Times New Roman" w:eastAsia="Times New Roman" w:hAnsi="Times New Roman" w:cs="Times New Roman"/>
                <w:color w:val="000000"/>
                <w:kern w:val="0"/>
                <w:lang w:eastAsia="ro-MD"/>
                <w14:ligatures w14:val="none"/>
              </w:rPr>
              <w:t>bancă</w:t>
            </w:r>
            <w:r w:rsidRPr="00260C32">
              <w:rPr>
                <w:rFonts w:ascii="Times New Roman" w:eastAsia="Times New Roman" w:hAnsi="Times New Roman" w:cs="Times New Roman"/>
                <w:color w:val="000000"/>
                <w:kern w:val="0"/>
                <w:lang w:eastAsia="ro-MD"/>
                <w14:ligatures w14:val="none"/>
              </w:rPr>
              <w:t xml:space="preserve"> sau grupul raportor la data raportării. Sub rezerva excepțiilor prevăzute la </w:t>
            </w:r>
            <w:r w:rsidRPr="00653298">
              <w:rPr>
                <w:rFonts w:ascii="Times New Roman" w:hAnsi="Times New Roman" w:cs="Times New Roman"/>
                <w:color w:val="000000"/>
              </w:rPr>
              <w:t xml:space="preserve">punctul 51 din </w:t>
            </w:r>
            <w:r>
              <w:rPr>
                <w:rFonts w:ascii="Times New Roman" w:hAnsi="Times New Roman" w:cs="Times New Roman"/>
                <w:color w:val="000000"/>
              </w:rPr>
              <w:t>Regulamentul nr.109/2018</w:t>
            </w:r>
            <w:r w:rsidRPr="00260C32">
              <w:rPr>
                <w:rFonts w:ascii="Times New Roman" w:eastAsia="Times New Roman" w:hAnsi="Times New Roman" w:cs="Times New Roman"/>
                <w:color w:val="000000"/>
                <w:kern w:val="0"/>
                <w:lang w:eastAsia="ro-MD"/>
                <w14:ligatures w14:val="none"/>
              </w:rPr>
              <w:t>.</w:t>
            </w:r>
          </w:p>
          <w:p w14:paraId="27A2C1D3"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Deținerile de acțiuni incluse ca „instrumente de capital care nu sunt eligibile” nu trebuie raportate pe acest rând.</w:t>
            </w:r>
          </w:p>
          <w:p w14:paraId="29F291D2"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care trebuie raportat include prima de emisiune aferentă acțiunilor proprii.</w:t>
            </w:r>
          </w:p>
          <w:p w14:paraId="59D0FAC8" w14:textId="572C86E0"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P</w:t>
            </w:r>
            <w:r>
              <w:rPr>
                <w:rFonts w:ascii="Times New Roman" w:eastAsia="Times New Roman" w:hAnsi="Times New Roman" w:cs="Times New Roman"/>
                <w:color w:val="000000"/>
                <w:kern w:val="0"/>
                <w:lang w:eastAsia="ro-MD"/>
                <w14:ligatures w14:val="none"/>
              </w:rPr>
              <w:t>osturile</w:t>
            </w:r>
            <w:r w:rsidRPr="00260C32">
              <w:rPr>
                <w:rFonts w:ascii="Times New Roman" w:eastAsia="Times New Roman" w:hAnsi="Times New Roman" w:cs="Times New Roman"/>
                <w:color w:val="000000"/>
                <w:kern w:val="0"/>
                <w:lang w:eastAsia="ro-MD"/>
                <w14:ligatures w14:val="none"/>
              </w:rPr>
              <w:t xml:space="preserve"> 1.1.1.1.4-1.1.1.1.4.3 nu includ obligații reale sau contingente de a cumpăra instrumente proprii de fonduri proprii de nivel 1 de bază. Obligațiile reale sau contingente de a cumpăra instrumente proprii de fonduri proprii de nivel 1 de bază sunt raportate separat la </w:t>
            </w:r>
            <w:r>
              <w:rPr>
                <w:rFonts w:ascii="Times New Roman" w:eastAsia="Times New Roman" w:hAnsi="Times New Roman" w:cs="Times New Roman"/>
                <w:color w:val="000000"/>
                <w:kern w:val="0"/>
                <w:lang w:eastAsia="ro-MD"/>
                <w14:ligatures w14:val="none"/>
              </w:rPr>
              <w:t>postul</w:t>
            </w:r>
            <w:r w:rsidRPr="00260C32">
              <w:rPr>
                <w:rFonts w:ascii="Times New Roman" w:eastAsia="Times New Roman" w:hAnsi="Times New Roman" w:cs="Times New Roman"/>
                <w:color w:val="000000"/>
                <w:kern w:val="0"/>
                <w:lang w:eastAsia="ro-MD"/>
                <w14:ligatures w14:val="none"/>
              </w:rPr>
              <w:t xml:space="preserve"> 1.1.1.1.5.</w:t>
            </w:r>
          </w:p>
        </w:tc>
        <w:tc>
          <w:tcPr>
            <w:tcW w:w="452" w:type="pct"/>
          </w:tcPr>
          <w:p w14:paraId="1FAA104F"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7D098676" w14:textId="5A40718D" w:rsidTr="00D448C0">
        <w:trPr>
          <w:tblCellSpacing w:w="0" w:type="dxa"/>
        </w:trPr>
        <w:tc>
          <w:tcPr>
            <w:tcW w:w="260" w:type="pct"/>
            <w:hideMark/>
          </w:tcPr>
          <w:p w14:paraId="29F33D21"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0080</w:t>
            </w:r>
          </w:p>
        </w:tc>
        <w:tc>
          <w:tcPr>
            <w:tcW w:w="4288" w:type="pct"/>
            <w:hideMark/>
          </w:tcPr>
          <w:p w14:paraId="737CD37B"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1.1.1.1.4.1. (-) Dețineri directe de instrumente de fonduri proprii de nivel 1 de bază</w:t>
            </w:r>
          </w:p>
          <w:p w14:paraId="45CD3AAF" w14:textId="152E1C0F" w:rsidR="00D448C0" w:rsidRPr="00727D1E" w:rsidRDefault="00D448C0" w:rsidP="00B973D9">
            <w:pPr>
              <w:pStyle w:val="lf"/>
              <w:spacing w:before="0" w:beforeAutospacing="0" w:after="0" w:afterAutospacing="0"/>
              <w:rPr>
                <w:color w:val="000000"/>
                <w:sz w:val="22"/>
                <w:szCs w:val="22"/>
              </w:rPr>
            </w:pPr>
            <w:r w:rsidRPr="00727D1E">
              <w:rPr>
                <w:color w:val="000000"/>
                <w:sz w:val="22"/>
                <w:szCs w:val="22"/>
              </w:rPr>
              <w:t xml:space="preserve">Punctul 30 subpunctul </w:t>
            </w:r>
            <w:r>
              <w:rPr>
                <w:color w:val="000000"/>
                <w:sz w:val="22"/>
                <w:szCs w:val="22"/>
              </w:rPr>
              <w:t>5</w:t>
            </w:r>
            <w:r w:rsidRPr="00727D1E">
              <w:rPr>
                <w:color w:val="000000"/>
                <w:sz w:val="22"/>
                <w:szCs w:val="22"/>
              </w:rPr>
              <w:t xml:space="preserve">) </w:t>
            </w:r>
            <w:proofErr w:type="spellStart"/>
            <w:r w:rsidRPr="00727D1E">
              <w:rPr>
                <w:color w:val="000000"/>
                <w:sz w:val="22"/>
                <w:szCs w:val="22"/>
              </w:rPr>
              <w:t>şi</w:t>
            </w:r>
            <w:proofErr w:type="spellEnd"/>
            <w:r w:rsidRPr="00727D1E">
              <w:rPr>
                <w:color w:val="000000"/>
                <w:sz w:val="22"/>
                <w:szCs w:val="22"/>
              </w:rPr>
              <w:t xml:space="preserve"> punctul 51 din </w:t>
            </w:r>
            <w:r>
              <w:rPr>
                <w:color w:val="000000"/>
                <w:sz w:val="22"/>
                <w:szCs w:val="22"/>
              </w:rPr>
              <w:t>Regulamentul nr.109/2018</w:t>
            </w:r>
            <w:r w:rsidRPr="00727D1E">
              <w:rPr>
                <w:color w:val="000000"/>
                <w:sz w:val="22"/>
                <w:szCs w:val="22"/>
              </w:rPr>
              <w:t>.</w:t>
            </w:r>
          </w:p>
          <w:p w14:paraId="61773A0E" w14:textId="68105964"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Instrumentele de fonduri proprii de nivel 1 de bază incluse la p</w:t>
            </w:r>
            <w:r>
              <w:rPr>
                <w:rFonts w:ascii="Times New Roman" w:eastAsia="Times New Roman" w:hAnsi="Times New Roman" w:cs="Times New Roman"/>
                <w:color w:val="000000"/>
                <w:kern w:val="0"/>
                <w:lang w:eastAsia="ro-MD"/>
                <w14:ligatures w14:val="none"/>
              </w:rPr>
              <w:t>ostul</w:t>
            </w:r>
            <w:r w:rsidRPr="00260C32">
              <w:rPr>
                <w:rFonts w:ascii="Times New Roman" w:eastAsia="Times New Roman" w:hAnsi="Times New Roman" w:cs="Times New Roman"/>
                <w:color w:val="000000"/>
                <w:kern w:val="0"/>
                <w:lang w:eastAsia="ro-MD"/>
                <w14:ligatures w14:val="none"/>
              </w:rPr>
              <w:t xml:space="preserve"> 1.1.1.1 deținute de </w:t>
            </w:r>
            <w:r>
              <w:rPr>
                <w:rFonts w:ascii="Times New Roman" w:eastAsia="Times New Roman" w:hAnsi="Times New Roman" w:cs="Times New Roman"/>
                <w:color w:val="000000"/>
                <w:kern w:val="0"/>
                <w:lang w:eastAsia="ro-MD"/>
                <w14:ligatures w14:val="none"/>
              </w:rPr>
              <w:t>bănci</w:t>
            </w:r>
            <w:r w:rsidRPr="00260C32">
              <w:rPr>
                <w:rFonts w:ascii="Times New Roman" w:eastAsia="Times New Roman" w:hAnsi="Times New Roman" w:cs="Times New Roman"/>
                <w:color w:val="000000"/>
                <w:kern w:val="0"/>
                <w:lang w:eastAsia="ro-MD"/>
                <w14:ligatures w14:val="none"/>
              </w:rPr>
              <w:t>le grupului consolidat.</w:t>
            </w:r>
          </w:p>
          <w:p w14:paraId="35FB1962" w14:textId="33C2172D"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Cuantumul care trebuie raportat include deținerile din portofoliul de tranzacționare calculate pe baza poziției nete lungi, astfel cum se menționează la </w:t>
            </w:r>
            <w:r w:rsidRPr="00653298">
              <w:rPr>
                <w:rFonts w:ascii="Times New Roman" w:hAnsi="Times New Roman" w:cs="Times New Roman"/>
                <w:color w:val="000000"/>
              </w:rPr>
              <w:t xml:space="preserve">punctul 51 </w:t>
            </w:r>
            <w:r>
              <w:rPr>
                <w:rFonts w:ascii="Times New Roman" w:hAnsi="Times New Roman" w:cs="Times New Roman"/>
                <w:color w:val="000000"/>
              </w:rPr>
              <w:t xml:space="preserve">subpunctul 1) </w:t>
            </w:r>
            <w:r w:rsidRPr="00653298">
              <w:rPr>
                <w:rFonts w:ascii="Times New Roman" w:hAnsi="Times New Roman" w:cs="Times New Roman"/>
                <w:color w:val="000000"/>
              </w:rPr>
              <w:t xml:space="preserve">din </w:t>
            </w:r>
            <w:r>
              <w:rPr>
                <w:rFonts w:ascii="Times New Roman" w:hAnsi="Times New Roman" w:cs="Times New Roman"/>
                <w:color w:val="000000"/>
              </w:rPr>
              <w:t>Regulamentul nr.109/2018</w:t>
            </w:r>
            <w:r w:rsidRPr="00260C32">
              <w:rPr>
                <w:rFonts w:ascii="Times New Roman" w:eastAsia="Times New Roman" w:hAnsi="Times New Roman" w:cs="Times New Roman"/>
                <w:color w:val="000000"/>
                <w:kern w:val="0"/>
                <w:lang w:eastAsia="ro-MD"/>
                <w14:ligatures w14:val="none"/>
              </w:rPr>
              <w:t>.</w:t>
            </w:r>
          </w:p>
        </w:tc>
        <w:tc>
          <w:tcPr>
            <w:tcW w:w="452" w:type="pct"/>
          </w:tcPr>
          <w:p w14:paraId="755119AB"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46109D86" w14:textId="4352A118" w:rsidTr="00D448C0">
        <w:trPr>
          <w:tblCellSpacing w:w="0" w:type="dxa"/>
        </w:trPr>
        <w:tc>
          <w:tcPr>
            <w:tcW w:w="260" w:type="pct"/>
            <w:hideMark/>
          </w:tcPr>
          <w:p w14:paraId="7178501B"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0090</w:t>
            </w:r>
          </w:p>
        </w:tc>
        <w:tc>
          <w:tcPr>
            <w:tcW w:w="4288" w:type="pct"/>
            <w:hideMark/>
          </w:tcPr>
          <w:p w14:paraId="2FA603BC"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1.1.1.1.4.2. (-) Dețineri indirecte de instrumente de fonduri proprii de nivel 1 de bază</w:t>
            </w:r>
          </w:p>
          <w:p w14:paraId="0EEA1ABE" w14:textId="254F4E36"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27D1E">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 xml:space="preserve">4, </w:t>
            </w:r>
            <w:r w:rsidRPr="00055BF1">
              <w:rPr>
                <w:rFonts w:ascii="Times New Roman" w:eastAsia="Times New Roman" w:hAnsi="Times New Roman" w:cs="Times New Roman"/>
                <w:color w:val="000000"/>
                <w:kern w:val="0"/>
                <w:lang w:eastAsia="ro-MD"/>
                <w14:ligatures w14:val="none"/>
              </w:rPr>
              <w:t>punctul</w:t>
            </w:r>
            <w:r w:rsidRPr="00B903FA">
              <w:rPr>
                <w:rFonts w:ascii="Times New Roman" w:eastAsia="Times New Roman" w:hAnsi="Times New Roman" w:cs="Times New Roman"/>
                <w:color w:val="000000"/>
                <w:kern w:val="0"/>
                <w:lang w:eastAsia="ro-MD"/>
                <w14:ligatures w14:val="none"/>
              </w:rPr>
              <w:t xml:space="preserve"> </w:t>
            </w:r>
            <w:r w:rsidRPr="00727D1E">
              <w:rPr>
                <w:rFonts w:ascii="Times New Roman" w:eastAsia="Times New Roman" w:hAnsi="Times New Roman" w:cs="Times New Roman"/>
                <w:color w:val="000000"/>
                <w:kern w:val="0"/>
                <w:lang w:eastAsia="ro-MD"/>
                <w14:ligatures w14:val="none"/>
              </w:rPr>
              <w:t xml:space="preserve">30 subpunctul </w:t>
            </w:r>
            <w:r>
              <w:rPr>
                <w:rFonts w:ascii="Times New Roman" w:eastAsia="Times New Roman" w:hAnsi="Times New Roman" w:cs="Times New Roman"/>
                <w:color w:val="000000"/>
                <w:kern w:val="0"/>
                <w:lang w:eastAsia="ro-MD"/>
                <w14:ligatures w14:val="none"/>
              </w:rPr>
              <w:t>5</w:t>
            </w:r>
            <w:r w:rsidRPr="00727D1E">
              <w:rPr>
                <w:rFonts w:ascii="Times New Roman" w:eastAsia="Times New Roman" w:hAnsi="Times New Roman" w:cs="Times New Roman"/>
                <w:color w:val="000000"/>
                <w:kern w:val="0"/>
                <w:lang w:eastAsia="ro-MD"/>
                <w14:ligatures w14:val="none"/>
              </w:rPr>
              <w:t xml:space="preserve">) </w:t>
            </w:r>
            <w:proofErr w:type="spellStart"/>
            <w:r w:rsidRPr="00727D1E">
              <w:rPr>
                <w:rFonts w:ascii="Times New Roman" w:eastAsia="Times New Roman" w:hAnsi="Times New Roman" w:cs="Times New Roman"/>
                <w:color w:val="000000"/>
                <w:kern w:val="0"/>
                <w:lang w:eastAsia="ro-MD"/>
                <w14:ligatures w14:val="none"/>
              </w:rPr>
              <w:t>şi</w:t>
            </w:r>
            <w:proofErr w:type="spellEnd"/>
            <w:r w:rsidRPr="00727D1E">
              <w:rPr>
                <w:rFonts w:ascii="Times New Roman" w:eastAsia="Times New Roman" w:hAnsi="Times New Roman" w:cs="Times New Roman"/>
                <w:color w:val="000000"/>
                <w:kern w:val="0"/>
                <w:lang w:eastAsia="ro-MD"/>
                <w14:ligatures w14:val="none"/>
              </w:rPr>
              <w:t xml:space="preserve"> punctul 51 din </w:t>
            </w:r>
            <w:r>
              <w:rPr>
                <w:rFonts w:ascii="Times New Roman" w:eastAsia="Times New Roman" w:hAnsi="Times New Roman" w:cs="Times New Roman"/>
                <w:color w:val="000000"/>
                <w:kern w:val="0"/>
                <w:lang w:eastAsia="ro-MD"/>
                <w14:ligatures w14:val="none"/>
              </w:rPr>
              <w:t>Regulamentul nr.109/2018</w:t>
            </w:r>
            <w:r w:rsidRPr="00727D1E">
              <w:rPr>
                <w:rFonts w:ascii="Times New Roman" w:eastAsia="Times New Roman" w:hAnsi="Times New Roman" w:cs="Times New Roman"/>
                <w:color w:val="000000"/>
                <w:kern w:val="0"/>
                <w:lang w:eastAsia="ro-MD"/>
                <w14:ligatures w14:val="none"/>
              </w:rPr>
              <w:t>.</w:t>
            </w:r>
          </w:p>
        </w:tc>
        <w:tc>
          <w:tcPr>
            <w:tcW w:w="452" w:type="pct"/>
          </w:tcPr>
          <w:p w14:paraId="53FAE5D1"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3D804567" w14:textId="5B4F636F" w:rsidTr="00D448C0">
        <w:trPr>
          <w:tblCellSpacing w:w="0" w:type="dxa"/>
        </w:trPr>
        <w:tc>
          <w:tcPr>
            <w:tcW w:w="260" w:type="pct"/>
            <w:hideMark/>
          </w:tcPr>
          <w:p w14:paraId="067807DB"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0091</w:t>
            </w:r>
          </w:p>
        </w:tc>
        <w:tc>
          <w:tcPr>
            <w:tcW w:w="4288" w:type="pct"/>
            <w:hideMark/>
          </w:tcPr>
          <w:p w14:paraId="45D21ECC"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1.1.1.1.4.3. (-) Dețineri sintetice de instrumente de fonduri proprii de nivel 1 de bază</w:t>
            </w:r>
          </w:p>
          <w:p w14:paraId="28F44177" w14:textId="7397E968"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653298">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 xml:space="preserve">4, </w:t>
            </w:r>
            <w:r w:rsidRPr="00055BF1">
              <w:rPr>
                <w:rFonts w:ascii="Times New Roman" w:eastAsia="Times New Roman" w:hAnsi="Times New Roman" w:cs="Times New Roman"/>
                <w:color w:val="000000"/>
                <w:kern w:val="0"/>
                <w:lang w:eastAsia="ro-MD"/>
                <w14:ligatures w14:val="none"/>
              </w:rPr>
              <w:t>punctul</w:t>
            </w:r>
            <w:r w:rsidRPr="00653298">
              <w:rPr>
                <w:rFonts w:ascii="Times New Roman" w:eastAsia="Times New Roman" w:hAnsi="Times New Roman" w:cs="Times New Roman"/>
                <w:color w:val="000000"/>
                <w:kern w:val="0"/>
                <w:lang w:eastAsia="ro-MD"/>
                <w14:ligatures w14:val="none"/>
              </w:rPr>
              <w:t xml:space="preserve"> 30 subpunctul </w:t>
            </w:r>
            <w:r>
              <w:rPr>
                <w:rFonts w:ascii="Times New Roman" w:eastAsia="Times New Roman" w:hAnsi="Times New Roman" w:cs="Times New Roman"/>
                <w:color w:val="000000"/>
                <w:kern w:val="0"/>
                <w:lang w:eastAsia="ro-MD"/>
                <w14:ligatures w14:val="none"/>
              </w:rPr>
              <w:t>5</w:t>
            </w:r>
            <w:r w:rsidRPr="00653298">
              <w:rPr>
                <w:rFonts w:ascii="Times New Roman" w:eastAsia="Times New Roman" w:hAnsi="Times New Roman" w:cs="Times New Roman"/>
                <w:color w:val="000000"/>
                <w:kern w:val="0"/>
                <w:lang w:eastAsia="ro-MD"/>
                <w14:ligatures w14:val="none"/>
              </w:rPr>
              <w:t xml:space="preserve">) </w:t>
            </w:r>
            <w:proofErr w:type="spellStart"/>
            <w:r w:rsidRPr="00653298">
              <w:rPr>
                <w:rFonts w:ascii="Times New Roman" w:eastAsia="Times New Roman" w:hAnsi="Times New Roman" w:cs="Times New Roman"/>
                <w:color w:val="000000"/>
                <w:kern w:val="0"/>
                <w:lang w:eastAsia="ro-MD"/>
                <w14:ligatures w14:val="none"/>
              </w:rPr>
              <w:t>şi</w:t>
            </w:r>
            <w:proofErr w:type="spellEnd"/>
            <w:r w:rsidRPr="00653298">
              <w:rPr>
                <w:rFonts w:ascii="Times New Roman" w:eastAsia="Times New Roman" w:hAnsi="Times New Roman" w:cs="Times New Roman"/>
                <w:color w:val="000000"/>
                <w:kern w:val="0"/>
                <w:lang w:eastAsia="ro-MD"/>
                <w14:ligatures w14:val="none"/>
              </w:rPr>
              <w:t xml:space="preserve"> punctul 51 din </w:t>
            </w:r>
            <w:r>
              <w:rPr>
                <w:rFonts w:ascii="Times New Roman" w:eastAsia="Times New Roman" w:hAnsi="Times New Roman" w:cs="Times New Roman"/>
                <w:color w:val="000000"/>
                <w:kern w:val="0"/>
                <w:lang w:eastAsia="ro-MD"/>
                <w14:ligatures w14:val="none"/>
              </w:rPr>
              <w:t>Regulamentul nr.109/2018</w:t>
            </w:r>
            <w:r w:rsidRPr="00653298">
              <w:rPr>
                <w:rFonts w:ascii="Times New Roman" w:eastAsia="Times New Roman" w:hAnsi="Times New Roman" w:cs="Times New Roman"/>
                <w:color w:val="000000"/>
                <w:kern w:val="0"/>
                <w:lang w:eastAsia="ro-MD"/>
                <w14:ligatures w14:val="none"/>
              </w:rPr>
              <w:t>.</w:t>
            </w:r>
          </w:p>
        </w:tc>
        <w:tc>
          <w:tcPr>
            <w:tcW w:w="452" w:type="pct"/>
          </w:tcPr>
          <w:p w14:paraId="0FA6715E"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1FAE56FF" w14:textId="7F57E708" w:rsidTr="00D448C0">
        <w:trPr>
          <w:tblCellSpacing w:w="0" w:type="dxa"/>
        </w:trPr>
        <w:tc>
          <w:tcPr>
            <w:tcW w:w="260" w:type="pct"/>
            <w:hideMark/>
          </w:tcPr>
          <w:p w14:paraId="7CF34BB8"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0092</w:t>
            </w:r>
          </w:p>
        </w:tc>
        <w:tc>
          <w:tcPr>
            <w:tcW w:w="4288" w:type="pct"/>
            <w:hideMark/>
          </w:tcPr>
          <w:p w14:paraId="1CACC0BD"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1.1.1.1.5. (-) Obligații reale sau contingente de a cumpăra instrumente proprii de fonduri proprii de nivel 1 de bază</w:t>
            </w:r>
          </w:p>
          <w:p w14:paraId="39307896" w14:textId="386B7AC6" w:rsidR="00D448C0" w:rsidRPr="00653298"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653298">
              <w:rPr>
                <w:rFonts w:ascii="Times New Roman" w:eastAsia="Times New Roman" w:hAnsi="Times New Roman" w:cs="Times New Roman"/>
                <w:color w:val="000000"/>
                <w:kern w:val="0"/>
                <w:lang w:eastAsia="ro-MD"/>
                <w14:ligatures w14:val="none"/>
              </w:rPr>
              <w:t xml:space="preserve">Punctul 30 subpunctul </w:t>
            </w:r>
            <w:r>
              <w:rPr>
                <w:rFonts w:ascii="Times New Roman" w:eastAsia="Times New Roman" w:hAnsi="Times New Roman" w:cs="Times New Roman"/>
                <w:color w:val="000000"/>
                <w:kern w:val="0"/>
                <w:lang w:eastAsia="ro-MD"/>
                <w14:ligatures w14:val="none"/>
              </w:rPr>
              <w:t>5</w:t>
            </w:r>
            <w:r w:rsidRPr="00653298">
              <w:rPr>
                <w:rFonts w:ascii="Times New Roman" w:eastAsia="Times New Roman" w:hAnsi="Times New Roman" w:cs="Times New Roman"/>
                <w:color w:val="000000"/>
                <w:kern w:val="0"/>
                <w:lang w:eastAsia="ro-MD"/>
                <w14:ligatures w14:val="none"/>
              </w:rPr>
              <w:t xml:space="preserve">) </w:t>
            </w:r>
            <w:proofErr w:type="spellStart"/>
            <w:r w:rsidRPr="00653298">
              <w:rPr>
                <w:rFonts w:ascii="Times New Roman" w:eastAsia="Times New Roman" w:hAnsi="Times New Roman" w:cs="Times New Roman"/>
                <w:color w:val="000000"/>
                <w:kern w:val="0"/>
                <w:lang w:eastAsia="ro-MD"/>
                <w14:ligatures w14:val="none"/>
              </w:rPr>
              <w:t>şi</w:t>
            </w:r>
            <w:proofErr w:type="spellEnd"/>
            <w:r w:rsidRPr="00653298">
              <w:rPr>
                <w:rFonts w:ascii="Times New Roman" w:eastAsia="Times New Roman" w:hAnsi="Times New Roman" w:cs="Times New Roman"/>
                <w:color w:val="000000"/>
                <w:kern w:val="0"/>
                <w:lang w:eastAsia="ro-MD"/>
                <w14:ligatures w14:val="none"/>
              </w:rPr>
              <w:t xml:space="preserve"> punctul 51 din </w:t>
            </w:r>
            <w:r>
              <w:rPr>
                <w:rFonts w:ascii="Times New Roman" w:eastAsia="Times New Roman" w:hAnsi="Times New Roman" w:cs="Times New Roman"/>
                <w:color w:val="000000"/>
                <w:kern w:val="0"/>
                <w:lang w:eastAsia="ro-MD"/>
                <w14:ligatures w14:val="none"/>
              </w:rPr>
              <w:t>Regulamentul nr.109/2018</w:t>
            </w:r>
            <w:r w:rsidRPr="00653298">
              <w:rPr>
                <w:rFonts w:ascii="Times New Roman" w:eastAsia="Times New Roman" w:hAnsi="Times New Roman" w:cs="Times New Roman"/>
                <w:color w:val="000000"/>
                <w:kern w:val="0"/>
                <w:lang w:eastAsia="ro-MD"/>
                <w14:ligatures w14:val="none"/>
              </w:rPr>
              <w:t>.</w:t>
            </w:r>
          </w:p>
          <w:p w14:paraId="6202C78D" w14:textId="704590A5"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În conformitate cu </w:t>
            </w:r>
            <w:r>
              <w:rPr>
                <w:rFonts w:ascii="Times New Roman" w:eastAsia="Times New Roman" w:hAnsi="Times New Roman" w:cs="Times New Roman"/>
                <w:color w:val="000000"/>
                <w:kern w:val="0"/>
                <w:lang w:eastAsia="ro-MD"/>
                <w14:ligatures w14:val="none"/>
              </w:rPr>
              <w:t>p</w:t>
            </w:r>
            <w:r w:rsidRPr="00653298">
              <w:rPr>
                <w:rFonts w:ascii="Times New Roman" w:eastAsia="Times New Roman" w:hAnsi="Times New Roman" w:cs="Times New Roman"/>
                <w:color w:val="000000"/>
                <w:kern w:val="0"/>
                <w:lang w:eastAsia="ro-MD"/>
                <w14:ligatures w14:val="none"/>
              </w:rPr>
              <w:t xml:space="preserve">unctul 30 subpunctul </w:t>
            </w:r>
            <w:r>
              <w:rPr>
                <w:rFonts w:ascii="Times New Roman" w:eastAsia="Times New Roman" w:hAnsi="Times New Roman" w:cs="Times New Roman"/>
                <w:color w:val="000000"/>
                <w:kern w:val="0"/>
                <w:lang w:eastAsia="ro-MD"/>
                <w14:ligatures w14:val="none"/>
              </w:rPr>
              <w:t>5</w:t>
            </w:r>
            <w:r w:rsidRPr="00653298">
              <w:rPr>
                <w:rFonts w:ascii="Times New Roman" w:eastAsia="Times New Roman" w:hAnsi="Times New Roman" w:cs="Times New Roman"/>
                <w:color w:val="000000"/>
                <w:kern w:val="0"/>
                <w:lang w:eastAsia="ro-MD"/>
                <w14:ligatures w14:val="none"/>
              </w:rPr>
              <w:t>)</w:t>
            </w:r>
            <w:r>
              <w:rPr>
                <w:rFonts w:ascii="Times New Roman" w:eastAsia="Times New Roman" w:hAnsi="Times New Roman" w:cs="Times New Roman"/>
                <w:color w:val="000000"/>
                <w:kern w:val="0"/>
                <w:lang w:eastAsia="ro-MD"/>
                <w14:ligatures w14:val="none"/>
              </w:rPr>
              <w:t xml:space="preserve"> din Regulamentul nr.109/2018</w:t>
            </w:r>
            <w:r w:rsidRPr="00260C32" w:rsidDel="003077CF">
              <w:rPr>
                <w:rFonts w:ascii="Times New Roman" w:eastAsia="Times New Roman" w:hAnsi="Times New Roman" w:cs="Times New Roman"/>
                <w:color w:val="000000"/>
                <w:kern w:val="0"/>
                <w:lang w:eastAsia="ro-MD"/>
                <w14:ligatures w14:val="none"/>
              </w:rPr>
              <w:t xml:space="preserve"> </w:t>
            </w:r>
            <w:r w:rsidRPr="00260C32">
              <w:rPr>
                <w:rFonts w:ascii="Times New Roman" w:eastAsia="Times New Roman" w:hAnsi="Times New Roman" w:cs="Times New Roman"/>
                <w:color w:val="000000"/>
                <w:kern w:val="0"/>
                <w:lang w:eastAsia="ro-MD"/>
                <w14:ligatures w14:val="none"/>
              </w:rPr>
              <w:t xml:space="preserve">, „instrumentele proprii de fonduri proprii de nivel 1 de bază pe care o </w:t>
            </w:r>
            <w:r>
              <w:rPr>
                <w:rFonts w:ascii="Times New Roman" w:eastAsia="Times New Roman" w:hAnsi="Times New Roman" w:cs="Times New Roman"/>
                <w:color w:val="000000"/>
                <w:kern w:val="0"/>
                <w:lang w:eastAsia="ro-MD"/>
                <w14:ligatures w14:val="none"/>
              </w:rPr>
              <w:t>bancă</w:t>
            </w:r>
            <w:r w:rsidRPr="00260C32">
              <w:rPr>
                <w:rFonts w:ascii="Times New Roman" w:eastAsia="Times New Roman" w:hAnsi="Times New Roman" w:cs="Times New Roman"/>
                <w:color w:val="000000"/>
                <w:kern w:val="0"/>
                <w:lang w:eastAsia="ro-MD"/>
                <w14:ligatures w14:val="none"/>
              </w:rPr>
              <w:t xml:space="preserve"> are obligația reală sau contingentă de a le achiziționa în temeiul unei obligații contractuale existente” se deduc.</w:t>
            </w:r>
          </w:p>
        </w:tc>
        <w:tc>
          <w:tcPr>
            <w:tcW w:w="452" w:type="pct"/>
          </w:tcPr>
          <w:p w14:paraId="6A470D79"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34940C90" w14:textId="42DCC6A1" w:rsidTr="00D448C0">
        <w:trPr>
          <w:tblCellSpacing w:w="0" w:type="dxa"/>
        </w:trPr>
        <w:tc>
          <w:tcPr>
            <w:tcW w:w="260" w:type="pct"/>
            <w:hideMark/>
          </w:tcPr>
          <w:p w14:paraId="7E4C4841"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0130</w:t>
            </w:r>
          </w:p>
        </w:tc>
        <w:tc>
          <w:tcPr>
            <w:tcW w:w="4288" w:type="pct"/>
            <w:hideMark/>
          </w:tcPr>
          <w:p w14:paraId="4F7CDABA"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1.1.1.2. Rezultatul reportat</w:t>
            </w:r>
          </w:p>
          <w:p w14:paraId="2DA05723" w14:textId="77777777" w:rsidR="00D238C5"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27D1E">
              <w:rPr>
                <w:rFonts w:ascii="Times New Roman" w:eastAsia="Times New Roman" w:hAnsi="Times New Roman" w:cs="Times New Roman"/>
                <w:color w:val="000000"/>
                <w:kern w:val="0"/>
                <w:lang w:eastAsia="ro-MD"/>
                <w14:ligatures w14:val="none"/>
              </w:rPr>
              <w:t xml:space="preserve">Punctul 10 subpunctul 3) </w:t>
            </w:r>
            <w:proofErr w:type="spellStart"/>
            <w:r w:rsidRPr="00727D1E">
              <w:rPr>
                <w:rFonts w:ascii="Times New Roman" w:eastAsia="Times New Roman" w:hAnsi="Times New Roman" w:cs="Times New Roman"/>
                <w:color w:val="000000"/>
                <w:kern w:val="0"/>
                <w:lang w:eastAsia="ro-MD"/>
                <w14:ligatures w14:val="none"/>
              </w:rPr>
              <w:t>şi</w:t>
            </w:r>
            <w:proofErr w:type="spellEnd"/>
            <w:r w:rsidRPr="00727D1E">
              <w:rPr>
                <w:rFonts w:ascii="Times New Roman" w:eastAsia="Times New Roman" w:hAnsi="Times New Roman" w:cs="Times New Roman"/>
                <w:color w:val="000000"/>
                <w:kern w:val="0"/>
                <w:lang w:eastAsia="ro-MD"/>
                <w14:ligatures w14:val="none"/>
              </w:rPr>
              <w:t xml:space="preserve"> punctul 1</w:t>
            </w:r>
            <w:r>
              <w:rPr>
                <w:rFonts w:ascii="Times New Roman" w:eastAsia="Times New Roman" w:hAnsi="Times New Roman" w:cs="Times New Roman"/>
                <w:color w:val="000000"/>
                <w:kern w:val="0"/>
                <w:lang w:eastAsia="ro-MD"/>
                <w14:ligatures w14:val="none"/>
              </w:rPr>
              <w:t xml:space="preserve">3 </w:t>
            </w:r>
            <w:r w:rsidRPr="00727D1E">
              <w:rPr>
                <w:rFonts w:ascii="Times New Roman" w:eastAsia="Times New Roman" w:hAnsi="Times New Roman" w:cs="Times New Roman"/>
                <w:color w:val="000000"/>
                <w:kern w:val="0"/>
                <w:lang w:eastAsia="ro-MD"/>
                <w14:ligatures w14:val="none"/>
              </w:rPr>
              <w:t xml:space="preserve">din </w:t>
            </w:r>
            <w:r>
              <w:rPr>
                <w:rFonts w:ascii="Times New Roman" w:eastAsia="Times New Roman" w:hAnsi="Times New Roman" w:cs="Times New Roman"/>
                <w:color w:val="000000"/>
                <w:kern w:val="0"/>
                <w:lang w:eastAsia="ro-MD"/>
                <w14:ligatures w14:val="none"/>
              </w:rPr>
              <w:t>Regulamentul nr.109/2018</w:t>
            </w:r>
            <w:r w:rsidRPr="00727D1E">
              <w:rPr>
                <w:rFonts w:ascii="Times New Roman" w:eastAsia="Times New Roman" w:hAnsi="Times New Roman" w:cs="Times New Roman"/>
                <w:color w:val="000000"/>
                <w:kern w:val="0"/>
                <w:lang w:eastAsia="ro-MD"/>
                <w14:ligatures w14:val="none"/>
              </w:rPr>
              <w:t>.</w:t>
            </w:r>
          </w:p>
          <w:p w14:paraId="3FCCF306" w14:textId="12464A62"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Rezultatul reportat include rezultatul reportat din anul anterior plus profiturile intermediare sau de sfârșit de exercițiu financiar care sunt eligibile.</w:t>
            </w:r>
          </w:p>
        </w:tc>
        <w:tc>
          <w:tcPr>
            <w:tcW w:w="452" w:type="pct"/>
          </w:tcPr>
          <w:p w14:paraId="2ABCE901"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378377C9" w14:textId="2C438F06" w:rsidTr="00D448C0">
        <w:trPr>
          <w:tblCellSpacing w:w="0" w:type="dxa"/>
        </w:trPr>
        <w:tc>
          <w:tcPr>
            <w:tcW w:w="260" w:type="pct"/>
            <w:hideMark/>
          </w:tcPr>
          <w:p w14:paraId="2EB2D2EB"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0140</w:t>
            </w:r>
          </w:p>
        </w:tc>
        <w:tc>
          <w:tcPr>
            <w:tcW w:w="4288" w:type="pct"/>
            <w:hideMark/>
          </w:tcPr>
          <w:p w14:paraId="1D525CB6"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1.1.1.2.1. Rezultatul reportat din anii anteriori</w:t>
            </w:r>
          </w:p>
          <w:p w14:paraId="00D4CD5C" w14:textId="77777777" w:rsidR="00D238C5"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653298">
              <w:rPr>
                <w:rFonts w:ascii="Times New Roman" w:eastAsia="Times New Roman" w:hAnsi="Times New Roman" w:cs="Times New Roman"/>
                <w:color w:val="000000"/>
                <w:kern w:val="0"/>
                <w:lang w:eastAsia="ro-MD"/>
                <w14:ligatures w14:val="none"/>
              </w:rPr>
              <w:t xml:space="preserve">Punctul 10 subpunctul 3) din </w:t>
            </w:r>
            <w:r>
              <w:rPr>
                <w:rFonts w:ascii="Times New Roman" w:eastAsia="Times New Roman" w:hAnsi="Times New Roman" w:cs="Times New Roman"/>
                <w:color w:val="000000"/>
                <w:kern w:val="0"/>
                <w:lang w:eastAsia="ro-MD"/>
                <w14:ligatures w14:val="none"/>
              </w:rPr>
              <w:t>Regulamentul nr.109/2018</w:t>
            </w:r>
            <w:r w:rsidR="00D238C5">
              <w:rPr>
                <w:rFonts w:ascii="Times New Roman" w:eastAsia="Times New Roman" w:hAnsi="Times New Roman" w:cs="Times New Roman"/>
                <w:color w:val="000000"/>
                <w:kern w:val="0"/>
                <w:lang w:eastAsia="ro-MD"/>
                <w14:ligatures w14:val="none"/>
              </w:rPr>
              <w:t>.</w:t>
            </w:r>
          </w:p>
          <w:p w14:paraId="619F4E15" w14:textId="1DF2E1E6"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R</w:t>
            </w:r>
            <w:r w:rsidRPr="00260C32">
              <w:rPr>
                <w:rFonts w:ascii="Times New Roman" w:eastAsia="Times New Roman" w:hAnsi="Times New Roman" w:cs="Times New Roman"/>
                <w:color w:val="000000"/>
                <w:kern w:val="0"/>
                <w:lang w:eastAsia="ro-MD"/>
                <w14:ligatures w14:val="none"/>
              </w:rPr>
              <w:t>ezultatul reportat</w:t>
            </w:r>
            <w:r>
              <w:rPr>
                <w:rFonts w:ascii="Times New Roman" w:eastAsia="Times New Roman" w:hAnsi="Times New Roman" w:cs="Times New Roman"/>
                <w:color w:val="000000"/>
                <w:kern w:val="0"/>
                <w:lang w:eastAsia="ro-MD"/>
                <w14:ligatures w14:val="none"/>
              </w:rPr>
              <w:t xml:space="preserve"> se definește</w:t>
            </w:r>
            <w:r w:rsidRPr="00260C32">
              <w:rPr>
                <w:rFonts w:ascii="Times New Roman" w:eastAsia="Times New Roman" w:hAnsi="Times New Roman" w:cs="Times New Roman"/>
                <w:color w:val="000000"/>
                <w:kern w:val="0"/>
                <w:lang w:eastAsia="ro-MD"/>
                <w14:ligatures w14:val="none"/>
              </w:rPr>
              <w:t xml:space="preserve"> drept „profiturile și pierderile reportate ca urmare a determinării finale a profitului sau pierderii în conformitate cu cadrul contabil aplicabil”.</w:t>
            </w:r>
          </w:p>
        </w:tc>
        <w:tc>
          <w:tcPr>
            <w:tcW w:w="452" w:type="pct"/>
          </w:tcPr>
          <w:p w14:paraId="36D2B3D8"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07928795" w14:textId="4C4A3711" w:rsidTr="00D448C0">
        <w:trPr>
          <w:tblCellSpacing w:w="0" w:type="dxa"/>
        </w:trPr>
        <w:tc>
          <w:tcPr>
            <w:tcW w:w="260" w:type="pct"/>
            <w:hideMark/>
          </w:tcPr>
          <w:p w14:paraId="49973309"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0150</w:t>
            </w:r>
          </w:p>
        </w:tc>
        <w:tc>
          <w:tcPr>
            <w:tcW w:w="4288" w:type="pct"/>
            <w:hideMark/>
          </w:tcPr>
          <w:p w14:paraId="488DB204"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1.1.1.2.2. Profitul sau pierderea eligibil(ă)</w:t>
            </w:r>
          </w:p>
          <w:p w14:paraId="50B1ACAA" w14:textId="167AAF1B"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27D1E">
              <w:rPr>
                <w:rFonts w:ascii="Times New Roman" w:eastAsia="Times New Roman" w:hAnsi="Times New Roman" w:cs="Times New Roman"/>
                <w:color w:val="000000"/>
                <w:kern w:val="0"/>
                <w:lang w:eastAsia="ro-MD"/>
                <w14:ligatures w14:val="none"/>
              </w:rPr>
              <w:t xml:space="preserve">Punctul 13 </w:t>
            </w:r>
            <w:proofErr w:type="spellStart"/>
            <w:r w:rsidRPr="00727D1E">
              <w:rPr>
                <w:rFonts w:ascii="Times New Roman" w:eastAsia="Times New Roman" w:hAnsi="Times New Roman" w:cs="Times New Roman"/>
                <w:color w:val="000000"/>
                <w:kern w:val="0"/>
                <w:lang w:eastAsia="ro-MD"/>
                <w14:ligatures w14:val="none"/>
              </w:rPr>
              <w:t>şi</w:t>
            </w:r>
            <w:proofErr w:type="spellEnd"/>
            <w:r w:rsidRPr="00727D1E">
              <w:rPr>
                <w:rFonts w:ascii="Times New Roman" w:eastAsia="Times New Roman" w:hAnsi="Times New Roman" w:cs="Times New Roman"/>
                <w:color w:val="000000"/>
                <w:kern w:val="0"/>
                <w:lang w:eastAsia="ro-MD"/>
                <w14:ligatures w14:val="none"/>
              </w:rPr>
              <w:t xml:space="preserve"> punctul 30 subpunctul 1) din </w:t>
            </w:r>
            <w:r>
              <w:rPr>
                <w:rFonts w:ascii="Times New Roman" w:eastAsia="Times New Roman" w:hAnsi="Times New Roman" w:cs="Times New Roman"/>
                <w:color w:val="000000"/>
                <w:kern w:val="0"/>
                <w:lang w:eastAsia="ro-MD"/>
                <w14:ligatures w14:val="none"/>
              </w:rPr>
              <w:t>Regulamentul nr.109/2018</w:t>
            </w:r>
            <w:r w:rsidRPr="00727D1E">
              <w:rPr>
                <w:rFonts w:ascii="Times New Roman" w:eastAsia="Times New Roman" w:hAnsi="Times New Roman" w:cs="Times New Roman"/>
                <w:color w:val="000000"/>
                <w:kern w:val="0"/>
                <w:lang w:eastAsia="ro-MD"/>
                <w14:ligatures w14:val="none"/>
              </w:rPr>
              <w:t>.</w:t>
            </w:r>
            <w:r>
              <w:rPr>
                <w:rFonts w:ascii="Arial" w:hAnsi="Arial" w:cs="Arial"/>
                <w:sz w:val="19"/>
                <w:szCs w:val="19"/>
              </w:rPr>
              <w:br/>
            </w:r>
            <w:r w:rsidRPr="00653298">
              <w:rPr>
                <w:rFonts w:ascii="Times New Roman" w:eastAsia="Times New Roman" w:hAnsi="Times New Roman" w:cs="Times New Roman"/>
                <w:color w:val="000000"/>
                <w:kern w:val="0"/>
                <w:lang w:eastAsia="ro-MD"/>
                <w14:ligatures w14:val="none"/>
              </w:rPr>
              <w:t xml:space="preserve">Punctul 13 din </w:t>
            </w:r>
            <w:r>
              <w:rPr>
                <w:rFonts w:ascii="Times New Roman" w:eastAsia="Times New Roman" w:hAnsi="Times New Roman" w:cs="Times New Roman"/>
                <w:color w:val="000000"/>
                <w:kern w:val="0"/>
                <w:lang w:eastAsia="ro-MD"/>
                <w14:ligatures w14:val="none"/>
              </w:rPr>
              <w:t>Regulamentul nr.109/2018</w:t>
            </w:r>
            <w:r w:rsidRPr="00260C32" w:rsidDel="00080370">
              <w:rPr>
                <w:rFonts w:ascii="Times New Roman" w:eastAsia="Times New Roman" w:hAnsi="Times New Roman" w:cs="Times New Roman"/>
                <w:color w:val="000000"/>
                <w:kern w:val="0"/>
                <w:lang w:eastAsia="ro-MD"/>
                <w14:ligatures w14:val="none"/>
              </w:rPr>
              <w:t xml:space="preserve"> </w:t>
            </w:r>
            <w:r w:rsidRPr="00260C32">
              <w:rPr>
                <w:rFonts w:ascii="Times New Roman" w:eastAsia="Times New Roman" w:hAnsi="Times New Roman" w:cs="Times New Roman"/>
                <w:color w:val="000000"/>
                <w:kern w:val="0"/>
                <w:lang w:eastAsia="ro-MD"/>
                <w14:ligatures w14:val="none"/>
              </w:rPr>
              <w:t xml:space="preserve">permite includerea, ca rezultate reportate, a profiturilor intermediare sau a celor de sfârșit de exercițiu financiar, cu aprobarea prealabilă a </w:t>
            </w:r>
            <w:r>
              <w:rPr>
                <w:rFonts w:ascii="Times New Roman" w:eastAsia="Times New Roman" w:hAnsi="Times New Roman" w:cs="Times New Roman"/>
                <w:color w:val="000000"/>
                <w:kern w:val="0"/>
                <w:lang w:eastAsia="ro-MD"/>
                <w14:ligatures w14:val="none"/>
              </w:rPr>
              <w:t>Băncii Naționale a Moldovei</w:t>
            </w:r>
            <w:r w:rsidRPr="00260C32">
              <w:rPr>
                <w:rFonts w:ascii="Times New Roman" w:eastAsia="Times New Roman" w:hAnsi="Times New Roman" w:cs="Times New Roman"/>
                <w:color w:val="000000"/>
                <w:kern w:val="0"/>
                <w:lang w:eastAsia="ro-MD"/>
                <w14:ligatures w14:val="none"/>
              </w:rPr>
              <w:t>, în cazul în care sunt îndeplinite anumite condiții.</w:t>
            </w:r>
          </w:p>
          <w:p w14:paraId="4B39E853" w14:textId="79A12D23"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Pe de altă parte, pierderile se deduc din fondurile proprii de nivel 1 de bază, astfel cum se menționează la </w:t>
            </w:r>
            <w:r>
              <w:rPr>
                <w:rFonts w:ascii="Times New Roman" w:eastAsia="Times New Roman" w:hAnsi="Times New Roman" w:cs="Times New Roman"/>
                <w:color w:val="000000"/>
                <w:kern w:val="0"/>
                <w:lang w:eastAsia="ro-MD"/>
                <w14:ligatures w14:val="none"/>
              </w:rPr>
              <w:t>p</w:t>
            </w:r>
            <w:r w:rsidRPr="00653298">
              <w:rPr>
                <w:rFonts w:ascii="Times New Roman" w:eastAsia="Times New Roman" w:hAnsi="Times New Roman" w:cs="Times New Roman"/>
                <w:color w:val="000000"/>
                <w:kern w:val="0"/>
                <w:lang w:eastAsia="ro-MD"/>
                <w14:ligatures w14:val="none"/>
              </w:rPr>
              <w:t xml:space="preserve">unctul 30 subpunctul </w:t>
            </w:r>
            <w:r>
              <w:rPr>
                <w:rFonts w:ascii="Times New Roman" w:eastAsia="Times New Roman" w:hAnsi="Times New Roman" w:cs="Times New Roman"/>
                <w:color w:val="000000"/>
                <w:kern w:val="0"/>
                <w:lang w:eastAsia="ro-MD"/>
                <w14:ligatures w14:val="none"/>
              </w:rPr>
              <w:t xml:space="preserve">1) </w:t>
            </w:r>
            <w:r w:rsidRPr="00653298">
              <w:rPr>
                <w:rFonts w:ascii="Times New Roman" w:eastAsia="Times New Roman" w:hAnsi="Times New Roman" w:cs="Times New Roman"/>
                <w:color w:val="000000"/>
                <w:kern w:val="0"/>
                <w:lang w:eastAsia="ro-MD"/>
                <w14:ligatures w14:val="none"/>
              </w:rPr>
              <w:t xml:space="preserve">din </w:t>
            </w:r>
            <w:r>
              <w:rPr>
                <w:rFonts w:ascii="Times New Roman" w:eastAsia="Times New Roman" w:hAnsi="Times New Roman" w:cs="Times New Roman"/>
                <w:color w:val="000000"/>
                <w:kern w:val="0"/>
                <w:lang w:eastAsia="ro-MD"/>
                <w14:ligatures w14:val="none"/>
              </w:rPr>
              <w:t>Regulamentul nr.109/2018</w:t>
            </w:r>
            <w:r w:rsidRPr="00260C32">
              <w:rPr>
                <w:rFonts w:ascii="Times New Roman" w:eastAsia="Times New Roman" w:hAnsi="Times New Roman" w:cs="Times New Roman"/>
                <w:color w:val="000000"/>
                <w:kern w:val="0"/>
                <w:lang w:eastAsia="ro-MD"/>
                <w14:ligatures w14:val="none"/>
              </w:rPr>
              <w:t>.</w:t>
            </w:r>
          </w:p>
        </w:tc>
        <w:tc>
          <w:tcPr>
            <w:tcW w:w="452" w:type="pct"/>
          </w:tcPr>
          <w:p w14:paraId="562F5999"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6C64311A" w14:textId="718D14ED" w:rsidTr="00D448C0">
        <w:trPr>
          <w:tblCellSpacing w:w="0" w:type="dxa"/>
        </w:trPr>
        <w:tc>
          <w:tcPr>
            <w:tcW w:w="260" w:type="pct"/>
            <w:hideMark/>
          </w:tcPr>
          <w:p w14:paraId="1B6800ED"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lastRenderedPageBreak/>
              <w:t>0160</w:t>
            </w:r>
          </w:p>
        </w:tc>
        <w:tc>
          <w:tcPr>
            <w:tcW w:w="4288" w:type="pct"/>
            <w:hideMark/>
          </w:tcPr>
          <w:p w14:paraId="7FF8347F"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1.1.1.2.2.1. Profitul sau pierderea care poate fi atribuit(ă) proprietarilor întreprinderii-mamă</w:t>
            </w:r>
          </w:p>
          <w:p w14:paraId="3D25C0DA" w14:textId="595A0C5E"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27D1E">
              <w:rPr>
                <w:rFonts w:ascii="Times New Roman" w:eastAsia="Times New Roman" w:hAnsi="Times New Roman" w:cs="Times New Roman"/>
                <w:color w:val="000000"/>
                <w:kern w:val="0"/>
                <w:lang w:eastAsia="ro-MD"/>
                <w14:ligatures w14:val="none"/>
              </w:rPr>
              <w:t xml:space="preserve">Punctul 13 </w:t>
            </w:r>
            <w:proofErr w:type="spellStart"/>
            <w:r w:rsidRPr="00727D1E">
              <w:rPr>
                <w:rFonts w:ascii="Times New Roman" w:eastAsia="Times New Roman" w:hAnsi="Times New Roman" w:cs="Times New Roman"/>
                <w:color w:val="000000"/>
                <w:kern w:val="0"/>
                <w:lang w:eastAsia="ro-MD"/>
                <w14:ligatures w14:val="none"/>
              </w:rPr>
              <w:t>şi</w:t>
            </w:r>
            <w:proofErr w:type="spellEnd"/>
            <w:r w:rsidRPr="00727D1E">
              <w:rPr>
                <w:rFonts w:ascii="Times New Roman" w:eastAsia="Times New Roman" w:hAnsi="Times New Roman" w:cs="Times New Roman"/>
                <w:color w:val="000000"/>
                <w:kern w:val="0"/>
                <w:lang w:eastAsia="ro-MD"/>
                <w14:ligatures w14:val="none"/>
              </w:rPr>
              <w:t xml:space="preserve"> punctul 30 subpunctul 1) din </w:t>
            </w:r>
            <w:r>
              <w:rPr>
                <w:rFonts w:ascii="Times New Roman" w:eastAsia="Times New Roman" w:hAnsi="Times New Roman" w:cs="Times New Roman"/>
                <w:color w:val="000000"/>
                <w:kern w:val="0"/>
                <w:lang w:eastAsia="ro-MD"/>
                <w14:ligatures w14:val="none"/>
              </w:rPr>
              <w:t>Regulamentul nr.109/2018</w:t>
            </w:r>
            <w:r w:rsidRPr="00727D1E">
              <w:rPr>
                <w:rFonts w:ascii="Times New Roman" w:eastAsia="Times New Roman" w:hAnsi="Times New Roman" w:cs="Times New Roman"/>
                <w:color w:val="000000"/>
                <w:kern w:val="0"/>
                <w:lang w:eastAsia="ro-MD"/>
                <w14:ligatures w14:val="none"/>
              </w:rPr>
              <w:t>.</w:t>
            </w:r>
            <w:r>
              <w:rPr>
                <w:rFonts w:ascii="Arial" w:hAnsi="Arial" w:cs="Arial"/>
              </w:rPr>
              <w:br/>
            </w:r>
            <w:r w:rsidRPr="00260C32">
              <w:rPr>
                <w:rFonts w:ascii="Times New Roman" w:eastAsia="Times New Roman" w:hAnsi="Times New Roman" w:cs="Times New Roman"/>
                <w:color w:val="000000"/>
                <w:kern w:val="0"/>
                <w:lang w:eastAsia="ro-MD"/>
                <w14:ligatures w14:val="none"/>
              </w:rPr>
              <w:t>Cuantumul care trebuie raportat este cel al profitului sau al pierderii raportat(e) în contul de profit și pierdere.</w:t>
            </w:r>
          </w:p>
        </w:tc>
        <w:tc>
          <w:tcPr>
            <w:tcW w:w="452" w:type="pct"/>
          </w:tcPr>
          <w:p w14:paraId="4C68B9D7"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26ADF09A" w14:textId="68AE3CC1" w:rsidTr="00D448C0">
        <w:trPr>
          <w:tblCellSpacing w:w="0" w:type="dxa"/>
        </w:trPr>
        <w:tc>
          <w:tcPr>
            <w:tcW w:w="260" w:type="pct"/>
            <w:hideMark/>
          </w:tcPr>
          <w:p w14:paraId="5ABC9E57"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0170</w:t>
            </w:r>
          </w:p>
        </w:tc>
        <w:tc>
          <w:tcPr>
            <w:tcW w:w="4288" w:type="pct"/>
            <w:hideMark/>
          </w:tcPr>
          <w:p w14:paraId="11135F07"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1.1.1.2.2.2. (-) Partea din profiturile intermediare sau din cele de sfârșit de exercițiu financiar care nu este eligibilă</w:t>
            </w:r>
          </w:p>
          <w:p w14:paraId="66C3C5A3" w14:textId="77777777" w:rsidR="00D238C5" w:rsidRDefault="00D448C0" w:rsidP="00B973D9">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Punctul 13 din Regulamentul nr.109/2018</w:t>
            </w:r>
            <w:r w:rsidR="00D238C5">
              <w:rPr>
                <w:rFonts w:ascii="Times New Roman" w:eastAsia="Times New Roman" w:hAnsi="Times New Roman" w:cs="Times New Roman"/>
                <w:color w:val="000000"/>
                <w:kern w:val="0"/>
                <w:lang w:eastAsia="ro-MD"/>
                <w14:ligatures w14:val="none"/>
              </w:rPr>
              <w:t>.</w:t>
            </w:r>
          </w:p>
          <w:p w14:paraId="107781E5" w14:textId="4F832E6F"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Acest rând nu prezintă nicio cifră în cazul în care, în perioada de referință,</w:t>
            </w:r>
            <w:r w:rsidR="0015486B">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a raportat pierderi, deoarece pierderile trebuie să fie complet deduse din fondurile proprii de nivel 1 de bază.</w:t>
            </w:r>
          </w:p>
          <w:p w14:paraId="53BEF539" w14:textId="052E08E9"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În cazul în care </w:t>
            </w:r>
            <w:r>
              <w:rPr>
                <w:rFonts w:ascii="Times New Roman" w:eastAsia="Times New Roman" w:hAnsi="Times New Roman" w:cs="Times New Roman"/>
                <w:color w:val="000000"/>
                <w:kern w:val="0"/>
                <w:lang w:eastAsia="ro-MD"/>
                <w14:ligatures w14:val="none"/>
              </w:rPr>
              <w:t>banca</w:t>
            </w:r>
            <w:r w:rsidR="0015486B">
              <w:rPr>
                <w:rFonts w:ascii="Times New Roman" w:eastAsia="Times New Roman" w:hAnsi="Times New Roman" w:cs="Times New Roman"/>
                <w:color w:val="000000"/>
                <w:kern w:val="0"/>
                <w:lang w:eastAsia="ro-MD"/>
                <w14:ligatures w14:val="none"/>
              </w:rPr>
              <w:t xml:space="preserve"> </w:t>
            </w:r>
            <w:r w:rsidRPr="00260C32">
              <w:rPr>
                <w:rFonts w:ascii="Times New Roman" w:eastAsia="Times New Roman" w:hAnsi="Times New Roman" w:cs="Times New Roman"/>
                <w:color w:val="000000"/>
                <w:kern w:val="0"/>
                <w:lang w:eastAsia="ro-MD"/>
                <w14:ligatures w14:val="none"/>
              </w:rPr>
              <w:t xml:space="preserve">raportează un profit, trebuie raportată partea care nu este eligibilă, în conformitate cu </w:t>
            </w:r>
            <w:r>
              <w:rPr>
                <w:rFonts w:ascii="Times New Roman" w:eastAsia="Times New Roman" w:hAnsi="Times New Roman" w:cs="Times New Roman"/>
                <w:color w:val="000000"/>
                <w:kern w:val="0"/>
                <w:lang w:eastAsia="ro-MD"/>
                <w14:ligatures w14:val="none"/>
              </w:rPr>
              <w:t>punctul 13 din Regulamentul nr.109/2018</w:t>
            </w:r>
            <w:r w:rsidRPr="00260C32">
              <w:rPr>
                <w:rFonts w:ascii="Times New Roman" w:eastAsia="Times New Roman" w:hAnsi="Times New Roman" w:cs="Times New Roman"/>
                <w:color w:val="000000"/>
                <w:kern w:val="0"/>
                <w:lang w:eastAsia="ro-MD"/>
                <w14:ligatures w14:val="none"/>
              </w:rPr>
              <w:t xml:space="preserve"> (și anume profiturile care nu au făcut obiectul unui audit și obligațiile sau dividendele previzibile).</w:t>
            </w:r>
          </w:p>
          <w:p w14:paraId="5FD26D0A"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De remarcat faptul că, în caz de profit, cuantumul care urmează să fie dedus este cel puțin cel al dividendelor intermediare.</w:t>
            </w:r>
          </w:p>
        </w:tc>
        <w:tc>
          <w:tcPr>
            <w:tcW w:w="452" w:type="pct"/>
          </w:tcPr>
          <w:p w14:paraId="7F5D952C"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5FB7C25D" w14:textId="4430A9C0" w:rsidTr="00D448C0">
        <w:trPr>
          <w:tblCellSpacing w:w="0" w:type="dxa"/>
        </w:trPr>
        <w:tc>
          <w:tcPr>
            <w:tcW w:w="260" w:type="pct"/>
            <w:hideMark/>
          </w:tcPr>
          <w:p w14:paraId="79F400DC"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0180</w:t>
            </w:r>
          </w:p>
        </w:tc>
        <w:tc>
          <w:tcPr>
            <w:tcW w:w="4288" w:type="pct"/>
            <w:hideMark/>
          </w:tcPr>
          <w:p w14:paraId="20D1EB9D"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1.1.1.3. Alte elemente cumulate ale rezultatului global</w:t>
            </w:r>
          </w:p>
          <w:p w14:paraId="39AA95E7" w14:textId="354FBD77" w:rsidR="00D448C0" w:rsidRPr="00727D1E" w:rsidRDefault="00D448C0" w:rsidP="00B973D9">
            <w:pPr>
              <w:pStyle w:val="lf"/>
              <w:spacing w:before="0" w:beforeAutospacing="0" w:after="0" w:afterAutospacing="0"/>
              <w:rPr>
                <w:color w:val="000000"/>
                <w:sz w:val="22"/>
                <w:szCs w:val="22"/>
              </w:rPr>
            </w:pPr>
            <w:r w:rsidRPr="00727D1E">
              <w:rPr>
                <w:color w:val="000000"/>
                <w:sz w:val="22"/>
                <w:szCs w:val="22"/>
              </w:rPr>
              <w:t xml:space="preserve">Punctul 10 subpunctul 4) din </w:t>
            </w:r>
            <w:r>
              <w:rPr>
                <w:color w:val="000000"/>
                <w:sz w:val="22"/>
                <w:szCs w:val="22"/>
              </w:rPr>
              <w:t>Regulamentul nr.109/2018</w:t>
            </w:r>
            <w:r w:rsidRPr="00727D1E">
              <w:rPr>
                <w:color w:val="000000"/>
                <w:sz w:val="22"/>
                <w:szCs w:val="22"/>
              </w:rPr>
              <w:t>.</w:t>
            </w:r>
          </w:p>
          <w:p w14:paraId="6ED0EA41" w14:textId="672A61D9"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Cuantumul care trebuie raportat nu include nicio obligație fiscală previzibilă la momentul calculării și înainte de aplicarea filtrelor prudențiale. Cuantumul care trebuie raportat se stabilește în conformitate cu </w:t>
            </w:r>
            <w:r>
              <w:rPr>
                <w:rFonts w:ascii="Times New Roman" w:eastAsia="Times New Roman" w:hAnsi="Times New Roman" w:cs="Times New Roman"/>
                <w:color w:val="000000"/>
                <w:kern w:val="0"/>
                <w:lang w:eastAsia="ro-MD"/>
                <w14:ligatures w14:val="none"/>
              </w:rPr>
              <w:t>punctul 3</w:t>
            </w:r>
            <w:r w:rsidR="00390B4D">
              <w:rPr>
                <w:rFonts w:ascii="Times New Roman" w:eastAsia="Times New Roman" w:hAnsi="Times New Roman" w:cs="Times New Roman"/>
                <w:color w:val="000000"/>
                <w:kern w:val="0"/>
                <w:lang w:eastAsia="ro-MD"/>
                <w14:ligatures w14:val="none"/>
              </w:rPr>
              <w:t>6</w:t>
            </w:r>
            <w:r>
              <w:rPr>
                <w:rFonts w:ascii="Times New Roman" w:eastAsia="Times New Roman" w:hAnsi="Times New Roman" w:cs="Times New Roman"/>
                <w:color w:val="000000"/>
                <w:kern w:val="0"/>
                <w:lang w:eastAsia="ro-MD"/>
                <w14:ligatures w14:val="none"/>
              </w:rPr>
              <w:t xml:space="preserve"> din Regulamentul nr.109/2018</w:t>
            </w:r>
            <w:r w:rsidRPr="00390B4D">
              <w:rPr>
                <w:rFonts w:ascii="Times New Roman" w:eastAsia="Times New Roman" w:hAnsi="Times New Roman" w:cs="Times New Roman"/>
                <w:color w:val="000000"/>
                <w:kern w:val="0"/>
                <w:lang w:eastAsia="ro-MD"/>
                <w14:ligatures w14:val="none"/>
              </w:rPr>
              <w:t>.</w:t>
            </w:r>
          </w:p>
        </w:tc>
        <w:tc>
          <w:tcPr>
            <w:tcW w:w="452" w:type="pct"/>
          </w:tcPr>
          <w:p w14:paraId="19ED12D4"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13A1C5B5" w14:textId="36F80DF5" w:rsidTr="00D448C0">
        <w:trPr>
          <w:tblCellSpacing w:w="0" w:type="dxa"/>
        </w:trPr>
        <w:tc>
          <w:tcPr>
            <w:tcW w:w="260" w:type="pct"/>
            <w:hideMark/>
          </w:tcPr>
          <w:p w14:paraId="27A84247"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0200</w:t>
            </w:r>
          </w:p>
        </w:tc>
        <w:tc>
          <w:tcPr>
            <w:tcW w:w="4288" w:type="pct"/>
            <w:hideMark/>
          </w:tcPr>
          <w:p w14:paraId="7D03651F"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1.1.1.4. Alte rezerve</w:t>
            </w:r>
          </w:p>
          <w:p w14:paraId="12D543A7" w14:textId="00336D43" w:rsidR="00D448C0" w:rsidRPr="00727D1E" w:rsidRDefault="00D448C0" w:rsidP="00B973D9">
            <w:pPr>
              <w:pStyle w:val="lf"/>
              <w:spacing w:before="0" w:beforeAutospacing="0" w:after="0" w:afterAutospacing="0"/>
              <w:rPr>
                <w:color w:val="000000"/>
                <w:sz w:val="22"/>
                <w:szCs w:val="22"/>
              </w:rPr>
            </w:pPr>
            <w:r w:rsidRPr="00727D1E">
              <w:rPr>
                <w:color w:val="000000"/>
                <w:sz w:val="22"/>
                <w:szCs w:val="22"/>
              </w:rPr>
              <w:t>Punctul 10 subpunctul 5)</w:t>
            </w:r>
            <w:r>
              <w:rPr>
                <w:color w:val="000000"/>
                <w:sz w:val="22"/>
                <w:szCs w:val="22"/>
              </w:rPr>
              <w:t xml:space="preserve"> </w:t>
            </w:r>
            <w:r>
              <w:rPr>
                <w:color w:val="000000"/>
                <w:sz w:val="22"/>
                <w:szCs w:val="22"/>
                <w:lang w:val="ro-RO"/>
              </w:rPr>
              <w:t>și punctul 11</w:t>
            </w:r>
            <w:r w:rsidRPr="00727D1E">
              <w:rPr>
                <w:color w:val="000000"/>
                <w:sz w:val="22"/>
                <w:szCs w:val="22"/>
              </w:rPr>
              <w:t xml:space="preserve"> din </w:t>
            </w:r>
            <w:r>
              <w:rPr>
                <w:color w:val="000000"/>
                <w:sz w:val="22"/>
                <w:szCs w:val="22"/>
              </w:rPr>
              <w:t>Regulamentul nr.109/2018</w:t>
            </w:r>
            <w:r w:rsidRPr="00727D1E">
              <w:rPr>
                <w:color w:val="000000"/>
                <w:sz w:val="22"/>
                <w:szCs w:val="22"/>
              </w:rPr>
              <w:t>.</w:t>
            </w:r>
          </w:p>
          <w:p w14:paraId="12CDEA27" w14:textId="5F4FB1BE"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Alte rezerve sunt definite în </w:t>
            </w:r>
            <w:r>
              <w:rPr>
                <w:rFonts w:ascii="Times New Roman" w:eastAsia="Times New Roman" w:hAnsi="Times New Roman" w:cs="Times New Roman"/>
                <w:color w:val="000000"/>
                <w:kern w:val="0"/>
                <w:lang w:eastAsia="ro-MD"/>
                <w14:ligatures w14:val="none"/>
              </w:rPr>
              <w:t xml:space="preserve">regulament </w:t>
            </w:r>
            <w:r w:rsidRPr="00260C32">
              <w:rPr>
                <w:rFonts w:ascii="Times New Roman" w:eastAsia="Times New Roman" w:hAnsi="Times New Roman" w:cs="Times New Roman"/>
                <w:color w:val="000000"/>
                <w:kern w:val="0"/>
                <w:lang w:eastAsia="ro-MD"/>
                <w14:ligatures w14:val="none"/>
              </w:rPr>
              <w:t>ca „rezerve în sensul cadrului contabil aplicabil care fac obiectul obligațiilor de publicare în temeiul respectivului standard contabil aplicabil, cu excepția sumelor deja incluse în alte elemente cumulate ale rezultatului global sau în rezultatul reportat”.</w:t>
            </w:r>
          </w:p>
          <w:p w14:paraId="009C9F8E"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care trebuie raportat nu include nicio obligație fiscală previzibilă la momentul calculării.</w:t>
            </w:r>
          </w:p>
        </w:tc>
        <w:tc>
          <w:tcPr>
            <w:tcW w:w="452" w:type="pct"/>
          </w:tcPr>
          <w:p w14:paraId="653C39A8"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44B772CE" w14:textId="527CD113" w:rsidTr="001416DB">
        <w:trPr>
          <w:tblCellSpacing w:w="0" w:type="dxa"/>
        </w:trPr>
        <w:tc>
          <w:tcPr>
            <w:tcW w:w="260" w:type="pct"/>
            <w:hideMark/>
          </w:tcPr>
          <w:p w14:paraId="402A704B" w14:textId="77777777" w:rsidR="00D448C0" w:rsidRPr="001416DB"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1416DB">
              <w:rPr>
                <w:rFonts w:ascii="Times New Roman" w:eastAsia="Times New Roman" w:hAnsi="Times New Roman" w:cs="Times New Roman"/>
                <w:color w:val="000000"/>
                <w:kern w:val="0"/>
                <w:lang w:eastAsia="ro-MD"/>
                <w14:ligatures w14:val="none"/>
              </w:rPr>
              <w:t>0210</w:t>
            </w:r>
          </w:p>
        </w:tc>
        <w:tc>
          <w:tcPr>
            <w:tcW w:w="4288" w:type="pct"/>
            <w:hideMark/>
          </w:tcPr>
          <w:p w14:paraId="3722D3C9"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1.1.1.5. Fonduri pentru riscuri bancare generale</w:t>
            </w:r>
          </w:p>
          <w:p w14:paraId="5AB09E58" w14:textId="5C216782"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p>
        </w:tc>
        <w:tc>
          <w:tcPr>
            <w:tcW w:w="452" w:type="pct"/>
          </w:tcPr>
          <w:p w14:paraId="196DA716" w14:textId="759E5BB9" w:rsidR="00D448C0" w:rsidRPr="001416DB" w:rsidRDefault="00F659A0" w:rsidP="00B973D9">
            <w:pPr>
              <w:spacing w:after="0"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blocat</w:t>
            </w:r>
          </w:p>
        </w:tc>
      </w:tr>
      <w:tr w:rsidR="00D448C0" w:rsidRPr="00260C32" w14:paraId="0EF6EFE7" w14:textId="1EAFC106" w:rsidTr="00B8662B">
        <w:trPr>
          <w:tblCellSpacing w:w="0" w:type="dxa"/>
        </w:trPr>
        <w:tc>
          <w:tcPr>
            <w:tcW w:w="260" w:type="pct"/>
            <w:hideMark/>
          </w:tcPr>
          <w:p w14:paraId="4CBC24B3" w14:textId="77777777" w:rsidR="00D448C0" w:rsidRPr="00B8662B"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B8662B">
              <w:rPr>
                <w:rFonts w:ascii="Times New Roman" w:eastAsia="Times New Roman" w:hAnsi="Times New Roman" w:cs="Times New Roman"/>
                <w:color w:val="000000"/>
                <w:kern w:val="0"/>
                <w:lang w:eastAsia="ro-MD"/>
                <w14:ligatures w14:val="none"/>
              </w:rPr>
              <w:t>0220</w:t>
            </w:r>
          </w:p>
        </w:tc>
        <w:tc>
          <w:tcPr>
            <w:tcW w:w="4288" w:type="pct"/>
            <w:hideMark/>
          </w:tcPr>
          <w:p w14:paraId="68D8B507"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1.1.1.6. Ajustări tranzitorii datorate instrumentelor de fonduri proprii de nivel 1 de bază care își păstrează drepturile obținute</w:t>
            </w:r>
          </w:p>
          <w:p w14:paraId="5A948674" w14:textId="7996E83D" w:rsidR="00D448C0" w:rsidRPr="00B8662B" w:rsidRDefault="00D448C0" w:rsidP="00B973D9">
            <w:pPr>
              <w:spacing w:after="0" w:line="240" w:lineRule="auto"/>
              <w:rPr>
                <w:rFonts w:ascii="Times New Roman" w:eastAsia="Times New Roman" w:hAnsi="Times New Roman" w:cs="Times New Roman"/>
                <w:color w:val="000000"/>
                <w:kern w:val="0"/>
                <w:lang w:eastAsia="ro-MD"/>
                <w14:ligatures w14:val="none"/>
              </w:rPr>
            </w:pPr>
          </w:p>
        </w:tc>
        <w:tc>
          <w:tcPr>
            <w:tcW w:w="452" w:type="pct"/>
          </w:tcPr>
          <w:p w14:paraId="578CC856" w14:textId="0B52C827" w:rsidR="00D448C0" w:rsidRPr="00F659A0" w:rsidRDefault="00F659A0" w:rsidP="00B973D9">
            <w:pPr>
              <w:spacing w:after="0" w:line="240" w:lineRule="auto"/>
              <w:jc w:val="center"/>
              <w:rPr>
                <w:rFonts w:ascii="Times New Roman" w:eastAsia="Times New Roman" w:hAnsi="Times New Roman" w:cs="Times New Roman"/>
                <w:color w:val="000000"/>
                <w:kern w:val="0"/>
                <w:lang w:eastAsia="ro-MD"/>
                <w14:ligatures w14:val="none"/>
              </w:rPr>
            </w:pPr>
            <w:r w:rsidRPr="00F659A0">
              <w:rPr>
                <w:rFonts w:ascii="Times New Roman" w:eastAsia="Times New Roman" w:hAnsi="Times New Roman" w:cs="Times New Roman"/>
                <w:color w:val="000000"/>
                <w:kern w:val="0"/>
                <w:lang w:eastAsia="ro-MD"/>
                <w14:ligatures w14:val="none"/>
              </w:rPr>
              <w:t>blocat</w:t>
            </w:r>
          </w:p>
        </w:tc>
      </w:tr>
      <w:tr w:rsidR="00D448C0" w:rsidRPr="00260C32" w14:paraId="26EF8BFD" w14:textId="4EEE7E2E" w:rsidTr="00D448C0">
        <w:trPr>
          <w:tblCellSpacing w:w="0" w:type="dxa"/>
        </w:trPr>
        <w:tc>
          <w:tcPr>
            <w:tcW w:w="260" w:type="pct"/>
            <w:hideMark/>
          </w:tcPr>
          <w:p w14:paraId="325E29A4"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0230</w:t>
            </w:r>
          </w:p>
        </w:tc>
        <w:tc>
          <w:tcPr>
            <w:tcW w:w="4288" w:type="pct"/>
            <w:hideMark/>
          </w:tcPr>
          <w:p w14:paraId="61703F4F"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1.1.1.7. Interese minoritare recunoscute în fondurile proprii de nivel 1 de bază</w:t>
            </w:r>
          </w:p>
          <w:p w14:paraId="008FC7C5" w14:textId="12F6FFBF"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27D1E">
              <w:rPr>
                <w:rFonts w:ascii="Times New Roman" w:hAnsi="Times New Roman" w:cs="Times New Roman"/>
              </w:rPr>
              <w:t xml:space="preserve">Punctul </w:t>
            </w:r>
            <w:r>
              <w:rPr>
                <w:rFonts w:ascii="Times New Roman" w:hAnsi="Times New Roman" w:cs="Times New Roman"/>
              </w:rPr>
              <w:t xml:space="preserve">4, punctul </w:t>
            </w:r>
            <w:r w:rsidRPr="00727D1E">
              <w:rPr>
                <w:rFonts w:ascii="Times New Roman" w:hAnsi="Times New Roman" w:cs="Times New Roman"/>
              </w:rPr>
              <w:t>129</w:t>
            </w:r>
            <w:r w:rsidRPr="00727D1E">
              <w:rPr>
                <w:rFonts w:ascii="Times New Roman" w:hAnsi="Times New Roman" w:cs="Times New Roman"/>
                <w:vertAlign w:val="superscript"/>
              </w:rPr>
              <w:t>4</w:t>
            </w:r>
            <w:r>
              <w:rPr>
                <w:rFonts w:ascii="Times New Roman" w:hAnsi="Times New Roman" w:cs="Times New Roman"/>
              </w:rPr>
              <w:t>,</w:t>
            </w:r>
            <w:r w:rsidRPr="00727D1E">
              <w:rPr>
                <w:rFonts w:ascii="Times New Roman" w:hAnsi="Times New Roman" w:cs="Times New Roman"/>
              </w:rPr>
              <w:t xml:space="preserve"> </w:t>
            </w:r>
            <w:r>
              <w:rPr>
                <w:rFonts w:ascii="Times New Roman" w:hAnsi="Times New Roman" w:cs="Times New Roman"/>
              </w:rPr>
              <w:t xml:space="preserve">punctul </w:t>
            </w:r>
            <w:r w:rsidRPr="00727D1E">
              <w:rPr>
                <w:rFonts w:ascii="Times New Roman" w:hAnsi="Times New Roman" w:cs="Times New Roman"/>
              </w:rPr>
              <w:t>129</w:t>
            </w:r>
            <w:r w:rsidRPr="00767073">
              <w:rPr>
                <w:rFonts w:ascii="Times New Roman" w:hAnsi="Times New Roman" w:cs="Times New Roman"/>
                <w:vertAlign w:val="superscript"/>
              </w:rPr>
              <w:t>5</w:t>
            </w:r>
            <w:r>
              <w:rPr>
                <w:rFonts w:ascii="Times New Roman" w:hAnsi="Times New Roman" w:cs="Times New Roman"/>
              </w:rPr>
              <w:t xml:space="preserve"> și punctul </w:t>
            </w:r>
            <w:r w:rsidRPr="00727D1E">
              <w:rPr>
                <w:rFonts w:ascii="Times New Roman" w:hAnsi="Times New Roman" w:cs="Times New Roman"/>
              </w:rPr>
              <w:t>129</w:t>
            </w:r>
            <w:r w:rsidRPr="00767073">
              <w:rPr>
                <w:rFonts w:ascii="Times New Roman" w:hAnsi="Times New Roman" w:cs="Times New Roman"/>
                <w:vertAlign w:val="superscript"/>
              </w:rPr>
              <w:t>15</w:t>
            </w:r>
            <w:r>
              <w:rPr>
                <w:rFonts w:ascii="Times New Roman" w:hAnsi="Times New Roman" w:cs="Times New Roman"/>
              </w:rPr>
              <w:t xml:space="preserve"> </w:t>
            </w:r>
            <w:r w:rsidRPr="00727D1E">
              <w:rPr>
                <w:rFonts w:ascii="Times New Roman" w:hAnsi="Times New Roman" w:cs="Times New Roman"/>
              </w:rPr>
              <w:t xml:space="preserve">din </w:t>
            </w:r>
            <w:r>
              <w:rPr>
                <w:rFonts w:ascii="Times New Roman" w:hAnsi="Times New Roman" w:cs="Times New Roman"/>
              </w:rPr>
              <w:t>Regulamentul nr.109/2018</w:t>
            </w:r>
            <w:r w:rsidRPr="00727D1E">
              <w:rPr>
                <w:rFonts w:ascii="Times New Roman" w:hAnsi="Times New Roman" w:cs="Times New Roman"/>
              </w:rPr>
              <w:t>.</w:t>
            </w:r>
            <w:r>
              <w:rPr>
                <w:rFonts w:ascii="Arial" w:hAnsi="Arial" w:cs="Arial"/>
              </w:rPr>
              <w:br/>
            </w:r>
            <w:r w:rsidRPr="00260C32">
              <w:rPr>
                <w:rFonts w:ascii="Times New Roman" w:eastAsia="Times New Roman" w:hAnsi="Times New Roman" w:cs="Times New Roman"/>
                <w:color w:val="000000"/>
                <w:kern w:val="0"/>
                <w:lang w:eastAsia="ro-MD"/>
                <w14:ligatures w14:val="none"/>
              </w:rPr>
              <w:t>Suma tuturor cuantumurilor intereselor minoritare ale filialelor care este inclusă în fondurile proprii de nivel 1 de bază consolidate.</w:t>
            </w:r>
          </w:p>
        </w:tc>
        <w:tc>
          <w:tcPr>
            <w:tcW w:w="452" w:type="pct"/>
          </w:tcPr>
          <w:p w14:paraId="2E6B9CFA" w14:textId="77777777" w:rsidR="00D448C0" w:rsidRPr="00F659A0"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4448476A" w14:textId="7171FCBB" w:rsidTr="00D448C0">
        <w:trPr>
          <w:tblCellSpacing w:w="0" w:type="dxa"/>
        </w:trPr>
        <w:tc>
          <w:tcPr>
            <w:tcW w:w="260" w:type="pct"/>
            <w:hideMark/>
          </w:tcPr>
          <w:p w14:paraId="4EDA1DF6"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0240</w:t>
            </w:r>
          </w:p>
        </w:tc>
        <w:tc>
          <w:tcPr>
            <w:tcW w:w="4288" w:type="pct"/>
            <w:hideMark/>
          </w:tcPr>
          <w:p w14:paraId="20BC3C6D"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1.1.1.8. Ajustări tranzitorii datorate intereselor minoritare suplimentare</w:t>
            </w:r>
          </w:p>
          <w:p w14:paraId="34B2A3F2" w14:textId="3231A192"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c>
          <w:tcPr>
            <w:tcW w:w="452" w:type="pct"/>
          </w:tcPr>
          <w:p w14:paraId="3CF990F0" w14:textId="679C0198" w:rsidR="00D448C0" w:rsidRPr="00F659A0" w:rsidRDefault="00F659A0" w:rsidP="00B973D9">
            <w:pPr>
              <w:spacing w:after="0" w:line="240" w:lineRule="auto"/>
              <w:jc w:val="center"/>
              <w:rPr>
                <w:rFonts w:ascii="Times New Roman" w:eastAsia="Times New Roman" w:hAnsi="Times New Roman" w:cs="Times New Roman"/>
                <w:color w:val="000000"/>
                <w:kern w:val="0"/>
                <w:lang w:eastAsia="ro-MD"/>
                <w14:ligatures w14:val="none"/>
              </w:rPr>
            </w:pPr>
            <w:r w:rsidRPr="00F659A0">
              <w:rPr>
                <w:rFonts w:ascii="Times New Roman" w:eastAsia="Times New Roman" w:hAnsi="Times New Roman" w:cs="Times New Roman"/>
                <w:color w:val="000000"/>
                <w:kern w:val="0"/>
                <w:lang w:eastAsia="ro-MD"/>
                <w14:ligatures w14:val="none"/>
              </w:rPr>
              <w:t>blocat</w:t>
            </w:r>
          </w:p>
        </w:tc>
      </w:tr>
      <w:tr w:rsidR="00D448C0" w:rsidRPr="00260C32" w14:paraId="6E456795" w14:textId="4D3A1C88" w:rsidTr="00D448C0">
        <w:trPr>
          <w:tblCellSpacing w:w="0" w:type="dxa"/>
        </w:trPr>
        <w:tc>
          <w:tcPr>
            <w:tcW w:w="260" w:type="pct"/>
            <w:hideMark/>
          </w:tcPr>
          <w:p w14:paraId="23E898CF"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0250</w:t>
            </w:r>
          </w:p>
        </w:tc>
        <w:tc>
          <w:tcPr>
            <w:tcW w:w="4288" w:type="pct"/>
            <w:hideMark/>
          </w:tcPr>
          <w:p w14:paraId="2D3AF4DF" w14:textId="77777777" w:rsidR="00D448C0" w:rsidRPr="00212C16" w:rsidRDefault="00D448C0" w:rsidP="00B973D9">
            <w:pPr>
              <w:spacing w:after="0" w:line="240" w:lineRule="auto"/>
              <w:rPr>
                <w:rFonts w:ascii="Times New Roman" w:hAnsi="Times New Roman" w:cs="Times New Roman"/>
                <w:b/>
                <w:bCs/>
              </w:rPr>
            </w:pPr>
            <w:r w:rsidRPr="00212C16">
              <w:rPr>
                <w:rFonts w:ascii="Times New Roman" w:hAnsi="Times New Roman" w:cs="Times New Roman"/>
                <w:b/>
                <w:bCs/>
              </w:rPr>
              <w:t>1.1.1.9. Ajustări ale fondurilor proprii de nivel 1 de bază datorate filtrelor prudențiale</w:t>
            </w:r>
          </w:p>
          <w:p w14:paraId="49D0E747" w14:textId="2E9691E4" w:rsidR="00D448C0" w:rsidRPr="00727D1E" w:rsidRDefault="00D448C0" w:rsidP="00B973D9">
            <w:pPr>
              <w:spacing w:after="0" w:line="240" w:lineRule="auto"/>
              <w:rPr>
                <w:rFonts w:ascii="Times New Roman" w:hAnsi="Times New Roman" w:cs="Times New Roman"/>
              </w:rPr>
            </w:pPr>
            <w:r w:rsidRPr="00727D1E">
              <w:rPr>
                <w:rFonts w:ascii="Times New Roman" w:hAnsi="Times New Roman" w:cs="Times New Roman"/>
              </w:rPr>
              <w:t>Punctele 2</w:t>
            </w:r>
            <w:r>
              <w:rPr>
                <w:rFonts w:ascii="Times New Roman" w:hAnsi="Times New Roman" w:cs="Times New Roman"/>
              </w:rPr>
              <w:t>5</w:t>
            </w:r>
            <w:r w:rsidRPr="00767073">
              <w:rPr>
                <w:rFonts w:ascii="Times New Roman" w:hAnsi="Times New Roman" w:cs="Times New Roman"/>
                <w:vertAlign w:val="superscript"/>
              </w:rPr>
              <w:t>1</w:t>
            </w:r>
            <w:r w:rsidRPr="00727D1E">
              <w:rPr>
                <w:rFonts w:ascii="Times New Roman" w:hAnsi="Times New Roman" w:cs="Times New Roman"/>
              </w:rPr>
              <w:t xml:space="preserve">-29 din </w:t>
            </w:r>
            <w:r>
              <w:rPr>
                <w:rFonts w:ascii="Times New Roman" w:hAnsi="Times New Roman" w:cs="Times New Roman"/>
              </w:rPr>
              <w:t>Regulamentul nr.109/2018</w:t>
            </w:r>
            <w:r w:rsidRPr="00727D1E">
              <w:rPr>
                <w:rFonts w:ascii="Times New Roman" w:hAnsi="Times New Roman" w:cs="Times New Roman"/>
              </w:rPr>
              <w:t>.</w:t>
            </w:r>
          </w:p>
        </w:tc>
        <w:tc>
          <w:tcPr>
            <w:tcW w:w="452" w:type="pct"/>
          </w:tcPr>
          <w:p w14:paraId="496562F9" w14:textId="77777777" w:rsidR="00D448C0" w:rsidRPr="00727D1E" w:rsidRDefault="00D448C0" w:rsidP="00B973D9">
            <w:pPr>
              <w:spacing w:after="0" w:line="240" w:lineRule="auto"/>
              <w:rPr>
                <w:rFonts w:ascii="Times New Roman" w:hAnsi="Times New Roman" w:cs="Times New Roman"/>
              </w:rPr>
            </w:pPr>
          </w:p>
        </w:tc>
      </w:tr>
      <w:tr w:rsidR="00D448C0" w:rsidRPr="00260C32" w14:paraId="11F1AE1C" w14:textId="5192D4EE" w:rsidTr="00D448C0">
        <w:trPr>
          <w:tblCellSpacing w:w="0" w:type="dxa"/>
        </w:trPr>
        <w:tc>
          <w:tcPr>
            <w:tcW w:w="260" w:type="pct"/>
            <w:hideMark/>
          </w:tcPr>
          <w:p w14:paraId="77A3A255"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0260</w:t>
            </w:r>
          </w:p>
        </w:tc>
        <w:tc>
          <w:tcPr>
            <w:tcW w:w="4288" w:type="pct"/>
            <w:hideMark/>
          </w:tcPr>
          <w:p w14:paraId="5B978399"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1.1.1.9.1. (-) Creșteri ale capitalurilor proprii care rezultă din active securitizate</w:t>
            </w:r>
          </w:p>
          <w:p w14:paraId="0AB99F40" w14:textId="6FEE1903" w:rsidR="00D448C0" w:rsidRPr="00727D1E" w:rsidRDefault="00D448C0" w:rsidP="00B973D9">
            <w:pPr>
              <w:spacing w:after="0" w:line="240" w:lineRule="auto"/>
              <w:rPr>
                <w:rFonts w:ascii="Times New Roman" w:hAnsi="Times New Roman" w:cs="Times New Roman"/>
              </w:rPr>
            </w:pPr>
            <w:r w:rsidRPr="00727D1E">
              <w:rPr>
                <w:rFonts w:ascii="Times New Roman" w:hAnsi="Times New Roman" w:cs="Times New Roman"/>
              </w:rPr>
              <w:t>Punct</w:t>
            </w:r>
            <w:r>
              <w:rPr>
                <w:rFonts w:ascii="Times New Roman" w:hAnsi="Times New Roman" w:cs="Times New Roman"/>
              </w:rPr>
              <w:t>u</w:t>
            </w:r>
            <w:r w:rsidRPr="00727D1E">
              <w:rPr>
                <w:rFonts w:ascii="Times New Roman" w:hAnsi="Times New Roman" w:cs="Times New Roman"/>
              </w:rPr>
              <w:t>l 2</w:t>
            </w:r>
            <w:r>
              <w:rPr>
                <w:rFonts w:ascii="Times New Roman" w:hAnsi="Times New Roman" w:cs="Times New Roman"/>
              </w:rPr>
              <w:t>5</w:t>
            </w:r>
            <w:r w:rsidRPr="0019354E">
              <w:rPr>
                <w:rFonts w:ascii="Times New Roman" w:hAnsi="Times New Roman" w:cs="Times New Roman"/>
                <w:vertAlign w:val="superscript"/>
              </w:rPr>
              <w:t>1</w:t>
            </w:r>
            <w:r w:rsidRPr="00727D1E">
              <w:rPr>
                <w:rFonts w:ascii="Times New Roman" w:hAnsi="Times New Roman" w:cs="Times New Roman"/>
              </w:rPr>
              <w:t xml:space="preserve"> din </w:t>
            </w:r>
            <w:r>
              <w:rPr>
                <w:rFonts w:ascii="Times New Roman" w:hAnsi="Times New Roman" w:cs="Times New Roman"/>
              </w:rPr>
              <w:t>Regulamentul nr.109/2018</w:t>
            </w:r>
            <w:r w:rsidRPr="00727D1E">
              <w:rPr>
                <w:rFonts w:ascii="Times New Roman" w:hAnsi="Times New Roman" w:cs="Times New Roman"/>
              </w:rPr>
              <w:t>.</w:t>
            </w:r>
          </w:p>
          <w:p w14:paraId="4C8F01A9" w14:textId="686D82E2" w:rsidR="00D448C0" w:rsidRPr="00767073"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67073">
              <w:rPr>
                <w:rFonts w:ascii="Times New Roman" w:eastAsia="Times New Roman" w:hAnsi="Times New Roman" w:cs="Times New Roman"/>
                <w:color w:val="000000"/>
                <w:kern w:val="0"/>
                <w:lang w:eastAsia="ro-MD"/>
                <w14:ligatures w14:val="none"/>
              </w:rPr>
              <w:t>Cuantumul de raportat este valoarea creșterii capitalurilor proprii ale băncii care rezultă din activele securitizate, în conformitate cu standardul contabil aplicabil.</w:t>
            </w:r>
          </w:p>
          <w:p w14:paraId="253F8C2F" w14:textId="6050A37E"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67073">
              <w:rPr>
                <w:rFonts w:ascii="Times New Roman" w:eastAsia="Times New Roman" w:hAnsi="Times New Roman" w:cs="Times New Roman"/>
                <w:color w:val="000000"/>
                <w:kern w:val="0"/>
                <w:lang w:eastAsia="ro-MD"/>
                <w14:ligatures w14:val="none"/>
              </w:rPr>
              <w:t>De exemplu, acest element include venitul viitor din expuneri (</w:t>
            </w:r>
            <w:proofErr w:type="spellStart"/>
            <w:r w:rsidRPr="00767073">
              <w:rPr>
                <w:rFonts w:ascii="Times New Roman" w:eastAsia="Times New Roman" w:hAnsi="Times New Roman" w:cs="Times New Roman"/>
                <w:color w:val="000000"/>
                <w:kern w:val="0"/>
                <w:lang w:eastAsia="ro-MD"/>
                <w14:ligatures w14:val="none"/>
              </w:rPr>
              <w:t>future</w:t>
            </w:r>
            <w:proofErr w:type="spellEnd"/>
            <w:r w:rsidRPr="00767073">
              <w:rPr>
                <w:rFonts w:ascii="Times New Roman" w:eastAsia="Times New Roman" w:hAnsi="Times New Roman" w:cs="Times New Roman"/>
                <w:color w:val="000000"/>
                <w:kern w:val="0"/>
                <w:lang w:eastAsia="ro-MD"/>
                <w14:ligatures w14:val="none"/>
              </w:rPr>
              <w:t xml:space="preserve"> </w:t>
            </w:r>
            <w:proofErr w:type="spellStart"/>
            <w:r w:rsidRPr="00767073">
              <w:rPr>
                <w:rFonts w:ascii="Times New Roman" w:eastAsia="Times New Roman" w:hAnsi="Times New Roman" w:cs="Times New Roman"/>
                <w:color w:val="000000"/>
                <w:kern w:val="0"/>
                <w:lang w:eastAsia="ro-MD"/>
                <w14:ligatures w14:val="none"/>
              </w:rPr>
              <w:t>margin</w:t>
            </w:r>
            <w:proofErr w:type="spellEnd"/>
            <w:r w:rsidRPr="00767073">
              <w:rPr>
                <w:rFonts w:ascii="Times New Roman" w:eastAsia="Times New Roman" w:hAnsi="Times New Roman" w:cs="Times New Roman"/>
                <w:color w:val="000000"/>
                <w:kern w:val="0"/>
                <w:lang w:eastAsia="ro-MD"/>
                <w14:ligatures w14:val="none"/>
              </w:rPr>
              <w:t xml:space="preserve"> </w:t>
            </w:r>
            <w:proofErr w:type="spellStart"/>
            <w:r w:rsidRPr="00767073">
              <w:rPr>
                <w:rFonts w:ascii="Times New Roman" w:eastAsia="Times New Roman" w:hAnsi="Times New Roman" w:cs="Times New Roman"/>
                <w:color w:val="000000"/>
                <w:kern w:val="0"/>
                <w:lang w:eastAsia="ro-MD"/>
                <w14:ligatures w14:val="none"/>
              </w:rPr>
              <w:t>income</w:t>
            </w:r>
            <w:proofErr w:type="spellEnd"/>
            <w:r w:rsidRPr="00767073">
              <w:rPr>
                <w:rFonts w:ascii="Times New Roman" w:eastAsia="Times New Roman" w:hAnsi="Times New Roman" w:cs="Times New Roman"/>
                <w:color w:val="000000"/>
                <w:kern w:val="0"/>
                <w:lang w:eastAsia="ro-MD"/>
                <w14:ligatures w14:val="none"/>
              </w:rPr>
              <w:t>) care duce la un câștig rezultat din vânzare pentru bancă sau, pentru inițiatori, câștigurile nete care rezultă din capitalizarea veniturilor viitoare din activele securitizate care asigură o îmbunătățire a calității creditului pentru pozițiile din securitizare.</w:t>
            </w:r>
          </w:p>
        </w:tc>
        <w:tc>
          <w:tcPr>
            <w:tcW w:w="452" w:type="pct"/>
          </w:tcPr>
          <w:p w14:paraId="40656F68" w14:textId="26F831CE" w:rsidR="00D448C0" w:rsidRDefault="00D448C0" w:rsidP="00B973D9">
            <w:pPr>
              <w:spacing w:after="0" w:line="240" w:lineRule="auto"/>
              <w:jc w:val="center"/>
              <w:rPr>
                <w:rFonts w:ascii="Times New Roman" w:eastAsia="Times New Roman" w:hAnsi="Times New Roman" w:cs="Times New Roman"/>
                <w:color w:val="000000"/>
                <w:kern w:val="0"/>
                <w:lang w:eastAsia="ro-MD"/>
                <w14:ligatures w14:val="none"/>
              </w:rPr>
            </w:pPr>
          </w:p>
          <w:p w14:paraId="08FF8C93" w14:textId="4242EE76" w:rsidR="00EA08C8" w:rsidRPr="00260C32" w:rsidRDefault="00EA08C8" w:rsidP="00B973D9">
            <w:pPr>
              <w:spacing w:after="0" w:line="240" w:lineRule="auto"/>
              <w:jc w:val="center"/>
              <w:rPr>
                <w:rFonts w:ascii="Times New Roman" w:eastAsia="Times New Roman" w:hAnsi="Times New Roman" w:cs="Times New Roman"/>
                <w:color w:val="000000"/>
                <w:kern w:val="0"/>
                <w:lang w:eastAsia="ro-MD"/>
                <w14:ligatures w14:val="none"/>
              </w:rPr>
            </w:pPr>
          </w:p>
        </w:tc>
      </w:tr>
      <w:tr w:rsidR="00D448C0" w:rsidRPr="00260C32" w14:paraId="63FF38BB" w14:textId="4EC09C46" w:rsidTr="00D448C0">
        <w:trPr>
          <w:tblCellSpacing w:w="0" w:type="dxa"/>
        </w:trPr>
        <w:tc>
          <w:tcPr>
            <w:tcW w:w="260" w:type="pct"/>
            <w:hideMark/>
          </w:tcPr>
          <w:p w14:paraId="7FB12323"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0270</w:t>
            </w:r>
          </w:p>
        </w:tc>
        <w:tc>
          <w:tcPr>
            <w:tcW w:w="4288" w:type="pct"/>
            <w:hideMark/>
          </w:tcPr>
          <w:p w14:paraId="499DF40B"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1.1.1.9.2. Rezerva din operațiuni de acoperire a fluxurilor de numerar</w:t>
            </w:r>
          </w:p>
          <w:p w14:paraId="0DE389DD" w14:textId="343D59D5"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27D1E">
              <w:rPr>
                <w:rFonts w:ascii="Times New Roman" w:hAnsi="Times New Roman" w:cs="Times New Roman"/>
              </w:rPr>
              <w:t xml:space="preserve">Punctul 26 subpunctul 1) din </w:t>
            </w:r>
            <w:r>
              <w:rPr>
                <w:rFonts w:ascii="Times New Roman" w:hAnsi="Times New Roman" w:cs="Times New Roman"/>
              </w:rPr>
              <w:t>Regulamentul nr.109/2018</w:t>
            </w:r>
            <w:r w:rsidRPr="00727D1E">
              <w:rPr>
                <w:rFonts w:ascii="Times New Roman" w:hAnsi="Times New Roman" w:cs="Times New Roman"/>
              </w:rPr>
              <w:t>.</w:t>
            </w:r>
            <w:r>
              <w:rPr>
                <w:rFonts w:ascii="Arial" w:hAnsi="Arial" w:cs="Arial"/>
              </w:rPr>
              <w:br/>
            </w:r>
            <w:r w:rsidRPr="00260C32">
              <w:rPr>
                <w:rFonts w:ascii="Times New Roman" w:eastAsia="Times New Roman" w:hAnsi="Times New Roman" w:cs="Times New Roman"/>
                <w:color w:val="000000"/>
                <w:kern w:val="0"/>
                <w:lang w:eastAsia="ro-MD"/>
                <w14:ligatures w14:val="none"/>
              </w:rPr>
              <w:t xml:space="preserve">Cuantumul care trebuie raportat poate fi pozitiv sau negativ. Acesta este pozitiv în cazul în care acoperirile fluxurilor de numerar au drept rezultat o pierdere (și anume în cazul în care acestea reduc nivelul capitalurilor proprii contabilizate) și viceversa. Astfel, semnul trebuie să fie </w:t>
            </w:r>
            <w:r>
              <w:rPr>
                <w:rFonts w:ascii="Times New Roman" w:eastAsia="Times New Roman" w:hAnsi="Times New Roman" w:cs="Times New Roman"/>
                <w:color w:val="000000"/>
                <w:kern w:val="0"/>
                <w:lang w:eastAsia="ro-MD"/>
                <w14:ligatures w14:val="none"/>
              </w:rPr>
              <w:t>opus</w:t>
            </w:r>
            <w:r w:rsidRPr="00260C32">
              <w:rPr>
                <w:rFonts w:ascii="Times New Roman" w:eastAsia="Times New Roman" w:hAnsi="Times New Roman" w:cs="Times New Roman"/>
                <w:color w:val="000000"/>
                <w:kern w:val="0"/>
                <w:lang w:eastAsia="ro-MD"/>
                <w14:ligatures w14:val="none"/>
              </w:rPr>
              <w:t xml:space="preserve"> celui utilizat în </w:t>
            </w:r>
            <w:r>
              <w:rPr>
                <w:rFonts w:ascii="Times New Roman" w:eastAsia="Times New Roman" w:hAnsi="Times New Roman" w:cs="Times New Roman"/>
                <w:color w:val="000000"/>
                <w:kern w:val="0"/>
                <w:lang w:eastAsia="ro-MD"/>
                <w14:ligatures w14:val="none"/>
              </w:rPr>
              <w:t>situațiile</w:t>
            </w:r>
            <w:r w:rsidRPr="00260C32">
              <w:rPr>
                <w:rFonts w:ascii="Times New Roman" w:eastAsia="Times New Roman" w:hAnsi="Times New Roman" w:cs="Times New Roman"/>
                <w:color w:val="000000"/>
                <w:kern w:val="0"/>
                <w:lang w:eastAsia="ro-MD"/>
                <w14:ligatures w14:val="none"/>
              </w:rPr>
              <w:t xml:space="preserve"> contabile.</w:t>
            </w:r>
          </w:p>
          <w:p w14:paraId="6D2C9FE6"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nu include nicio obligație fiscală previzibilă la momentul calculării.</w:t>
            </w:r>
          </w:p>
        </w:tc>
        <w:tc>
          <w:tcPr>
            <w:tcW w:w="452" w:type="pct"/>
          </w:tcPr>
          <w:p w14:paraId="4E37FE19"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73172105" w14:textId="551BE8A9" w:rsidTr="00D448C0">
        <w:trPr>
          <w:tblCellSpacing w:w="0" w:type="dxa"/>
        </w:trPr>
        <w:tc>
          <w:tcPr>
            <w:tcW w:w="260" w:type="pct"/>
            <w:hideMark/>
          </w:tcPr>
          <w:p w14:paraId="513059A4"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0280</w:t>
            </w:r>
          </w:p>
        </w:tc>
        <w:tc>
          <w:tcPr>
            <w:tcW w:w="4288" w:type="pct"/>
            <w:hideMark/>
          </w:tcPr>
          <w:p w14:paraId="46EBBE25"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1.1.1.9.3. Câștiguri și pierderi cumulate datorate unor modificări ale propriului risc de credit pentru datoriile evaluate la valoarea justă</w:t>
            </w:r>
          </w:p>
          <w:p w14:paraId="3602AAA7" w14:textId="77777777" w:rsidR="00D238C5" w:rsidRDefault="00D448C0" w:rsidP="00B973D9">
            <w:pPr>
              <w:spacing w:after="0" w:line="240" w:lineRule="auto"/>
              <w:rPr>
                <w:rFonts w:ascii="Times New Roman" w:hAnsi="Times New Roman" w:cs="Times New Roman"/>
              </w:rPr>
            </w:pPr>
            <w:r w:rsidRPr="00653298">
              <w:rPr>
                <w:rFonts w:ascii="Times New Roman" w:hAnsi="Times New Roman" w:cs="Times New Roman"/>
              </w:rPr>
              <w:lastRenderedPageBreak/>
              <w:t xml:space="preserve">Punctul 26 subpunctul </w:t>
            </w:r>
            <w:r>
              <w:rPr>
                <w:rFonts w:ascii="Times New Roman" w:hAnsi="Times New Roman" w:cs="Times New Roman"/>
              </w:rPr>
              <w:t>2</w:t>
            </w:r>
            <w:r w:rsidRPr="00653298">
              <w:rPr>
                <w:rFonts w:ascii="Times New Roman" w:hAnsi="Times New Roman" w:cs="Times New Roman"/>
              </w:rPr>
              <w:t xml:space="preserve">) din </w:t>
            </w:r>
            <w:r>
              <w:rPr>
                <w:rFonts w:ascii="Times New Roman" w:hAnsi="Times New Roman" w:cs="Times New Roman"/>
              </w:rPr>
              <w:t>Regulamentul nr.109/2018</w:t>
            </w:r>
            <w:r w:rsidRPr="00653298">
              <w:rPr>
                <w:rFonts w:ascii="Times New Roman" w:hAnsi="Times New Roman" w:cs="Times New Roman"/>
              </w:rPr>
              <w:t>.</w:t>
            </w:r>
          </w:p>
          <w:p w14:paraId="2AA09E1F" w14:textId="062AE0E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Cuantumul care trebuie raportat poate fi pozitiv sau negativ. Acesta este pozitiv dacă există o pierdere ca urmare a unor modificări ale propriului risc de credit (și anume în cazul în care se reduce nivelul capitalurilor proprii contabilizate) și viceversa. Astfel, semnul trebuie să fie </w:t>
            </w:r>
            <w:r>
              <w:rPr>
                <w:rFonts w:ascii="Times New Roman" w:eastAsia="Times New Roman" w:hAnsi="Times New Roman" w:cs="Times New Roman"/>
                <w:color w:val="000000"/>
                <w:kern w:val="0"/>
                <w:lang w:eastAsia="ro-MD"/>
                <w14:ligatures w14:val="none"/>
              </w:rPr>
              <w:t>opus</w:t>
            </w:r>
            <w:r w:rsidRPr="00260C32">
              <w:rPr>
                <w:rFonts w:ascii="Times New Roman" w:eastAsia="Times New Roman" w:hAnsi="Times New Roman" w:cs="Times New Roman"/>
                <w:color w:val="000000"/>
                <w:kern w:val="0"/>
                <w:lang w:eastAsia="ro-MD"/>
                <w14:ligatures w14:val="none"/>
              </w:rPr>
              <w:t xml:space="preserve"> celui utilizat în </w:t>
            </w:r>
            <w:r>
              <w:rPr>
                <w:rFonts w:ascii="Times New Roman" w:eastAsia="Times New Roman" w:hAnsi="Times New Roman" w:cs="Times New Roman"/>
                <w:color w:val="000000"/>
                <w:kern w:val="0"/>
                <w:lang w:eastAsia="ro-MD"/>
                <w14:ligatures w14:val="none"/>
              </w:rPr>
              <w:t>situațiile</w:t>
            </w:r>
            <w:r w:rsidRPr="00260C32">
              <w:rPr>
                <w:rFonts w:ascii="Times New Roman" w:eastAsia="Times New Roman" w:hAnsi="Times New Roman" w:cs="Times New Roman"/>
                <w:color w:val="000000"/>
                <w:kern w:val="0"/>
                <w:lang w:eastAsia="ro-MD"/>
                <w14:ligatures w14:val="none"/>
              </w:rPr>
              <w:t xml:space="preserve"> contabile.</w:t>
            </w:r>
          </w:p>
          <w:p w14:paraId="6EDEC421"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Profitul care nu a făcut obiectul unui audit nu este inclus la acest punct.</w:t>
            </w:r>
          </w:p>
        </w:tc>
        <w:tc>
          <w:tcPr>
            <w:tcW w:w="452" w:type="pct"/>
          </w:tcPr>
          <w:p w14:paraId="2AB98498"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066B056E" w14:textId="2A2095F5" w:rsidTr="00D448C0">
        <w:trPr>
          <w:tblCellSpacing w:w="0" w:type="dxa"/>
        </w:trPr>
        <w:tc>
          <w:tcPr>
            <w:tcW w:w="260" w:type="pct"/>
            <w:hideMark/>
          </w:tcPr>
          <w:p w14:paraId="595AA08B"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0285</w:t>
            </w:r>
          </w:p>
        </w:tc>
        <w:tc>
          <w:tcPr>
            <w:tcW w:w="4288" w:type="pct"/>
            <w:hideMark/>
          </w:tcPr>
          <w:p w14:paraId="04CDEBB6" w14:textId="2EBAF145"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1.1.1.9.4. Câștigurile și pierderile la valoarea justă care rezultă din propriul risc de credit al b</w:t>
            </w:r>
            <w:r w:rsidRPr="00212C16">
              <w:rPr>
                <w:rFonts w:ascii="Times New Roman" w:eastAsia="Times New Roman" w:hAnsi="Times New Roman" w:cs="Times New Roman"/>
                <w:b/>
                <w:bCs/>
                <w:color w:val="000000"/>
                <w:kern w:val="0"/>
                <w:lang w:val="ro-RO" w:eastAsia="ro-MD"/>
                <w14:ligatures w14:val="none"/>
              </w:rPr>
              <w:t>ă</w:t>
            </w:r>
            <w:proofErr w:type="spellStart"/>
            <w:r w:rsidRPr="00212C16">
              <w:rPr>
                <w:rFonts w:ascii="Times New Roman" w:eastAsia="Times New Roman" w:hAnsi="Times New Roman" w:cs="Times New Roman"/>
                <w:b/>
                <w:bCs/>
                <w:color w:val="000000"/>
                <w:kern w:val="0"/>
                <w:lang w:eastAsia="ro-MD"/>
                <w14:ligatures w14:val="none"/>
              </w:rPr>
              <w:t>ncii</w:t>
            </w:r>
            <w:proofErr w:type="spellEnd"/>
            <w:r w:rsidRPr="00212C16">
              <w:rPr>
                <w:rFonts w:ascii="Times New Roman" w:eastAsia="Times New Roman" w:hAnsi="Times New Roman" w:cs="Times New Roman"/>
                <w:b/>
                <w:bCs/>
                <w:color w:val="000000"/>
                <w:kern w:val="0"/>
                <w:lang w:eastAsia="ro-MD"/>
                <w14:ligatures w14:val="none"/>
              </w:rPr>
              <w:t xml:space="preserve"> în legătură cu datoriile aferente instrumentelor derivate</w:t>
            </w:r>
          </w:p>
          <w:p w14:paraId="02F41226" w14:textId="77777777" w:rsidR="00D238C5" w:rsidRDefault="00D448C0" w:rsidP="00B973D9">
            <w:pPr>
              <w:spacing w:after="0" w:line="240" w:lineRule="auto"/>
              <w:rPr>
                <w:rFonts w:ascii="Arial" w:hAnsi="Arial" w:cs="Arial"/>
              </w:rPr>
            </w:pPr>
            <w:r w:rsidRPr="00025201">
              <w:rPr>
                <w:rFonts w:ascii="Times New Roman" w:hAnsi="Times New Roman" w:cs="Times New Roman"/>
              </w:rPr>
              <w:t>Punctul 2</w:t>
            </w:r>
            <w:r>
              <w:rPr>
                <w:rFonts w:ascii="Times New Roman" w:hAnsi="Times New Roman" w:cs="Times New Roman"/>
              </w:rPr>
              <w:t>6</w:t>
            </w:r>
            <w:r w:rsidRPr="00025201">
              <w:rPr>
                <w:rFonts w:ascii="Times New Roman" w:hAnsi="Times New Roman" w:cs="Times New Roman"/>
              </w:rPr>
              <w:t xml:space="preserve"> subpunctul 3) </w:t>
            </w:r>
            <w:proofErr w:type="spellStart"/>
            <w:r w:rsidRPr="00025201">
              <w:rPr>
                <w:rFonts w:ascii="Times New Roman" w:hAnsi="Times New Roman" w:cs="Times New Roman"/>
              </w:rPr>
              <w:t>şi</w:t>
            </w:r>
            <w:proofErr w:type="spellEnd"/>
            <w:r w:rsidRPr="00025201">
              <w:rPr>
                <w:rFonts w:ascii="Times New Roman" w:hAnsi="Times New Roman" w:cs="Times New Roman"/>
              </w:rPr>
              <w:t xml:space="preserve"> punctul 2</w:t>
            </w:r>
            <w:r>
              <w:rPr>
                <w:rFonts w:ascii="Times New Roman" w:hAnsi="Times New Roman" w:cs="Times New Roman"/>
              </w:rPr>
              <w:t>7</w:t>
            </w:r>
            <w:r w:rsidRPr="00025201">
              <w:rPr>
                <w:rFonts w:ascii="Times New Roman" w:hAnsi="Times New Roman" w:cs="Times New Roman"/>
              </w:rPr>
              <w:t xml:space="preserve"> din </w:t>
            </w:r>
            <w:r>
              <w:rPr>
                <w:rFonts w:ascii="Times New Roman" w:hAnsi="Times New Roman" w:cs="Times New Roman"/>
              </w:rPr>
              <w:t>Regulamentul nr.109/2018</w:t>
            </w:r>
            <w:r>
              <w:rPr>
                <w:rFonts w:ascii="Arial" w:hAnsi="Arial" w:cs="Arial"/>
              </w:rPr>
              <w:t>.</w:t>
            </w:r>
          </w:p>
          <w:p w14:paraId="08BD318A" w14:textId="785228CC"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Cuantumul care trebuie raportat poate fi pozitiv sau negativ. Acesta este pozitiv dacă există o pierdere datorată unor modificări ale propriului risc de credit și viceversa. Astfel, semnul trebuie să fie </w:t>
            </w:r>
            <w:r>
              <w:rPr>
                <w:rFonts w:ascii="Times New Roman" w:eastAsia="Times New Roman" w:hAnsi="Times New Roman" w:cs="Times New Roman"/>
                <w:color w:val="000000"/>
                <w:kern w:val="0"/>
                <w:lang w:eastAsia="ro-MD"/>
                <w14:ligatures w14:val="none"/>
              </w:rPr>
              <w:t>opus</w:t>
            </w:r>
            <w:r w:rsidRPr="00260C32">
              <w:rPr>
                <w:rFonts w:ascii="Times New Roman" w:eastAsia="Times New Roman" w:hAnsi="Times New Roman" w:cs="Times New Roman"/>
                <w:color w:val="000000"/>
                <w:kern w:val="0"/>
                <w:lang w:eastAsia="ro-MD"/>
                <w14:ligatures w14:val="none"/>
              </w:rPr>
              <w:t xml:space="preserve"> celui utilizat în </w:t>
            </w:r>
            <w:r>
              <w:rPr>
                <w:rFonts w:ascii="Times New Roman" w:eastAsia="Times New Roman" w:hAnsi="Times New Roman" w:cs="Times New Roman"/>
                <w:color w:val="000000"/>
                <w:kern w:val="0"/>
                <w:lang w:eastAsia="ro-MD"/>
                <w14:ligatures w14:val="none"/>
              </w:rPr>
              <w:t>situațiile</w:t>
            </w:r>
            <w:r w:rsidRPr="00260C32">
              <w:rPr>
                <w:rFonts w:ascii="Times New Roman" w:eastAsia="Times New Roman" w:hAnsi="Times New Roman" w:cs="Times New Roman"/>
                <w:color w:val="000000"/>
                <w:kern w:val="0"/>
                <w:lang w:eastAsia="ro-MD"/>
                <w14:ligatures w14:val="none"/>
              </w:rPr>
              <w:t xml:space="preserve"> contabile.</w:t>
            </w:r>
          </w:p>
          <w:p w14:paraId="5D2242D6"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Profitul care nu a făcut obiectul unui audit nu este inclus la acest punct.</w:t>
            </w:r>
          </w:p>
        </w:tc>
        <w:tc>
          <w:tcPr>
            <w:tcW w:w="452" w:type="pct"/>
          </w:tcPr>
          <w:p w14:paraId="3F25B092"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60F6FF2F" w14:textId="23F39F57" w:rsidTr="00D448C0">
        <w:trPr>
          <w:tblCellSpacing w:w="0" w:type="dxa"/>
        </w:trPr>
        <w:tc>
          <w:tcPr>
            <w:tcW w:w="260" w:type="pct"/>
            <w:hideMark/>
          </w:tcPr>
          <w:p w14:paraId="52BBFFD6"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0290</w:t>
            </w:r>
          </w:p>
        </w:tc>
        <w:tc>
          <w:tcPr>
            <w:tcW w:w="4288" w:type="pct"/>
            <w:hideMark/>
          </w:tcPr>
          <w:p w14:paraId="11529B66"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1.1.1.9.5. (-) Ajustări de valoare datorate cerințelor de evaluare prudentă</w:t>
            </w:r>
          </w:p>
          <w:p w14:paraId="1E480C1C" w14:textId="290DE6D6" w:rsidR="00D238C5" w:rsidRDefault="00D448C0" w:rsidP="00B973D9">
            <w:pPr>
              <w:spacing w:after="0" w:line="240" w:lineRule="auto"/>
              <w:rPr>
                <w:rFonts w:ascii="Times New Roman" w:hAnsi="Times New Roman" w:cs="Times New Roman"/>
              </w:rPr>
            </w:pPr>
            <w:r w:rsidRPr="00025201">
              <w:rPr>
                <w:rFonts w:ascii="Times New Roman" w:hAnsi="Times New Roman" w:cs="Times New Roman"/>
              </w:rPr>
              <w:t xml:space="preserve">Punctul 28 din </w:t>
            </w:r>
            <w:r>
              <w:rPr>
                <w:rFonts w:ascii="Times New Roman" w:hAnsi="Times New Roman" w:cs="Times New Roman"/>
              </w:rPr>
              <w:t xml:space="preserve">Regulamentul nr.109/2018 și pct. 17 din  </w:t>
            </w:r>
            <w:r w:rsidRPr="00057E2D">
              <w:rPr>
                <w:rFonts w:ascii="Times New Roman" w:eastAsia="Times New Roman" w:hAnsi="Times New Roman" w:cs="Times New Roman"/>
                <w:color w:val="000000"/>
                <w:kern w:val="0"/>
                <w:lang w:eastAsia="ro-MD"/>
                <w14:ligatures w14:val="none"/>
              </w:rPr>
              <w:t xml:space="preserve">Regulamentul cu privire la tratamentul riscului de </w:t>
            </w:r>
            <w:r w:rsidR="0015486B" w:rsidRPr="00057E2D">
              <w:rPr>
                <w:rFonts w:ascii="Times New Roman" w:eastAsia="Times New Roman" w:hAnsi="Times New Roman" w:cs="Times New Roman"/>
                <w:color w:val="000000"/>
                <w:kern w:val="0"/>
                <w:lang w:eastAsia="ro-MD"/>
                <w14:ligatures w14:val="none"/>
              </w:rPr>
              <w:t>piață</w:t>
            </w:r>
            <w:r w:rsidRPr="00057E2D">
              <w:rPr>
                <w:rFonts w:ascii="Times New Roman" w:eastAsia="Times New Roman" w:hAnsi="Times New Roman" w:cs="Times New Roman"/>
                <w:color w:val="000000"/>
                <w:kern w:val="0"/>
                <w:lang w:eastAsia="ro-MD"/>
                <w14:ligatures w14:val="none"/>
              </w:rPr>
              <w:t xml:space="preserve"> potrivit abordării standardizate, aprobat prin H</w:t>
            </w:r>
            <w:r>
              <w:rPr>
                <w:rFonts w:ascii="Times New Roman" w:eastAsia="Times New Roman" w:hAnsi="Times New Roman" w:cs="Times New Roman"/>
                <w:color w:val="000000"/>
                <w:kern w:val="0"/>
                <w:lang w:eastAsia="ro-MD"/>
                <w14:ligatures w14:val="none"/>
              </w:rPr>
              <w:t>CE</w:t>
            </w:r>
            <w:r w:rsidRPr="00057E2D">
              <w:rPr>
                <w:rFonts w:ascii="Times New Roman" w:eastAsia="Times New Roman" w:hAnsi="Times New Roman" w:cs="Times New Roman"/>
                <w:color w:val="000000"/>
                <w:kern w:val="0"/>
                <w:lang w:eastAsia="ro-MD"/>
                <w14:ligatures w14:val="none"/>
              </w:rPr>
              <w:t xml:space="preserve"> al BNM nr.114</w:t>
            </w:r>
            <w:r>
              <w:rPr>
                <w:rFonts w:ascii="Times New Roman" w:eastAsia="Times New Roman" w:hAnsi="Times New Roman" w:cs="Times New Roman"/>
                <w:color w:val="000000"/>
                <w:kern w:val="0"/>
                <w:lang w:eastAsia="ro-MD"/>
                <w14:ligatures w14:val="none"/>
              </w:rPr>
              <w:t>/</w:t>
            </w:r>
            <w:r w:rsidRPr="00057E2D">
              <w:rPr>
                <w:rFonts w:ascii="Times New Roman" w:eastAsia="Times New Roman" w:hAnsi="Times New Roman" w:cs="Times New Roman"/>
                <w:color w:val="000000"/>
                <w:kern w:val="0"/>
                <w:lang w:eastAsia="ro-MD"/>
                <w14:ligatures w14:val="none"/>
              </w:rPr>
              <w:t>2018</w:t>
            </w:r>
            <w:r>
              <w:rPr>
                <w:rFonts w:ascii="Times New Roman" w:eastAsia="Times New Roman" w:hAnsi="Times New Roman" w:cs="Times New Roman"/>
                <w:color w:val="000000"/>
                <w:kern w:val="0"/>
                <w:lang w:eastAsia="ro-MD"/>
                <w14:ligatures w14:val="none"/>
              </w:rPr>
              <w:t xml:space="preserve"> (în continuare Regulamentul nr. 114/2018)</w:t>
            </w:r>
            <w:r w:rsidRPr="00025201">
              <w:rPr>
                <w:rFonts w:ascii="Times New Roman" w:hAnsi="Times New Roman" w:cs="Times New Roman"/>
              </w:rPr>
              <w:t>.</w:t>
            </w:r>
          </w:p>
          <w:p w14:paraId="561E3C2A" w14:textId="05D25CB2"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Ajustările valorii juste a expunerilor din portofoliul de tranzacționare sau din afara portofoliului de tranzacționare datorate unor standarde mai stricte pentru evaluarea prudentă </w:t>
            </w:r>
            <w:r w:rsidRPr="00FC69BF">
              <w:rPr>
                <w:rFonts w:ascii="Times New Roman" w:eastAsia="Times New Roman" w:hAnsi="Times New Roman" w:cs="Times New Roman"/>
                <w:color w:val="000000"/>
                <w:kern w:val="0"/>
                <w:lang w:eastAsia="ro-MD"/>
                <w14:ligatures w14:val="none"/>
              </w:rPr>
              <w:t>stabilită la pct. 17 din Regulamentul nr. 114/2018.</w:t>
            </w:r>
          </w:p>
        </w:tc>
        <w:tc>
          <w:tcPr>
            <w:tcW w:w="452" w:type="pct"/>
          </w:tcPr>
          <w:p w14:paraId="54349F53"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0AB13C5A" w14:textId="01D12160" w:rsidTr="00D448C0">
        <w:trPr>
          <w:tblCellSpacing w:w="0" w:type="dxa"/>
        </w:trPr>
        <w:tc>
          <w:tcPr>
            <w:tcW w:w="260" w:type="pct"/>
            <w:hideMark/>
          </w:tcPr>
          <w:p w14:paraId="7EA88570"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0300</w:t>
            </w:r>
          </w:p>
        </w:tc>
        <w:tc>
          <w:tcPr>
            <w:tcW w:w="4288" w:type="pct"/>
            <w:hideMark/>
          </w:tcPr>
          <w:p w14:paraId="221411F3"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1.1.1.10. (-) Fond comercial</w:t>
            </w:r>
          </w:p>
          <w:p w14:paraId="77015F48" w14:textId="5A927C74"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025201">
              <w:rPr>
                <w:rFonts w:ascii="Times New Roman" w:hAnsi="Times New Roman" w:cs="Times New Roman"/>
              </w:rPr>
              <w:t xml:space="preserve">Punctul 30 subpunctul 2) </w:t>
            </w:r>
            <w:proofErr w:type="spellStart"/>
            <w:r w:rsidRPr="00025201">
              <w:rPr>
                <w:rFonts w:ascii="Times New Roman" w:hAnsi="Times New Roman" w:cs="Times New Roman"/>
              </w:rPr>
              <w:t>şi</w:t>
            </w:r>
            <w:proofErr w:type="spellEnd"/>
            <w:r w:rsidRPr="00025201">
              <w:rPr>
                <w:rFonts w:ascii="Times New Roman" w:hAnsi="Times New Roman" w:cs="Times New Roman"/>
              </w:rPr>
              <w:t xml:space="preserve"> punctul 37 din </w:t>
            </w:r>
            <w:r>
              <w:rPr>
                <w:rFonts w:ascii="Times New Roman" w:hAnsi="Times New Roman" w:cs="Times New Roman"/>
              </w:rPr>
              <w:t>Regulamentul nr.109/2018</w:t>
            </w:r>
            <w:r w:rsidRPr="00025201">
              <w:rPr>
                <w:rFonts w:ascii="Times New Roman" w:hAnsi="Times New Roman" w:cs="Times New Roman"/>
              </w:rPr>
              <w:t>.</w:t>
            </w:r>
          </w:p>
        </w:tc>
        <w:tc>
          <w:tcPr>
            <w:tcW w:w="452" w:type="pct"/>
          </w:tcPr>
          <w:p w14:paraId="4EFA1AC5"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2363F32C" w14:textId="6BE1C890" w:rsidTr="00D448C0">
        <w:trPr>
          <w:tblCellSpacing w:w="0" w:type="dxa"/>
        </w:trPr>
        <w:tc>
          <w:tcPr>
            <w:tcW w:w="260" w:type="pct"/>
            <w:hideMark/>
          </w:tcPr>
          <w:p w14:paraId="4C651173"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0310</w:t>
            </w:r>
          </w:p>
        </w:tc>
        <w:tc>
          <w:tcPr>
            <w:tcW w:w="4288" w:type="pct"/>
            <w:hideMark/>
          </w:tcPr>
          <w:p w14:paraId="5C5B50ED" w14:textId="20168CE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 xml:space="preserve">1.1.1.10.1. (-) Fondul comercial contabilizat drept </w:t>
            </w:r>
            <w:r w:rsidR="00F3618C" w:rsidRPr="00212C16">
              <w:rPr>
                <w:rFonts w:ascii="Times New Roman" w:eastAsia="Times New Roman" w:hAnsi="Times New Roman" w:cs="Times New Roman"/>
                <w:b/>
                <w:bCs/>
                <w:color w:val="000000"/>
                <w:kern w:val="0"/>
                <w:lang w:eastAsia="ro-MD"/>
                <w14:ligatures w14:val="none"/>
              </w:rPr>
              <w:t>imobilizări</w:t>
            </w:r>
            <w:r w:rsidRPr="00212C16">
              <w:rPr>
                <w:rFonts w:ascii="Times New Roman" w:eastAsia="Times New Roman" w:hAnsi="Times New Roman" w:cs="Times New Roman"/>
                <w:b/>
                <w:bCs/>
                <w:color w:val="000000"/>
                <w:kern w:val="0"/>
                <w:lang w:eastAsia="ro-MD"/>
                <w14:ligatures w14:val="none"/>
              </w:rPr>
              <w:t xml:space="preserve"> necorporale</w:t>
            </w:r>
          </w:p>
          <w:p w14:paraId="5F6C2FFE" w14:textId="4FF37B70" w:rsidR="00D448C0" w:rsidRPr="00653298" w:rsidRDefault="00D448C0" w:rsidP="00B973D9">
            <w:pPr>
              <w:spacing w:after="0" w:line="240" w:lineRule="auto"/>
              <w:rPr>
                <w:rFonts w:ascii="Times New Roman" w:hAnsi="Times New Roman" w:cs="Times New Roman"/>
              </w:rPr>
            </w:pPr>
            <w:r w:rsidRPr="00653298">
              <w:rPr>
                <w:rFonts w:ascii="Times New Roman" w:hAnsi="Times New Roman" w:cs="Times New Roman"/>
              </w:rPr>
              <w:t xml:space="preserve">Punctul 30 subpunctul 2) din </w:t>
            </w:r>
            <w:r>
              <w:rPr>
                <w:rFonts w:ascii="Times New Roman" w:hAnsi="Times New Roman" w:cs="Times New Roman"/>
              </w:rPr>
              <w:t>Regulamentul nr.109/2018</w:t>
            </w:r>
            <w:r w:rsidRPr="00653298">
              <w:rPr>
                <w:rFonts w:ascii="Times New Roman" w:hAnsi="Times New Roman" w:cs="Times New Roman"/>
              </w:rPr>
              <w:t>.</w:t>
            </w:r>
          </w:p>
          <w:p w14:paraId="4A15820B"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Fondul comercial are același înțeles ca în standardul contabil aplicabil.</w:t>
            </w:r>
          </w:p>
          <w:p w14:paraId="362ACF6A"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care trebuie raportat aici este același cu cel raportat în bilanț.</w:t>
            </w:r>
          </w:p>
        </w:tc>
        <w:tc>
          <w:tcPr>
            <w:tcW w:w="452" w:type="pct"/>
          </w:tcPr>
          <w:p w14:paraId="4FD83AB7"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7BE26D2C" w14:textId="355168CE" w:rsidTr="00D448C0">
        <w:trPr>
          <w:tblCellSpacing w:w="0" w:type="dxa"/>
        </w:trPr>
        <w:tc>
          <w:tcPr>
            <w:tcW w:w="260" w:type="pct"/>
            <w:hideMark/>
          </w:tcPr>
          <w:p w14:paraId="4C749468"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0320</w:t>
            </w:r>
          </w:p>
        </w:tc>
        <w:tc>
          <w:tcPr>
            <w:tcW w:w="4288" w:type="pct"/>
            <w:hideMark/>
          </w:tcPr>
          <w:p w14:paraId="2F6E472E"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1.1.1.10.2. (-) Fondul comercial inclus în evaluarea investițiilor semnificative</w:t>
            </w:r>
          </w:p>
          <w:p w14:paraId="34AD6AAE" w14:textId="61EB6EAA"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653298">
              <w:rPr>
                <w:rFonts w:ascii="Times New Roman" w:hAnsi="Times New Roman" w:cs="Times New Roman"/>
              </w:rPr>
              <w:t>Punctul 3</w:t>
            </w:r>
            <w:r>
              <w:rPr>
                <w:rFonts w:ascii="Times New Roman" w:hAnsi="Times New Roman" w:cs="Times New Roman"/>
              </w:rPr>
              <w:t>7</w:t>
            </w:r>
            <w:r w:rsidRPr="00653298">
              <w:rPr>
                <w:rFonts w:ascii="Times New Roman" w:hAnsi="Times New Roman" w:cs="Times New Roman"/>
              </w:rPr>
              <w:t xml:space="preserve"> subpunctul </w:t>
            </w:r>
            <w:r>
              <w:rPr>
                <w:rFonts w:ascii="Times New Roman" w:hAnsi="Times New Roman" w:cs="Times New Roman"/>
              </w:rPr>
              <w:t>2</w:t>
            </w:r>
            <w:r w:rsidRPr="00653298">
              <w:rPr>
                <w:rFonts w:ascii="Times New Roman" w:hAnsi="Times New Roman" w:cs="Times New Roman"/>
              </w:rPr>
              <w:t xml:space="preserve">) </w:t>
            </w:r>
            <w:r>
              <w:rPr>
                <w:rFonts w:ascii="Times New Roman" w:hAnsi="Times New Roman" w:cs="Times New Roman"/>
              </w:rPr>
              <w:t xml:space="preserve">și </w:t>
            </w:r>
            <w:r>
              <w:rPr>
                <w:rFonts w:ascii="Times New Roman" w:hAnsi="Times New Roman" w:cs="Times New Roman"/>
                <w:lang w:val="ro-RO"/>
              </w:rPr>
              <w:t xml:space="preserve">punctul 52 </w:t>
            </w:r>
            <w:r w:rsidRPr="00653298">
              <w:rPr>
                <w:rFonts w:ascii="Times New Roman" w:hAnsi="Times New Roman" w:cs="Times New Roman"/>
              </w:rPr>
              <w:t xml:space="preserve">din </w:t>
            </w:r>
            <w:r>
              <w:rPr>
                <w:rFonts w:ascii="Times New Roman" w:hAnsi="Times New Roman" w:cs="Times New Roman"/>
              </w:rPr>
              <w:t>Regulamentul nr.109/2018</w:t>
            </w:r>
            <w:r w:rsidRPr="00653298">
              <w:rPr>
                <w:rFonts w:ascii="Times New Roman" w:hAnsi="Times New Roman" w:cs="Times New Roman"/>
              </w:rPr>
              <w:t>.</w:t>
            </w:r>
          </w:p>
        </w:tc>
        <w:tc>
          <w:tcPr>
            <w:tcW w:w="452" w:type="pct"/>
          </w:tcPr>
          <w:p w14:paraId="0F2E7703"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10B017A9" w14:textId="04986F35" w:rsidTr="00D448C0">
        <w:trPr>
          <w:tblCellSpacing w:w="0" w:type="dxa"/>
        </w:trPr>
        <w:tc>
          <w:tcPr>
            <w:tcW w:w="260" w:type="pct"/>
            <w:hideMark/>
          </w:tcPr>
          <w:p w14:paraId="38833AA1"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0330</w:t>
            </w:r>
          </w:p>
        </w:tc>
        <w:tc>
          <w:tcPr>
            <w:tcW w:w="4288" w:type="pct"/>
            <w:hideMark/>
          </w:tcPr>
          <w:p w14:paraId="1D6CFFE4"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1.1.1.10.3. Datoriile privind impozitul amânat asociate fondului comercial</w:t>
            </w:r>
          </w:p>
          <w:p w14:paraId="470ED0EF" w14:textId="19706E38" w:rsidR="00D448C0" w:rsidRPr="00653298" w:rsidRDefault="00D448C0" w:rsidP="00B973D9">
            <w:pPr>
              <w:spacing w:after="0" w:line="240" w:lineRule="auto"/>
              <w:rPr>
                <w:rFonts w:ascii="Times New Roman" w:hAnsi="Times New Roman" w:cs="Times New Roman"/>
              </w:rPr>
            </w:pPr>
            <w:r w:rsidRPr="00653298">
              <w:rPr>
                <w:rFonts w:ascii="Times New Roman" w:hAnsi="Times New Roman" w:cs="Times New Roman"/>
              </w:rPr>
              <w:t>Punctul 3</w:t>
            </w:r>
            <w:r>
              <w:rPr>
                <w:rFonts w:ascii="Times New Roman" w:hAnsi="Times New Roman" w:cs="Times New Roman"/>
              </w:rPr>
              <w:t>7</w:t>
            </w:r>
            <w:r w:rsidRPr="00653298">
              <w:rPr>
                <w:rFonts w:ascii="Times New Roman" w:hAnsi="Times New Roman" w:cs="Times New Roman"/>
              </w:rPr>
              <w:t xml:space="preserve"> subpunctul </w:t>
            </w:r>
            <w:r>
              <w:rPr>
                <w:rFonts w:ascii="Times New Roman" w:hAnsi="Times New Roman" w:cs="Times New Roman"/>
              </w:rPr>
              <w:t>1</w:t>
            </w:r>
            <w:r w:rsidRPr="00653298">
              <w:rPr>
                <w:rFonts w:ascii="Times New Roman" w:hAnsi="Times New Roman" w:cs="Times New Roman"/>
              </w:rPr>
              <w:t xml:space="preserve">) din </w:t>
            </w:r>
            <w:r>
              <w:rPr>
                <w:rFonts w:ascii="Times New Roman" w:hAnsi="Times New Roman" w:cs="Times New Roman"/>
              </w:rPr>
              <w:t>Regulamentul nr.109/2018</w:t>
            </w:r>
            <w:r w:rsidRPr="00653298">
              <w:rPr>
                <w:rFonts w:ascii="Times New Roman" w:hAnsi="Times New Roman" w:cs="Times New Roman"/>
              </w:rPr>
              <w:t>.</w:t>
            </w:r>
          </w:p>
          <w:p w14:paraId="479094FA"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Cuantumul datoriilor privind impozitul amânat asociate fondului comercial care s-ar stinge în cazul în care fondul comercial s-ar deprecia sau ar fi </w:t>
            </w:r>
            <w:proofErr w:type="spellStart"/>
            <w:r w:rsidRPr="00260C32">
              <w:rPr>
                <w:rFonts w:ascii="Times New Roman" w:eastAsia="Times New Roman" w:hAnsi="Times New Roman" w:cs="Times New Roman"/>
                <w:color w:val="000000"/>
                <w:kern w:val="0"/>
                <w:lang w:eastAsia="ro-MD"/>
                <w14:ligatures w14:val="none"/>
              </w:rPr>
              <w:t>derecunoscut</w:t>
            </w:r>
            <w:proofErr w:type="spellEnd"/>
            <w:r w:rsidRPr="00260C32">
              <w:rPr>
                <w:rFonts w:ascii="Times New Roman" w:eastAsia="Times New Roman" w:hAnsi="Times New Roman" w:cs="Times New Roman"/>
                <w:color w:val="000000"/>
                <w:kern w:val="0"/>
                <w:lang w:eastAsia="ro-MD"/>
                <w14:ligatures w14:val="none"/>
              </w:rPr>
              <w:t xml:space="preserve"> în conformitate cu standardul contabil relevant.</w:t>
            </w:r>
          </w:p>
        </w:tc>
        <w:tc>
          <w:tcPr>
            <w:tcW w:w="452" w:type="pct"/>
          </w:tcPr>
          <w:p w14:paraId="66EEF1CF"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6363A5B8" w14:textId="77BF7CD2" w:rsidTr="00D448C0">
        <w:trPr>
          <w:tblCellSpacing w:w="0" w:type="dxa"/>
        </w:trPr>
        <w:tc>
          <w:tcPr>
            <w:tcW w:w="260" w:type="pct"/>
            <w:hideMark/>
          </w:tcPr>
          <w:p w14:paraId="4E8863E5"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0335</w:t>
            </w:r>
          </w:p>
        </w:tc>
        <w:tc>
          <w:tcPr>
            <w:tcW w:w="4288" w:type="pct"/>
            <w:hideMark/>
          </w:tcPr>
          <w:p w14:paraId="616D1631" w14:textId="38626D39" w:rsidR="00D448C0" w:rsidRPr="00212C16" w:rsidRDefault="00D448C0" w:rsidP="00B973D9">
            <w:pPr>
              <w:spacing w:after="0" w:line="240" w:lineRule="auto"/>
              <w:rPr>
                <w:rFonts w:ascii="Times New Roman" w:eastAsia="Times New Roman" w:hAnsi="Times New Roman" w:cs="Times New Roman"/>
                <w:b/>
                <w:bCs/>
                <w:color w:val="000000"/>
                <w:kern w:val="0"/>
                <w:highlight w:val="yellow"/>
                <w:lang w:eastAsia="ro-MD"/>
                <w14:ligatures w14:val="none"/>
              </w:rPr>
            </w:pPr>
            <w:r w:rsidRPr="00212C16">
              <w:rPr>
                <w:rFonts w:ascii="Times New Roman" w:eastAsia="Times New Roman" w:hAnsi="Times New Roman" w:cs="Times New Roman"/>
                <w:b/>
                <w:bCs/>
                <w:color w:val="000000"/>
                <w:kern w:val="0"/>
                <w:lang w:eastAsia="ro-MD"/>
                <w14:ligatures w14:val="none"/>
              </w:rPr>
              <w:t>1.1.1.10.4. Reevaluarea contabilă a fondului comercial al filialelor provenind din consolidarea filialelor, care poate fi atribuită persoanelor terțe</w:t>
            </w:r>
          </w:p>
          <w:p w14:paraId="40225291" w14:textId="3B90F132" w:rsidR="00D448C0" w:rsidRPr="00653298" w:rsidRDefault="00D448C0" w:rsidP="00B973D9">
            <w:pPr>
              <w:spacing w:after="0" w:line="240" w:lineRule="auto"/>
              <w:rPr>
                <w:rFonts w:ascii="Times New Roman" w:hAnsi="Times New Roman" w:cs="Times New Roman"/>
              </w:rPr>
            </w:pPr>
            <w:r w:rsidRPr="00653298">
              <w:rPr>
                <w:rFonts w:ascii="Times New Roman" w:hAnsi="Times New Roman" w:cs="Times New Roman"/>
              </w:rPr>
              <w:t>Punctul 3</w:t>
            </w:r>
            <w:r>
              <w:rPr>
                <w:rFonts w:ascii="Times New Roman" w:hAnsi="Times New Roman" w:cs="Times New Roman"/>
              </w:rPr>
              <w:t>7</w:t>
            </w:r>
            <w:r w:rsidRPr="00653298">
              <w:rPr>
                <w:rFonts w:ascii="Times New Roman" w:hAnsi="Times New Roman" w:cs="Times New Roman"/>
              </w:rPr>
              <w:t xml:space="preserve"> subpunctul </w:t>
            </w:r>
            <w:r>
              <w:rPr>
                <w:rFonts w:ascii="Times New Roman" w:hAnsi="Times New Roman" w:cs="Times New Roman"/>
              </w:rPr>
              <w:t>3</w:t>
            </w:r>
            <w:r w:rsidRPr="00653298">
              <w:rPr>
                <w:rFonts w:ascii="Times New Roman" w:hAnsi="Times New Roman" w:cs="Times New Roman"/>
              </w:rPr>
              <w:t xml:space="preserve">) din </w:t>
            </w:r>
            <w:r>
              <w:rPr>
                <w:rFonts w:ascii="Times New Roman" w:hAnsi="Times New Roman" w:cs="Times New Roman"/>
              </w:rPr>
              <w:t>Regulamentul nr.109/2018</w:t>
            </w:r>
            <w:r w:rsidRPr="00653298">
              <w:rPr>
                <w:rFonts w:ascii="Times New Roman" w:hAnsi="Times New Roman" w:cs="Times New Roman"/>
              </w:rPr>
              <w:t>.</w:t>
            </w:r>
          </w:p>
          <w:p w14:paraId="6326D26E" w14:textId="5618B6BA"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304270">
              <w:rPr>
                <w:rFonts w:ascii="Times New Roman" w:eastAsia="Times New Roman" w:hAnsi="Times New Roman" w:cs="Times New Roman"/>
                <w:color w:val="000000"/>
                <w:kern w:val="0"/>
                <w:lang w:eastAsia="ro-MD"/>
                <w14:ligatures w14:val="none"/>
              </w:rPr>
              <w:t xml:space="preserve">Cuantumul aferent reevaluării contabile a fondului comercial al filialelor în urma consolidării filialelor, care poate fi atribuit altor persoane decât întreprinderile incluse în consolidare în conformitate cu </w:t>
            </w:r>
            <w:r w:rsidRPr="006F6C14">
              <w:rPr>
                <w:rFonts w:ascii="Times New Roman" w:eastAsia="Times New Roman" w:hAnsi="Times New Roman" w:cs="Times New Roman"/>
                <w:color w:val="000000"/>
                <w:kern w:val="0"/>
                <w:lang w:eastAsia="ro-MD"/>
                <w14:ligatures w14:val="none"/>
              </w:rPr>
              <w:t>Regulamentul privind supravegherea pe bază consolidată a băncilor, aprobat prin Hotărârea Comitetului executiv al Băncii Naționale a Moldovei nr.101</w:t>
            </w:r>
            <w:r>
              <w:rPr>
                <w:rFonts w:ascii="Times New Roman" w:eastAsia="Times New Roman" w:hAnsi="Times New Roman" w:cs="Times New Roman"/>
                <w:color w:val="000000"/>
                <w:kern w:val="0"/>
                <w:lang w:eastAsia="ro-MD"/>
                <w14:ligatures w14:val="none"/>
              </w:rPr>
              <w:t>/</w:t>
            </w:r>
            <w:r w:rsidRPr="006F6C14">
              <w:rPr>
                <w:rFonts w:ascii="Times New Roman" w:eastAsia="Times New Roman" w:hAnsi="Times New Roman" w:cs="Times New Roman"/>
                <w:color w:val="000000"/>
                <w:kern w:val="0"/>
                <w:lang w:eastAsia="ro-MD"/>
                <w14:ligatures w14:val="none"/>
              </w:rPr>
              <w:t>2020</w:t>
            </w:r>
            <w:r w:rsidR="00D331F6">
              <w:rPr>
                <w:rFonts w:ascii="Times New Roman" w:eastAsia="Times New Roman" w:hAnsi="Times New Roman" w:cs="Times New Roman"/>
                <w:color w:val="000000"/>
                <w:kern w:val="0"/>
                <w:lang w:eastAsia="ro-MD"/>
                <w14:ligatures w14:val="none"/>
              </w:rPr>
              <w:t xml:space="preserve"> (în continuare Regulamentul nr. 101/2020)</w:t>
            </w:r>
            <w:r w:rsidRPr="00304270">
              <w:rPr>
                <w:rFonts w:ascii="Times New Roman" w:eastAsia="Times New Roman" w:hAnsi="Times New Roman" w:cs="Times New Roman"/>
                <w:color w:val="000000"/>
                <w:kern w:val="0"/>
                <w:lang w:eastAsia="ro-MD"/>
                <w14:ligatures w14:val="none"/>
              </w:rPr>
              <w:t>.</w:t>
            </w:r>
          </w:p>
        </w:tc>
        <w:tc>
          <w:tcPr>
            <w:tcW w:w="452" w:type="pct"/>
          </w:tcPr>
          <w:p w14:paraId="08247057"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0D8F5397" w14:textId="78F66A61" w:rsidTr="00D448C0">
        <w:trPr>
          <w:tblCellSpacing w:w="0" w:type="dxa"/>
        </w:trPr>
        <w:tc>
          <w:tcPr>
            <w:tcW w:w="260" w:type="pct"/>
            <w:hideMark/>
          </w:tcPr>
          <w:p w14:paraId="00D962EF"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0340</w:t>
            </w:r>
          </w:p>
        </w:tc>
        <w:tc>
          <w:tcPr>
            <w:tcW w:w="4288" w:type="pct"/>
            <w:hideMark/>
          </w:tcPr>
          <w:p w14:paraId="2EB50B32" w14:textId="59CC425E"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 xml:space="preserve">1.1.1.11. Alte </w:t>
            </w:r>
            <w:r w:rsidR="00065889" w:rsidRPr="00212C16">
              <w:rPr>
                <w:rFonts w:ascii="Times New Roman" w:eastAsia="Times New Roman" w:hAnsi="Times New Roman" w:cs="Times New Roman"/>
                <w:b/>
                <w:bCs/>
                <w:color w:val="000000"/>
                <w:kern w:val="0"/>
                <w:lang w:eastAsia="ro-MD"/>
                <w14:ligatures w14:val="none"/>
              </w:rPr>
              <w:t xml:space="preserve">imobilizări </w:t>
            </w:r>
            <w:r w:rsidRPr="00212C16">
              <w:rPr>
                <w:rFonts w:ascii="Times New Roman" w:eastAsia="Times New Roman" w:hAnsi="Times New Roman" w:cs="Times New Roman"/>
                <w:b/>
                <w:bCs/>
                <w:color w:val="000000"/>
                <w:kern w:val="0"/>
                <w:lang w:eastAsia="ro-MD"/>
                <w14:ligatures w14:val="none"/>
              </w:rPr>
              <w:t>necorporale</w:t>
            </w:r>
          </w:p>
          <w:p w14:paraId="37AD24A3" w14:textId="7F3F38E6" w:rsidR="00D448C0" w:rsidRPr="00C95865" w:rsidRDefault="00D448C0" w:rsidP="00B973D9">
            <w:pPr>
              <w:spacing w:after="0" w:line="240" w:lineRule="auto"/>
              <w:rPr>
                <w:rFonts w:ascii="Times New Roman" w:hAnsi="Times New Roman" w:cs="Times New Roman"/>
              </w:rPr>
            </w:pPr>
            <w:r w:rsidRPr="00C95865">
              <w:rPr>
                <w:rFonts w:ascii="Times New Roman" w:hAnsi="Times New Roman" w:cs="Times New Roman"/>
              </w:rPr>
              <w:t xml:space="preserve">Punctul 30 subpunctul 2) </w:t>
            </w:r>
            <w:proofErr w:type="spellStart"/>
            <w:r w:rsidRPr="00C95865">
              <w:rPr>
                <w:rFonts w:ascii="Times New Roman" w:hAnsi="Times New Roman" w:cs="Times New Roman"/>
              </w:rPr>
              <w:t>şi</w:t>
            </w:r>
            <w:proofErr w:type="spellEnd"/>
            <w:r w:rsidRPr="00C95865">
              <w:rPr>
                <w:rFonts w:ascii="Times New Roman" w:hAnsi="Times New Roman" w:cs="Times New Roman"/>
              </w:rPr>
              <w:t xml:space="preserve"> punctul 37 subpunctul 1)</w:t>
            </w:r>
            <w:r>
              <w:rPr>
                <w:rFonts w:ascii="Times New Roman" w:hAnsi="Times New Roman" w:cs="Times New Roman"/>
              </w:rPr>
              <w:t xml:space="preserve"> și 3)</w:t>
            </w:r>
            <w:r w:rsidRPr="00C95865">
              <w:rPr>
                <w:rFonts w:ascii="Times New Roman" w:hAnsi="Times New Roman" w:cs="Times New Roman"/>
              </w:rPr>
              <w:t xml:space="preserve"> din </w:t>
            </w:r>
            <w:r>
              <w:rPr>
                <w:rFonts w:ascii="Times New Roman" w:hAnsi="Times New Roman" w:cs="Times New Roman"/>
              </w:rPr>
              <w:t>Regulamentul nr.109/2018</w:t>
            </w:r>
            <w:r w:rsidRPr="00C95865">
              <w:rPr>
                <w:rFonts w:ascii="Times New Roman" w:hAnsi="Times New Roman" w:cs="Times New Roman"/>
              </w:rPr>
              <w:t>.</w:t>
            </w:r>
          </w:p>
          <w:p w14:paraId="7DB7C1B6" w14:textId="5868D92B"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Alte </w:t>
            </w:r>
            <w:r w:rsidR="00065889">
              <w:rPr>
                <w:rFonts w:ascii="Times New Roman" w:eastAsia="Times New Roman" w:hAnsi="Times New Roman" w:cs="Times New Roman"/>
                <w:color w:val="000000"/>
                <w:kern w:val="0"/>
                <w:lang w:eastAsia="ro-MD"/>
                <w14:ligatures w14:val="none"/>
              </w:rPr>
              <w:t>imobilizări</w:t>
            </w:r>
            <w:r w:rsidRPr="00260C32">
              <w:rPr>
                <w:rFonts w:ascii="Times New Roman" w:eastAsia="Times New Roman" w:hAnsi="Times New Roman" w:cs="Times New Roman"/>
                <w:color w:val="000000"/>
                <w:kern w:val="0"/>
                <w:lang w:eastAsia="ro-MD"/>
                <w14:ligatures w14:val="none"/>
              </w:rPr>
              <w:t xml:space="preserve"> necorporale sunt </w:t>
            </w:r>
            <w:r w:rsidR="00065889">
              <w:rPr>
                <w:rFonts w:ascii="Times New Roman" w:eastAsia="Times New Roman" w:hAnsi="Times New Roman" w:cs="Times New Roman"/>
                <w:color w:val="000000"/>
                <w:kern w:val="0"/>
                <w:lang w:eastAsia="ro-MD"/>
                <w14:ligatures w14:val="none"/>
              </w:rPr>
              <w:t>imobilizările</w:t>
            </w:r>
            <w:r w:rsidRPr="00260C32">
              <w:rPr>
                <w:rFonts w:ascii="Times New Roman" w:eastAsia="Times New Roman" w:hAnsi="Times New Roman" w:cs="Times New Roman"/>
                <w:color w:val="000000"/>
                <w:kern w:val="0"/>
                <w:lang w:eastAsia="ro-MD"/>
                <w14:ligatures w14:val="none"/>
              </w:rPr>
              <w:t xml:space="preserve"> necorporale din standardul contabil aplicabil, minus fondul comercial, în funcție, de asemenea, de standardul contabil aplicabil.</w:t>
            </w:r>
          </w:p>
        </w:tc>
        <w:tc>
          <w:tcPr>
            <w:tcW w:w="452" w:type="pct"/>
          </w:tcPr>
          <w:p w14:paraId="205C14F5"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4280FDB9" w14:textId="079CCF74" w:rsidTr="00D448C0">
        <w:trPr>
          <w:tblCellSpacing w:w="0" w:type="dxa"/>
        </w:trPr>
        <w:tc>
          <w:tcPr>
            <w:tcW w:w="260" w:type="pct"/>
            <w:hideMark/>
          </w:tcPr>
          <w:p w14:paraId="4E866DB2"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0350</w:t>
            </w:r>
          </w:p>
        </w:tc>
        <w:tc>
          <w:tcPr>
            <w:tcW w:w="4288" w:type="pct"/>
            <w:hideMark/>
          </w:tcPr>
          <w:p w14:paraId="162B1517" w14:textId="76C4A1FE"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 xml:space="preserve">1.1.1.11.1. (-) Alte </w:t>
            </w:r>
            <w:r w:rsidR="00065889" w:rsidRPr="00212C16">
              <w:rPr>
                <w:rFonts w:ascii="Times New Roman" w:eastAsia="Times New Roman" w:hAnsi="Times New Roman" w:cs="Times New Roman"/>
                <w:b/>
                <w:bCs/>
                <w:color w:val="000000"/>
                <w:kern w:val="0"/>
                <w:lang w:eastAsia="ro-MD"/>
                <w14:ligatures w14:val="none"/>
              </w:rPr>
              <w:t>imobilizări</w:t>
            </w:r>
            <w:r w:rsidRPr="00212C16">
              <w:rPr>
                <w:rFonts w:ascii="Times New Roman" w:eastAsia="Times New Roman" w:hAnsi="Times New Roman" w:cs="Times New Roman"/>
                <w:b/>
                <w:bCs/>
                <w:color w:val="000000"/>
                <w:kern w:val="0"/>
                <w:lang w:eastAsia="ro-MD"/>
                <w14:ligatures w14:val="none"/>
              </w:rPr>
              <w:t xml:space="preserve"> necorporale înainte de deducerea datoriilor privind impozitul amânat</w:t>
            </w:r>
          </w:p>
          <w:p w14:paraId="01E16CFA" w14:textId="567E8751" w:rsidR="00D448C0" w:rsidRPr="00653298" w:rsidRDefault="00D448C0" w:rsidP="00B973D9">
            <w:pPr>
              <w:spacing w:after="0" w:line="240" w:lineRule="auto"/>
              <w:rPr>
                <w:rFonts w:ascii="Times New Roman" w:hAnsi="Times New Roman" w:cs="Times New Roman"/>
              </w:rPr>
            </w:pPr>
            <w:r w:rsidRPr="00653298">
              <w:rPr>
                <w:rFonts w:ascii="Times New Roman" w:hAnsi="Times New Roman" w:cs="Times New Roman"/>
              </w:rPr>
              <w:t>Punctul 3</w:t>
            </w:r>
            <w:r>
              <w:rPr>
                <w:rFonts w:ascii="Times New Roman" w:hAnsi="Times New Roman" w:cs="Times New Roman"/>
              </w:rPr>
              <w:t>0</w:t>
            </w:r>
            <w:r w:rsidRPr="00653298">
              <w:rPr>
                <w:rFonts w:ascii="Times New Roman" w:hAnsi="Times New Roman" w:cs="Times New Roman"/>
              </w:rPr>
              <w:t xml:space="preserve"> subpunctul 2) din </w:t>
            </w:r>
            <w:r>
              <w:rPr>
                <w:rFonts w:ascii="Times New Roman" w:hAnsi="Times New Roman" w:cs="Times New Roman"/>
              </w:rPr>
              <w:t>Regulamentul nr.109/2018</w:t>
            </w:r>
            <w:r w:rsidRPr="00653298">
              <w:rPr>
                <w:rFonts w:ascii="Times New Roman" w:hAnsi="Times New Roman" w:cs="Times New Roman"/>
              </w:rPr>
              <w:t>.</w:t>
            </w:r>
          </w:p>
          <w:p w14:paraId="39F6075C" w14:textId="30D6C3F2"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Alte </w:t>
            </w:r>
            <w:r w:rsidR="00065889">
              <w:rPr>
                <w:rFonts w:ascii="Times New Roman" w:eastAsia="Times New Roman" w:hAnsi="Times New Roman" w:cs="Times New Roman"/>
                <w:color w:val="000000"/>
                <w:kern w:val="0"/>
                <w:lang w:eastAsia="ro-MD"/>
                <w14:ligatures w14:val="none"/>
              </w:rPr>
              <w:t>imobilizări</w:t>
            </w:r>
            <w:r w:rsidRPr="00260C32">
              <w:rPr>
                <w:rFonts w:ascii="Times New Roman" w:eastAsia="Times New Roman" w:hAnsi="Times New Roman" w:cs="Times New Roman"/>
                <w:color w:val="000000"/>
                <w:kern w:val="0"/>
                <w:lang w:eastAsia="ro-MD"/>
                <w14:ligatures w14:val="none"/>
              </w:rPr>
              <w:t xml:space="preserve"> necorporale sunt </w:t>
            </w:r>
            <w:r w:rsidR="00065889">
              <w:rPr>
                <w:rFonts w:ascii="Times New Roman" w:eastAsia="Times New Roman" w:hAnsi="Times New Roman" w:cs="Times New Roman"/>
                <w:color w:val="000000"/>
                <w:kern w:val="0"/>
                <w:lang w:eastAsia="ro-MD"/>
                <w14:ligatures w14:val="none"/>
              </w:rPr>
              <w:t>imobilizările</w:t>
            </w:r>
            <w:r w:rsidRPr="00260C32">
              <w:rPr>
                <w:rFonts w:ascii="Times New Roman" w:eastAsia="Times New Roman" w:hAnsi="Times New Roman" w:cs="Times New Roman"/>
                <w:color w:val="000000"/>
                <w:kern w:val="0"/>
                <w:lang w:eastAsia="ro-MD"/>
                <w14:ligatures w14:val="none"/>
              </w:rPr>
              <w:t xml:space="preserve"> necorporale din standardul contabil aplicabil, minus fondul comercial, în funcție, de asemenea, de standardul contabil aplicabil.</w:t>
            </w:r>
          </w:p>
          <w:p w14:paraId="2E8514F0" w14:textId="213644FD"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Cuantumul care trebuie raportat </w:t>
            </w:r>
            <w:r w:rsidR="004848AD">
              <w:rPr>
                <w:rFonts w:ascii="Times New Roman" w:eastAsia="Times New Roman" w:hAnsi="Times New Roman" w:cs="Times New Roman"/>
                <w:color w:val="000000"/>
                <w:kern w:val="0"/>
                <w:lang w:eastAsia="ro-MD"/>
                <w14:ligatures w14:val="none"/>
              </w:rPr>
              <w:t>aici</w:t>
            </w:r>
            <w:r w:rsidRPr="00260C32">
              <w:rPr>
                <w:rFonts w:ascii="Times New Roman" w:eastAsia="Times New Roman" w:hAnsi="Times New Roman" w:cs="Times New Roman"/>
                <w:color w:val="000000"/>
                <w:kern w:val="0"/>
                <w:lang w:eastAsia="ro-MD"/>
                <w14:ligatures w14:val="none"/>
              </w:rPr>
              <w:t xml:space="preserve"> corespunde cuantumului raportat în bilanț pentru </w:t>
            </w:r>
            <w:r w:rsidR="00065889">
              <w:rPr>
                <w:rFonts w:ascii="Times New Roman" w:eastAsia="Times New Roman" w:hAnsi="Times New Roman" w:cs="Times New Roman"/>
                <w:color w:val="000000"/>
                <w:kern w:val="0"/>
                <w:lang w:eastAsia="ro-MD"/>
                <w14:ligatures w14:val="none"/>
              </w:rPr>
              <w:t>imobilizările</w:t>
            </w:r>
            <w:r w:rsidR="00065889" w:rsidRPr="00260C32" w:rsidDel="00065889">
              <w:rPr>
                <w:rFonts w:ascii="Times New Roman" w:eastAsia="Times New Roman" w:hAnsi="Times New Roman" w:cs="Times New Roman"/>
                <w:color w:val="000000"/>
                <w:kern w:val="0"/>
                <w:lang w:eastAsia="ro-MD"/>
                <w14:ligatures w14:val="none"/>
              </w:rPr>
              <w:t xml:space="preserve"> </w:t>
            </w:r>
            <w:r w:rsidRPr="00260C32">
              <w:rPr>
                <w:rFonts w:ascii="Times New Roman" w:eastAsia="Times New Roman" w:hAnsi="Times New Roman" w:cs="Times New Roman"/>
                <w:color w:val="000000"/>
                <w:kern w:val="0"/>
                <w:lang w:eastAsia="ro-MD"/>
                <w14:ligatures w14:val="none"/>
              </w:rPr>
              <w:t xml:space="preserve"> necorporale, </w:t>
            </w:r>
            <w:proofErr w:type="spellStart"/>
            <w:r w:rsidR="004848AD">
              <w:rPr>
                <w:rFonts w:ascii="Times New Roman" w:eastAsia="Times New Roman" w:hAnsi="Times New Roman" w:cs="Times New Roman"/>
                <w:color w:val="000000"/>
                <w:kern w:val="0"/>
                <w:lang w:eastAsia="ro-MD"/>
                <w14:ligatures w14:val="none"/>
              </w:rPr>
              <w:t>except</w:t>
            </w:r>
            <w:r w:rsidR="004848AD">
              <w:rPr>
                <w:rFonts w:ascii="Times New Roman" w:eastAsia="Times New Roman" w:hAnsi="Times New Roman" w:cs="Times New Roman"/>
                <w:color w:val="000000"/>
                <w:kern w:val="0"/>
                <w:lang w:val="ro-RO" w:eastAsia="ro-MD"/>
                <w14:ligatures w14:val="none"/>
              </w:rPr>
              <w:t>ând</w:t>
            </w:r>
            <w:proofErr w:type="spellEnd"/>
            <w:r w:rsidRPr="00260C32">
              <w:rPr>
                <w:rFonts w:ascii="Times New Roman" w:eastAsia="Times New Roman" w:hAnsi="Times New Roman" w:cs="Times New Roman"/>
                <w:color w:val="000000"/>
                <w:kern w:val="0"/>
                <w:lang w:eastAsia="ro-MD"/>
                <w14:ligatures w14:val="none"/>
              </w:rPr>
              <w:t xml:space="preserve"> fondul </w:t>
            </w:r>
            <w:r w:rsidRPr="00EA59DC">
              <w:rPr>
                <w:rFonts w:ascii="Times New Roman" w:eastAsia="Times New Roman" w:hAnsi="Times New Roman" w:cs="Times New Roman"/>
                <w:color w:val="000000"/>
                <w:kern w:val="0"/>
                <w:lang w:eastAsia="ro-MD"/>
                <w14:ligatures w14:val="none"/>
              </w:rPr>
              <w:t>comercial</w:t>
            </w:r>
            <w:r w:rsidR="004848AD" w:rsidRPr="00EA59DC">
              <w:rPr>
                <w:rFonts w:ascii="Times New Roman" w:eastAsia="Times New Roman" w:hAnsi="Times New Roman" w:cs="Times New Roman"/>
                <w:color w:val="000000"/>
                <w:kern w:val="0"/>
                <w:lang w:eastAsia="ro-MD"/>
                <w14:ligatures w14:val="none"/>
              </w:rPr>
              <w:t xml:space="preserve"> și valorii programelor informatice evaluate în mod prudent care nu este dedusă din elementele de fonduri proprii de nivel 1 de bază în conformitate</w:t>
            </w:r>
            <w:r w:rsidR="004848AD" w:rsidRPr="00EA59DC">
              <w:rPr>
                <w:rFonts w:eastAsia="Times New Roman"/>
                <w:color w:val="000000"/>
                <w:kern w:val="0"/>
                <w:lang w:eastAsia="ro-MD"/>
                <w14:ligatures w14:val="none"/>
              </w:rPr>
              <w:t xml:space="preserve"> cu</w:t>
            </w:r>
            <w:r w:rsidR="004848AD" w:rsidRPr="00331BB9">
              <w:rPr>
                <w:rFonts w:ascii="Times New Roman" w:eastAsia="Times New Roman" w:hAnsi="Times New Roman" w:cs="Times New Roman"/>
                <w:color w:val="000000"/>
                <w:kern w:val="0"/>
                <w:lang w:eastAsia="ro-MD"/>
                <w14:ligatures w14:val="none"/>
              </w:rPr>
              <w:t xml:space="preserve"> p</w:t>
            </w:r>
            <w:r w:rsidR="004848AD" w:rsidRPr="00331BB9">
              <w:rPr>
                <w:rFonts w:ascii="Times New Roman" w:hAnsi="Times New Roman" w:cs="Times New Roman"/>
              </w:rPr>
              <w:t>unctul 30 subpunctul 2) din Regulamentul nr.109/2018</w:t>
            </w:r>
            <w:r w:rsidRPr="00331BB9">
              <w:rPr>
                <w:rFonts w:ascii="Times New Roman" w:eastAsia="Times New Roman" w:hAnsi="Times New Roman" w:cs="Times New Roman"/>
                <w:color w:val="000000"/>
                <w:kern w:val="0"/>
                <w:lang w:eastAsia="ro-MD"/>
                <w14:ligatures w14:val="none"/>
              </w:rPr>
              <w:t>.</w:t>
            </w:r>
          </w:p>
        </w:tc>
        <w:tc>
          <w:tcPr>
            <w:tcW w:w="452" w:type="pct"/>
          </w:tcPr>
          <w:p w14:paraId="25CF3D74"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4F64F642" w14:textId="1A755A58" w:rsidTr="00D448C0">
        <w:trPr>
          <w:tblCellSpacing w:w="0" w:type="dxa"/>
        </w:trPr>
        <w:tc>
          <w:tcPr>
            <w:tcW w:w="260" w:type="pct"/>
          </w:tcPr>
          <w:p w14:paraId="624D0FA5" w14:textId="58B74AAA" w:rsidR="00D448C0" w:rsidRPr="00D238C5"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D238C5">
              <w:rPr>
                <w:rFonts w:ascii="Times New Roman" w:eastAsia="Times New Roman" w:hAnsi="Times New Roman" w:cs="Times New Roman"/>
                <w:color w:val="000000"/>
                <w:kern w:val="0"/>
                <w:lang w:eastAsia="ro-MD"/>
                <w14:ligatures w14:val="none"/>
              </w:rPr>
              <w:t>0352</w:t>
            </w:r>
          </w:p>
        </w:tc>
        <w:tc>
          <w:tcPr>
            <w:tcW w:w="4288" w:type="pct"/>
          </w:tcPr>
          <w:p w14:paraId="60944BA7" w14:textId="61297A3B"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 xml:space="preserve">1.1.1.11.1.1. (–) Din care: programe informatice contabilizate drept </w:t>
            </w:r>
            <w:r w:rsidR="00065889" w:rsidRPr="00212C16">
              <w:rPr>
                <w:rFonts w:ascii="Times New Roman" w:eastAsia="Times New Roman" w:hAnsi="Times New Roman" w:cs="Times New Roman"/>
                <w:b/>
                <w:bCs/>
                <w:color w:val="000000"/>
                <w:kern w:val="0"/>
                <w:lang w:eastAsia="ro-MD"/>
                <w14:ligatures w14:val="none"/>
              </w:rPr>
              <w:t xml:space="preserve">imobilizări </w:t>
            </w:r>
            <w:r w:rsidRPr="00212C16">
              <w:rPr>
                <w:rFonts w:ascii="Times New Roman" w:eastAsia="Times New Roman" w:hAnsi="Times New Roman" w:cs="Times New Roman"/>
                <w:b/>
                <w:bCs/>
                <w:color w:val="000000"/>
                <w:kern w:val="0"/>
                <w:lang w:eastAsia="ro-MD"/>
                <w14:ligatures w14:val="none"/>
              </w:rPr>
              <w:t>necorporale înainte de deducerea datoriilor privind impozitul amânat</w:t>
            </w:r>
          </w:p>
          <w:p w14:paraId="637A25BB" w14:textId="77777777" w:rsidR="00E0688D" w:rsidRPr="000E1E91" w:rsidRDefault="00E0688D" w:rsidP="00B973D9">
            <w:pPr>
              <w:spacing w:after="0" w:line="240" w:lineRule="auto"/>
              <w:rPr>
                <w:rFonts w:ascii="Times New Roman" w:eastAsia="Times New Roman" w:hAnsi="Times New Roman" w:cs="Times New Roman"/>
                <w:kern w:val="0"/>
                <w:lang w:val="ro-RO" w:eastAsia="de-DE"/>
                <w14:ligatures w14:val="none"/>
              </w:rPr>
            </w:pPr>
            <w:r w:rsidRPr="000E1E91">
              <w:rPr>
                <w:rFonts w:ascii="Times New Roman" w:eastAsia="Times New Roman" w:hAnsi="Times New Roman" w:cs="Times New Roman"/>
                <w:kern w:val="0"/>
                <w:lang w:val="ro-RO" w:eastAsia="de-DE"/>
                <w14:ligatures w14:val="none"/>
              </w:rPr>
              <w:lastRenderedPageBreak/>
              <w:t>Punctul 30 subpunctul 2) din Regulamentul nr.109/2018.</w:t>
            </w:r>
          </w:p>
          <w:p w14:paraId="76147764" w14:textId="727DDAFF" w:rsidR="00D448C0" w:rsidRPr="00F3618C" w:rsidRDefault="00D448C0" w:rsidP="00B973D9">
            <w:pPr>
              <w:spacing w:after="0" w:line="240" w:lineRule="auto"/>
            </w:pPr>
            <w:r w:rsidRPr="00D238C5">
              <w:rPr>
                <w:rFonts w:ascii="Times New Roman" w:eastAsia="Times New Roman" w:hAnsi="Times New Roman" w:cs="Times New Roman"/>
                <w:color w:val="000000"/>
                <w:kern w:val="0"/>
                <w:lang w:eastAsia="ro-MD"/>
                <w14:ligatures w14:val="none"/>
              </w:rPr>
              <w:t xml:space="preserve">Valoarea programelor informatice </w:t>
            </w:r>
            <w:r w:rsidRPr="00F3618C">
              <w:rPr>
                <w:rFonts w:ascii="Times New Roman" w:eastAsia="Times New Roman" w:hAnsi="Times New Roman" w:cs="Times New Roman"/>
                <w:kern w:val="0"/>
                <w:lang w:val="ro-RO" w:eastAsia="de-DE"/>
                <w14:ligatures w14:val="none"/>
              </w:rPr>
              <w:t xml:space="preserve">contabilizate drept </w:t>
            </w:r>
            <w:r w:rsidR="00065889" w:rsidRPr="00D238C5">
              <w:rPr>
                <w:rFonts w:ascii="Times New Roman" w:eastAsia="Times New Roman" w:hAnsi="Times New Roman" w:cs="Times New Roman"/>
                <w:kern w:val="0"/>
                <w:lang w:val="ro-RO" w:eastAsia="de-DE"/>
                <w14:ligatures w14:val="none"/>
              </w:rPr>
              <w:t>imobilizări</w:t>
            </w:r>
            <w:r w:rsidRPr="00F3618C">
              <w:rPr>
                <w:rFonts w:ascii="Times New Roman" w:eastAsia="Times New Roman" w:hAnsi="Times New Roman" w:cs="Times New Roman"/>
                <w:kern w:val="0"/>
                <w:lang w:val="ro-RO" w:eastAsia="de-DE"/>
                <w14:ligatures w14:val="none"/>
              </w:rPr>
              <w:t xml:space="preserve"> necorporale care este dedusă din elementele de fonduri proprii de nivel 1 de bază în conformitate cu </w:t>
            </w:r>
            <w:r w:rsidR="00E0688D" w:rsidRPr="00F3618C">
              <w:rPr>
                <w:rFonts w:ascii="Times New Roman" w:eastAsia="Times New Roman" w:hAnsi="Times New Roman" w:cs="Times New Roman"/>
                <w:kern w:val="0"/>
                <w:lang w:val="ro-RO" w:eastAsia="de-DE"/>
                <w14:ligatures w14:val="none"/>
              </w:rPr>
              <w:t xml:space="preserve">punctul 30 subpunctul 2) </w:t>
            </w:r>
            <w:r w:rsidR="008B0449">
              <w:rPr>
                <w:rFonts w:ascii="Times New Roman" w:eastAsia="Times New Roman" w:hAnsi="Times New Roman" w:cs="Times New Roman"/>
                <w:kern w:val="0"/>
                <w:lang w:val="ro-RO" w:eastAsia="de-DE"/>
                <w14:ligatures w14:val="none"/>
              </w:rPr>
              <w:t>și punctul 37</w:t>
            </w:r>
            <w:r w:rsidR="008B0449" w:rsidRPr="00D238C5">
              <w:rPr>
                <w:rFonts w:ascii="Times New Roman" w:eastAsia="Times New Roman" w:hAnsi="Times New Roman" w:cs="Times New Roman"/>
                <w:kern w:val="0"/>
                <w:vertAlign w:val="superscript"/>
                <w:lang w:val="ro-RO" w:eastAsia="de-DE"/>
                <w14:ligatures w14:val="none"/>
              </w:rPr>
              <w:t>1</w:t>
            </w:r>
            <w:r w:rsidR="008B0449">
              <w:rPr>
                <w:rFonts w:ascii="Times New Roman" w:eastAsia="Times New Roman" w:hAnsi="Times New Roman" w:cs="Times New Roman"/>
                <w:kern w:val="0"/>
                <w:lang w:val="ro-RO" w:eastAsia="de-DE"/>
                <w14:ligatures w14:val="none"/>
              </w:rPr>
              <w:t xml:space="preserve"> </w:t>
            </w:r>
            <w:r w:rsidR="00E0688D" w:rsidRPr="00F3618C">
              <w:rPr>
                <w:rFonts w:ascii="Times New Roman" w:eastAsia="Times New Roman" w:hAnsi="Times New Roman" w:cs="Times New Roman"/>
                <w:kern w:val="0"/>
                <w:lang w:val="ro-RO" w:eastAsia="de-DE"/>
                <w14:ligatures w14:val="none"/>
              </w:rPr>
              <w:t>din Regulamentul nr.109/</w:t>
            </w:r>
            <w:r w:rsidR="008B0449">
              <w:rPr>
                <w:rFonts w:ascii="Times New Roman" w:eastAsia="Times New Roman" w:hAnsi="Times New Roman" w:cs="Times New Roman"/>
                <w:kern w:val="0"/>
                <w:lang w:val="ro-RO" w:eastAsia="de-DE"/>
                <w14:ligatures w14:val="none"/>
              </w:rPr>
              <w:t>2018</w:t>
            </w:r>
            <w:r w:rsidRPr="00F3618C">
              <w:rPr>
                <w:rFonts w:ascii="Times New Roman" w:eastAsia="Times New Roman" w:hAnsi="Times New Roman" w:cs="Times New Roman"/>
                <w:kern w:val="0"/>
                <w:lang w:val="ro-RO" w:eastAsia="de-DE"/>
                <w14:ligatures w14:val="none"/>
              </w:rPr>
              <w:t>. Cuantumul raportat nu ia în considerare efectele legate de aplicarea tratamentului stabilit la</w:t>
            </w:r>
            <w:r w:rsidR="00F3618C" w:rsidRPr="00F3618C">
              <w:rPr>
                <w:rFonts w:ascii="Times New Roman" w:eastAsia="Times New Roman" w:hAnsi="Times New Roman" w:cs="Times New Roman"/>
                <w:kern w:val="0"/>
                <w:lang w:val="ro-RO" w:eastAsia="de-DE"/>
                <w14:ligatures w14:val="none"/>
              </w:rPr>
              <w:t xml:space="preserve"> punctul </w:t>
            </w:r>
            <w:r w:rsidRPr="00F3618C">
              <w:rPr>
                <w:rFonts w:ascii="Times New Roman" w:eastAsia="Times New Roman" w:hAnsi="Times New Roman" w:cs="Times New Roman"/>
                <w:kern w:val="0"/>
                <w:lang w:val="ro-RO" w:eastAsia="de-DE"/>
                <w14:ligatures w14:val="none"/>
              </w:rPr>
              <w:t xml:space="preserve">37 </w:t>
            </w:r>
            <w:r w:rsidR="00F3618C" w:rsidRPr="00F3618C">
              <w:rPr>
                <w:rFonts w:ascii="Times New Roman" w:eastAsia="Times New Roman" w:hAnsi="Times New Roman" w:cs="Times New Roman"/>
                <w:kern w:val="0"/>
                <w:lang w:val="ro-RO" w:eastAsia="de-DE"/>
                <w14:ligatures w14:val="none"/>
              </w:rPr>
              <w:t>subpunctul 1</w:t>
            </w:r>
            <w:r w:rsidRPr="00F3618C">
              <w:rPr>
                <w:rFonts w:ascii="Times New Roman" w:eastAsia="Times New Roman" w:hAnsi="Times New Roman" w:cs="Times New Roman"/>
                <w:kern w:val="0"/>
                <w:lang w:val="ro-RO" w:eastAsia="de-DE"/>
                <w14:ligatures w14:val="none"/>
              </w:rPr>
              <w:t>) din Regulamentul nr. </w:t>
            </w:r>
            <w:r w:rsidR="00F3618C" w:rsidRPr="00F3618C">
              <w:rPr>
                <w:rFonts w:ascii="Times New Roman" w:eastAsia="Times New Roman" w:hAnsi="Times New Roman" w:cs="Times New Roman"/>
                <w:kern w:val="0"/>
                <w:lang w:val="ro-RO" w:eastAsia="de-DE"/>
                <w14:ligatures w14:val="none"/>
              </w:rPr>
              <w:t>109</w:t>
            </w:r>
            <w:r w:rsidRPr="00F3618C">
              <w:rPr>
                <w:rFonts w:ascii="Times New Roman" w:eastAsia="Times New Roman" w:hAnsi="Times New Roman" w:cs="Times New Roman"/>
                <w:kern w:val="0"/>
                <w:lang w:val="ro-RO" w:eastAsia="de-DE"/>
                <w14:ligatures w14:val="none"/>
              </w:rPr>
              <w:t>/201</w:t>
            </w:r>
            <w:r w:rsidR="00F3618C" w:rsidRPr="00F3618C">
              <w:rPr>
                <w:rFonts w:ascii="Times New Roman" w:eastAsia="Times New Roman" w:hAnsi="Times New Roman" w:cs="Times New Roman"/>
                <w:kern w:val="0"/>
                <w:lang w:val="ro-RO" w:eastAsia="de-DE"/>
                <w14:ligatures w14:val="none"/>
              </w:rPr>
              <w:t>8</w:t>
            </w:r>
            <w:r w:rsidRPr="00F3618C">
              <w:rPr>
                <w:rFonts w:ascii="Times New Roman" w:eastAsia="Times New Roman" w:hAnsi="Times New Roman" w:cs="Times New Roman"/>
                <w:kern w:val="0"/>
                <w:lang w:val="ro-RO" w:eastAsia="de-DE"/>
                <w14:ligatures w14:val="none"/>
              </w:rPr>
              <w:t>, în ceea ce privește datoriile privind impozitul amânat asociate respectivelor programe informatice.</w:t>
            </w:r>
          </w:p>
          <w:p w14:paraId="415E07FB" w14:textId="09A06F46" w:rsidR="00D448C0" w:rsidRPr="00F3618C"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D238C5">
              <w:rPr>
                <w:rFonts w:ascii="Times New Roman" w:eastAsia="Times New Roman" w:hAnsi="Times New Roman" w:cs="Times New Roman"/>
                <w:kern w:val="0"/>
                <w:lang w:val="ro-RO" w:eastAsia="de-DE"/>
                <w14:ligatures w14:val="none"/>
              </w:rPr>
              <w:t xml:space="preserve">În cazul în care o </w:t>
            </w:r>
            <w:r w:rsidR="00B93B72">
              <w:rPr>
                <w:rFonts w:ascii="Times New Roman" w:eastAsia="Times New Roman" w:hAnsi="Times New Roman" w:cs="Times New Roman"/>
                <w:kern w:val="0"/>
                <w:lang w:val="ro-RO" w:eastAsia="de-DE"/>
                <w14:ligatures w14:val="none"/>
              </w:rPr>
              <w:t>bancă</w:t>
            </w:r>
            <w:r w:rsidRPr="00D238C5">
              <w:rPr>
                <w:rFonts w:ascii="Times New Roman" w:eastAsia="Times New Roman" w:hAnsi="Times New Roman" w:cs="Times New Roman"/>
                <w:kern w:val="0"/>
                <w:lang w:val="ro-RO" w:eastAsia="de-DE"/>
                <w14:ligatures w14:val="none"/>
              </w:rPr>
              <w:t xml:space="preserve"> decide să își deducă integral programele informatice în</w:t>
            </w:r>
            <w:r w:rsidRPr="000E1E91">
              <w:rPr>
                <w:rFonts w:ascii="Times New Roman" w:eastAsia="Times New Roman" w:hAnsi="Times New Roman" w:cs="Times New Roman"/>
                <w:color w:val="000000"/>
                <w:kern w:val="0"/>
                <w:lang w:eastAsia="ro-MD"/>
                <w14:ligatures w14:val="none"/>
              </w:rPr>
              <w:t xml:space="preserve"> conformitate </w:t>
            </w:r>
            <w:r w:rsidRPr="008B0449">
              <w:rPr>
                <w:rFonts w:ascii="Times New Roman" w:eastAsia="Times New Roman" w:hAnsi="Times New Roman" w:cs="Times New Roman"/>
                <w:color w:val="000000"/>
                <w:kern w:val="0"/>
                <w:lang w:eastAsia="ro-MD"/>
                <w14:ligatures w14:val="none"/>
              </w:rPr>
              <w:t xml:space="preserve">cu </w:t>
            </w:r>
            <w:r w:rsidR="00B93B72" w:rsidRPr="008B0449">
              <w:rPr>
                <w:rFonts w:ascii="Times New Roman" w:eastAsia="Times New Roman" w:hAnsi="Times New Roman" w:cs="Times New Roman"/>
                <w:color w:val="000000"/>
                <w:kern w:val="0"/>
                <w:lang w:eastAsia="ro-MD"/>
                <w14:ligatures w14:val="none"/>
              </w:rPr>
              <w:t xml:space="preserve">punctul </w:t>
            </w:r>
            <w:r w:rsidRPr="008B0449">
              <w:rPr>
                <w:rFonts w:ascii="Times New Roman" w:eastAsia="Times New Roman" w:hAnsi="Times New Roman" w:cs="Times New Roman"/>
                <w:color w:val="000000"/>
                <w:kern w:val="0"/>
                <w:lang w:eastAsia="ro-MD"/>
                <w14:ligatures w14:val="none"/>
              </w:rPr>
              <w:t>3 din Regulamentul </w:t>
            </w:r>
            <w:r w:rsidR="00B93B72" w:rsidRPr="008B0449">
              <w:rPr>
                <w:rFonts w:ascii="Times New Roman" w:eastAsia="Times New Roman" w:hAnsi="Times New Roman" w:cs="Times New Roman"/>
                <w:color w:val="000000"/>
                <w:kern w:val="0"/>
                <w:lang w:eastAsia="ro-MD"/>
                <w14:ligatures w14:val="none"/>
              </w:rPr>
              <w:t>menționat</w:t>
            </w:r>
            <w:r w:rsidRPr="008B0449">
              <w:rPr>
                <w:rFonts w:ascii="Times New Roman" w:eastAsia="Times New Roman" w:hAnsi="Times New Roman" w:cs="Times New Roman"/>
                <w:color w:val="000000"/>
                <w:kern w:val="0"/>
                <w:lang w:eastAsia="ro-MD"/>
                <w14:ligatures w14:val="none"/>
              </w:rPr>
              <w:t xml:space="preserve">, în loc să aplice tratamentul prevăzut la </w:t>
            </w:r>
            <w:r w:rsidR="008B0449" w:rsidRPr="008B0449">
              <w:rPr>
                <w:rFonts w:ascii="Times New Roman" w:eastAsia="Times New Roman" w:hAnsi="Times New Roman" w:cs="Times New Roman"/>
                <w:kern w:val="0"/>
                <w:lang w:val="ro-RO" w:eastAsia="de-DE"/>
                <w14:ligatures w14:val="none"/>
              </w:rPr>
              <w:t>pu</w:t>
            </w:r>
            <w:r w:rsidR="008B0449">
              <w:rPr>
                <w:rFonts w:ascii="Times New Roman" w:eastAsia="Times New Roman" w:hAnsi="Times New Roman" w:cs="Times New Roman"/>
                <w:kern w:val="0"/>
                <w:lang w:val="ro-RO" w:eastAsia="de-DE"/>
                <w14:ligatures w14:val="none"/>
              </w:rPr>
              <w:t>nctul 37</w:t>
            </w:r>
            <w:r w:rsidR="008B0449" w:rsidRPr="00352FA2">
              <w:rPr>
                <w:rFonts w:ascii="Times New Roman" w:eastAsia="Times New Roman" w:hAnsi="Times New Roman" w:cs="Times New Roman"/>
                <w:kern w:val="0"/>
                <w:vertAlign w:val="superscript"/>
                <w:lang w:val="ro-RO" w:eastAsia="de-DE"/>
                <w14:ligatures w14:val="none"/>
              </w:rPr>
              <w:t>1</w:t>
            </w:r>
            <w:r w:rsidR="008B0449">
              <w:rPr>
                <w:rFonts w:ascii="Times New Roman" w:eastAsia="Times New Roman" w:hAnsi="Times New Roman" w:cs="Times New Roman"/>
                <w:kern w:val="0"/>
                <w:lang w:val="ro-RO" w:eastAsia="de-DE"/>
                <w14:ligatures w14:val="none"/>
              </w:rPr>
              <w:t xml:space="preserve"> </w:t>
            </w:r>
            <w:r w:rsidR="008B0449" w:rsidRPr="00F3618C">
              <w:rPr>
                <w:rFonts w:ascii="Times New Roman" w:eastAsia="Times New Roman" w:hAnsi="Times New Roman" w:cs="Times New Roman"/>
                <w:kern w:val="0"/>
                <w:lang w:val="ro-RO" w:eastAsia="de-DE"/>
                <w14:ligatures w14:val="none"/>
              </w:rPr>
              <w:t>din Regulamentul nr.109/</w:t>
            </w:r>
            <w:r w:rsidR="008B0449">
              <w:rPr>
                <w:rFonts w:ascii="Times New Roman" w:eastAsia="Times New Roman" w:hAnsi="Times New Roman" w:cs="Times New Roman"/>
                <w:kern w:val="0"/>
                <w:lang w:val="ro-RO" w:eastAsia="de-DE"/>
                <w14:ligatures w14:val="none"/>
              </w:rPr>
              <w:t>2018</w:t>
            </w:r>
            <w:r w:rsidRPr="000E1E91">
              <w:rPr>
                <w:rFonts w:ascii="Times New Roman" w:eastAsia="Times New Roman" w:hAnsi="Times New Roman" w:cs="Times New Roman"/>
                <w:color w:val="000000"/>
                <w:kern w:val="0"/>
                <w:lang w:eastAsia="ro-MD"/>
                <w14:ligatures w14:val="none"/>
              </w:rPr>
              <w:t xml:space="preserve">, cuantumul raportat pe acest rând corespunde valorii programelor informatice contabilizate drept </w:t>
            </w:r>
            <w:r w:rsidR="00065889" w:rsidRPr="000E1E91">
              <w:rPr>
                <w:rFonts w:ascii="Times New Roman" w:eastAsia="Times New Roman" w:hAnsi="Times New Roman" w:cs="Times New Roman"/>
                <w:color w:val="000000"/>
                <w:kern w:val="0"/>
                <w:lang w:eastAsia="ro-MD"/>
                <w14:ligatures w14:val="none"/>
              </w:rPr>
              <w:t>imobilizări</w:t>
            </w:r>
            <w:r w:rsidRPr="000E1E91">
              <w:rPr>
                <w:rFonts w:ascii="Times New Roman" w:eastAsia="Times New Roman" w:hAnsi="Times New Roman" w:cs="Times New Roman"/>
                <w:color w:val="000000"/>
                <w:kern w:val="0"/>
                <w:lang w:eastAsia="ro-MD"/>
                <w14:ligatures w14:val="none"/>
              </w:rPr>
              <w:t xml:space="preserve"> necorporale în conformitate cu standardul contabil aplicabil.</w:t>
            </w:r>
          </w:p>
        </w:tc>
        <w:tc>
          <w:tcPr>
            <w:tcW w:w="452" w:type="pct"/>
          </w:tcPr>
          <w:p w14:paraId="23179539" w14:textId="0B728DB7" w:rsidR="00D448C0" w:rsidRPr="00320EFF" w:rsidRDefault="00D448C0" w:rsidP="00B973D9">
            <w:pPr>
              <w:spacing w:after="0" w:line="240" w:lineRule="auto"/>
              <w:jc w:val="center"/>
              <w:rPr>
                <w:rFonts w:ascii="Times New Roman" w:eastAsia="Times New Roman" w:hAnsi="Times New Roman" w:cs="Times New Roman"/>
                <w:color w:val="000000"/>
                <w:kern w:val="0"/>
                <w:highlight w:val="yellow"/>
                <w:lang w:eastAsia="ro-MD"/>
                <w14:ligatures w14:val="none"/>
              </w:rPr>
            </w:pPr>
          </w:p>
        </w:tc>
      </w:tr>
      <w:tr w:rsidR="00D448C0" w:rsidRPr="00260C32" w14:paraId="57D44895" w14:textId="5AC46879" w:rsidTr="00D448C0">
        <w:trPr>
          <w:tblCellSpacing w:w="0" w:type="dxa"/>
        </w:trPr>
        <w:tc>
          <w:tcPr>
            <w:tcW w:w="260" w:type="pct"/>
            <w:hideMark/>
          </w:tcPr>
          <w:p w14:paraId="6992876F"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0360</w:t>
            </w:r>
          </w:p>
        </w:tc>
        <w:tc>
          <w:tcPr>
            <w:tcW w:w="4288" w:type="pct"/>
            <w:hideMark/>
          </w:tcPr>
          <w:p w14:paraId="35629660" w14:textId="0CA8584A"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 xml:space="preserve">1.1.1.11.2. Datoriile privind impozitul amânat asociate altor </w:t>
            </w:r>
            <w:r w:rsidR="00065889" w:rsidRPr="00212C16">
              <w:rPr>
                <w:rFonts w:ascii="Times New Roman" w:eastAsia="Times New Roman" w:hAnsi="Times New Roman" w:cs="Times New Roman"/>
                <w:b/>
                <w:bCs/>
                <w:color w:val="000000"/>
                <w:kern w:val="0"/>
                <w:lang w:eastAsia="ro-MD"/>
                <w14:ligatures w14:val="none"/>
              </w:rPr>
              <w:t>imobilizări</w:t>
            </w:r>
            <w:r w:rsidRPr="00212C16">
              <w:rPr>
                <w:rFonts w:ascii="Times New Roman" w:eastAsia="Times New Roman" w:hAnsi="Times New Roman" w:cs="Times New Roman"/>
                <w:b/>
                <w:bCs/>
                <w:color w:val="000000"/>
                <w:kern w:val="0"/>
                <w:lang w:eastAsia="ro-MD"/>
                <w14:ligatures w14:val="none"/>
              </w:rPr>
              <w:t xml:space="preserve"> necorporale</w:t>
            </w:r>
          </w:p>
          <w:p w14:paraId="1E22FFA5" w14:textId="4EE77060" w:rsidR="00D448C0" w:rsidRPr="00653298" w:rsidRDefault="00D448C0" w:rsidP="00B973D9">
            <w:pPr>
              <w:spacing w:after="0" w:line="240" w:lineRule="auto"/>
              <w:rPr>
                <w:rFonts w:ascii="Times New Roman" w:hAnsi="Times New Roman" w:cs="Times New Roman"/>
              </w:rPr>
            </w:pPr>
            <w:r w:rsidRPr="00653298">
              <w:rPr>
                <w:rFonts w:ascii="Times New Roman" w:hAnsi="Times New Roman" w:cs="Times New Roman"/>
              </w:rPr>
              <w:t>Punctul 3</w:t>
            </w:r>
            <w:r>
              <w:rPr>
                <w:rFonts w:ascii="Times New Roman" w:hAnsi="Times New Roman" w:cs="Times New Roman"/>
              </w:rPr>
              <w:t>7</w:t>
            </w:r>
            <w:r w:rsidRPr="00653298">
              <w:rPr>
                <w:rFonts w:ascii="Times New Roman" w:hAnsi="Times New Roman" w:cs="Times New Roman"/>
              </w:rPr>
              <w:t xml:space="preserve"> subpunctul </w:t>
            </w:r>
            <w:r>
              <w:rPr>
                <w:rFonts w:ascii="Times New Roman" w:hAnsi="Times New Roman" w:cs="Times New Roman"/>
              </w:rPr>
              <w:t>1</w:t>
            </w:r>
            <w:r w:rsidRPr="00653298">
              <w:rPr>
                <w:rFonts w:ascii="Times New Roman" w:hAnsi="Times New Roman" w:cs="Times New Roman"/>
              </w:rPr>
              <w:t xml:space="preserve">) din </w:t>
            </w:r>
            <w:r>
              <w:rPr>
                <w:rFonts w:ascii="Times New Roman" w:hAnsi="Times New Roman" w:cs="Times New Roman"/>
              </w:rPr>
              <w:t>Regulamentul nr.109/2018</w:t>
            </w:r>
            <w:r w:rsidRPr="00653298">
              <w:rPr>
                <w:rFonts w:ascii="Times New Roman" w:hAnsi="Times New Roman" w:cs="Times New Roman"/>
              </w:rPr>
              <w:t>.</w:t>
            </w:r>
          </w:p>
          <w:p w14:paraId="1A26A6A8" w14:textId="1BAE3A7D"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Cuantumul datoriilor privind impozitul amânat care s-ar stinge în cazul în care </w:t>
            </w:r>
            <w:r w:rsidR="00065889">
              <w:rPr>
                <w:rFonts w:ascii="Times New Roman" w:eastAsia="Times New Roman" w:hAnsi="Times New Roman" w:cs="Times New Roman"/>
                <w:color w:val="000000"/>
                <w:kern w:val="0"/>
                <w:lang w:eastAsia="ro-MD"/>
                <w14:ligatures w14:val="none"/>
              </w:rPr>
              <w:t>imobilizările</w:t>
            </w:r>
            <w:r w:rsidR="00065889" w:rsidRPr="00260C32" w:rsidDel="00065889">
              <w:rPr>
                <w:rFonts w:ascii="Times New Roman" w:eastAsia="Times New Roman" w:hAnsi="Times New Roman" w:cs="Times New Roman"/>
                <w:color w:val="000000"/>
                <w:kern w:val="0"/>
                <w:lang w:eastAsia="ro-MD"/>
                <w14:ligatures w14:val="none"/>
              </w:rPr>
              <w:t xml:space="preserve"> </w:t>
            </w:r>
            <w:r w:rsidRPr="00260C32">
              <w:rPr>
                <w:rFonts w:ascii="Times New Roman" w:eastAsia="Times New Roman" w:hAnsi="Times New Roman" w:cs="Times New Roman"/>
                <w:color w:val="000000"/>
                <w:kern w:val="0"/>
                <w:lang w:eastAsia="ro-MD"/>
                <w14:ligatures w14:val="none"/>
              </w:rPr>
              <w:t>necorporale, altele decât fondul comercial</w:t>
            </w:r>
            <w:r w:rsidRPr="00EA59DC">
              <w:rPr>
                <w:rFonts w:ascii="Times New Roman" w:eastAsia="Times New Roman" w:hAnsi="Times New Roman" w:cs="Times New Roman"/>
                <w:color w:val="000000"/>
                <w:kern w:val="0"/>
                <w:lang w:eastAsia="ro-MD"/>
                <w14:ligatures w14:val="none"/>
              </w:rPr>
              <w:t xml:space="preserve">, </w:t>
            </w:r>
            <w:r w:rsidR="00F474F5" w:rsidRPr="00EA59DC">
              <w:rPr>
                <w:rFonts w:ascii="Times New Roman" w:eastAsia="Times New Roman" w:hAnsi="Times New Roman" w:cs="Times New Roman"/>
                <w:color w:val="000000"/>
                <w:kern w:val="0"/>
                <w:lang w:eastAsia="ro-MD"/>
                <w14:ligatures w14:val="none"/>
              </w:rPr>
              <w:t xml:space="preserve">și programele informatice evaluate în mod prudent exceptate de la deducerea din elementele de fonduri proprii de nivel 1 de bază în conformitate cu </w:t>
            </w:r>
            <w:r w:rsidR="00F474F5" w:rsidRPr="00EA59DC">
              <w:rPr>
                <w:rFonts w:ascii="Times New Roman" w:eastAsia="Times New Roman" w:hAnsi="Times New Roman" w:cs="Times New Roman"/>
                <w:kern w:val="0"/>
                <w:lang w:val="ro-RO" w:eastAsia="de-DE"/>
                <w14:ligatures w14:val="none"/>
              </w:rPr>
              <w:t>punctul 37</w:t>
            </w:r>
            <w:r w:rsidR="00F474F5" w:rsidRPr="00EA59DC">
              <w:rPr>
                <w:rFonts w:ascii="Times New Roman" w:eastAsia="Times New Roman" w:hAnsi="Times New Roman" w:cs="Times New Roman"/>
                <w:kern w:val="0"/>
                <w:vertAlign w:val="superscript"/>
                <w:lang w:val="ro-RO" w:eastAsia="de-DE"/>
                <w14:ligatures w14:val="none"/>
              </w:rPr>
              <w:t>1</w:t>
            </w:r>
            <w:r w:rsidR="00F474F5" w:rsidRPr="00EA59DC">
              <w:rPr>
                <w:rFonts w:ascii="Times New Roman" w:eastAsia="Times New Roman" w:hAnsi="Times New Roman" w:cs="Times New Roman"/>
                <w:kern w:val="0"/>
                <w:lang w:val="ro-RO" w:eastAsia="de-DE"/>
                <w14:ligatures w14:val="none"/>
              </w:rPr>
              <w:t xml:space="preserve"> din Regulamentul</w:t>
            </w:r>
            <w:r w:rsidR="00F474F5" w:rsidRPr="00331BB9">
              <w:rPr>
                <w:rFonts w:ascii="Times New Roman" w:eastAsia="Times New Roman" w:hAnsi="Times New Roman" w:cs="Times New Roman"/>
                <w:kern w:val="0"/>
                <w:lang w:val="ro-RO" w:eastAsia="de-DE"/>
                <w14:ligatures w14:val="none"/>
              </w:rPr>
              <w:t xml:space="preserve"> nr.109/2018,</w:t>
            </w:r>
            <w:r w:rsidR="00F474F5">
              <w:rPr>
                <w:rFonts w:ascii="Times New Roman" w:eastAsia="Times New Roman" w:hAnsi="Times New Roman" w:cs="Times New Roman"/>
                <w:kern w:val="0"/>
                <w:lang w:val="ro-RO" w:eastAsia="de-DE"/>
                <w14:ligatures w14:val="none"/>
              </w:rPr>
              <w:t xml:space="preserve"> </w:t>
            </w:r>
            <w:r w:rsidRPr="00260C32">
              <w:rPr>
                <w:rFonts w:ascii="Times New Roman" w:eastAsia="Times New Roman" w:hAnsi="Times New Roman" w:cs="Times New Roman"/>
                <w:color w:val="000000"/>
                <w:kern w:val="0"/>
                <w:lang w:eastAsia="ro-MD"/>
                <w14:ligatures w14:val="none"/>
              </w:rPr>
              <w:t xml:space="preserve">s-ar deprecia sau ar fi </w:t>
            </w:r>
            <w:proofErr w:type="spellStart"/>
            <w:r w:rsidRPr="00260C32">
              <w:rPr>
                <w:rFonts w:ascii="Times New Roman" w:eastAsia="Times New Roman" w:hAnsi="Times New Roman" w:cs="Times New Roman"/>
                <w:color w:val="000000"/>
                <w:kern w:val="0"/>
                <w:lang w:eastAsia="ro-MD"/>
                <w14:ligatures w14:val="none"/>
              </w:rPr>
              <w:t>derecunoscute</w:t>
            </w:r>
            <w:proofErr w:type="spellEnd"/>
            <w:r w:rsidRPr="00260C32">
              <w:rPr>
                <w:rFonts w:ascii="Times New Roman" w:eastAsia="Times New Roman" w:hAnsi="Times New Roman" w:cs="Times New Roman"/>
                <w:color w:val="000000"/>
                <w:kern w:val="0"/>
                <w:lang w:eastAsia="ro-MD"/>
                <w14:ligatures w14:val="none"/>
              </w:rPr>
              <w:t xml:space="preserve"> în conformitate cu standardul contabil relevant.</w:t>
            </w:r>
          </w:p>
        </w:tc>
        <w:tc>
          <w:tcPr>
            <w:tcW w:w="452" w:type="pct"/>
          </w:tcPr>
          <w:p w14:paraId="3BE8CFB6"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712F4D55" w14:textId="6D754637" w:rsidTr="00D448C0">
        <w:trPr>
          <w:tblCellSpacing w:w="0" w:type="dxa"/>
        </w:trPr>
        <w:tc>
          <w:tcPr>
            <w:tcW w:w="260" w:type="pct"/>
          </w:tcPr>
          <w:p w14:paraId="7123C126" w14:textId="76041A03"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0362</w:t>
            </w:r>
          </w:p>
        </w:tc>
        <w:tc>
          <w:tcPr>
            <w:tcW w:w="4288" w:type="pct"/>
          </w:tcPr>
          <w:p w14:paraId="09C7BDF4" w14:textId="1A0F2451"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 xml:space="preserve">1.1.1.11.2.1. Din care: Datorii privind impozitul amânat asociate programelor informatice contabilizate drept </w:t>
            </w:r>
            <w:r w:rsidR="00065889" w:rsidRPr="00212C16">
              <w:rPr>
                <w:rFonts w:ascii="Times New Roman" w:eastAsia="Times New Roman" w:hAnsi="Times New Roman" w:cs="Times New Roman"/>
                <w:b/>
                <w:bCs/>
                <w:color w:val="000000"/>
                <w:kern w:val="0"/>
                <w:lang w:eastAsia="ro-MD"/>
                <w14:ligatures w14:val="none"/>
              </w:rPr>
              <w:t>imobilizări</w:t>
            </w:r>
            <w:r w:rsidRPr="00212C16">
              <w:rPr>
                <w:rFonts w:ascii="Times New Roman" w:eastAsia="Times New Roman" w:hAnsi="Times New Roman" w:cs="Times New Roman"/>
                <w:b/>
                <w:bCs/>
                <w:color w:val="000000"/>
                <w:kern w:val="0"/>
                <w:lang w:eastAsia="ro-MD"/>
                <w14:ligatures w14:val="none"/>
              </w:rPr>
              <w:t xml:space="preserve"> necorporale</w:t>
            </w:r>
          </w:p>
          <w:p w14:paraId="63D0817F" w14:textId="77777777" w:rsidR="00D448C0" w:rsidRPr="000E1E91" w:rsidRDefault="00D448C0" w:rsidP="00B973D9">
            <w:pPr>
              <w:spacing w:after="0" w:line="240" w:lineRule="auto"/>
              <w:rPr>
                <w:rFonts w:ascii="Times New Roman" w:hAnsi="Times New Roman" w:cs="Times New Roman"/>
              </w:rPr>
            </w:pPr>
            <w:r w:rsidRPr="000E1E91">
              <w:rPr>
                <w:rFonts w:ascii="Times New Roman" w:hAnsi="Times New Roman" w:cs="Times New Roman"/>
              </w:rPr>
              <w:t>Punctul 37 subpunctul 1) din Regulamentul nr.109/2018.</w:t>
            </w:r>
          </w:p>
          <w:p w14:paraId="03B5D169" w14:textId="1A61E257" w:rsidR="00D448C0" w:rsidRPr="00B93B7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0E1E91">
              <w:rPr>
                <w:rFonts w:ascii="Times New Roman" w:eastAsia="Times New Roman" w:hAnsi="Times New Roman" w:cs="Times New Roman"/>
                <w:color w:val="000000"/>
                <w:kern w:val="0"/>
                <w:lang w:eastAsia="ro-MD"/>
                <w14:ligatures w14:val="none"/>
              </w:rPr>
              <w:t xml:space="preserve">Acea parte din datoriile privind impozitul amânat care este asociată cu valoarea programelor informatice contabilizate drept </w:t>
            </w:r>
            <w:r w:rsidR="00065889" w:rsidRPr="000E1E91">
              <w:rPr>
                <w:rFonts w:ascii="Times New Roman" w:eastAsia="Times New Roman" w:hAnsi="Times New Roman" w:cs="Times New Roman"/>
                <w:color w:val="000000"/>
                <w:kern w:val="0"/>
                <w:lang w:eastAsia="ro-MD"/>
                <w14:ligatures w14:val="none"/>
              </w:rPr>
              <w:t>imobilizări</w:t>
            </w:r>
            <w:r w:rsidRPr="000E1E91">
              <w:rPr>
                <w:rFonts w:ascii="Times New Roman" w:eastAsia="Times New Roman" w:hAnsi="Times New Roman" w:cs="Times New Roman"/>
                <w:color w:val="000000"/>
                <w:kern w:val="0"/>
                <w:lang w:eastAsia="ro-MD"/>
                <w14:ligatures w14:val="none"/>
              </w:rPr>
              <w:t xml:space="preserve"> necorporale care este dedusă din elementele de fonduri proprii de nivel 1 de bază în conformitate cu punctul</w:t>
            </w:r>
            <w:r w:rsidRPr="000E1E91">
              <w:rPr>
                <w:rFonts w:ascii="Times New Roman" w:hAnsi="Times New Roman" w:cs="Times New Roman"/>
              </w:rPr>
              <w:t xml:space="preserve"> 30 subpunctul 1) </w:t>
            </w:r>
            <w:r w:rsidR="008B0449">
              <w:rPr>
                <w:rFonts w:ascii="Times New Roman" w:hAnsi="Times New Roman" w:cs="Times New Roman"/>
              </w:rPr>
              <w:t xml:space="preserve">și </w:t>
            </w:r>
            <w:r w:rsidR="008B0449">
              <w:rPr>
                <w:rFonts w:ascii="Times New Roman" w:eastAsia="Times New Roman" w:hAnsi="Times New Roman" w:cs="Times New Roman"/>
                <w:kern w:val="0"/>
                <w:lang w:val="ro-RO" w:eastAsia="de-DE"/>
                <w14:ligatures w14:val="none"/>
              </w:rPr>
              <w:t>punctul 37</w:t>
            </w:r>
            <w:r w:rsidR="008B0449" w:rsidRPr="00352FA2">
              <w:rPr>
                <w:rFonts w:ascii="Times New Roman" w:eastAsia="Times New Roman" w:hAnsi="Times New Roman" w:cs="Times New Roman"/>
                <w:kern w:val="0"/>
                <w:vertAlign w:val="superscript"/>
                <w:lang w:val="ro-RO" w:eastAsia="de-DE"/>
                <w14:ligatures w14:val="none"/>
              </w:rPr>
              <w:t>1</w:t>
            </w:r>
            <w:r w:rsidR="008B0449">
              <w:rPr>
                <w:rFonts w:ascii="Times New Roman" w:eastAsia="Times New Roman" w:hAnsi="Times New Roman" w:cs="Times New Roman"/>
                <w:kern w:val="0"/>
                <w:lang w:val="ro-RO" w:eastAsia="de-DE"/>
                <w14:ligatures w14:val="none"/>
              </w:rPr>
              <w:t xml:space="preserve"> </w:t>
            </w:r>
            <w:r w:rsidR="008B0449" w:rsidRPr="00F3618C">
              <w:rPr>
                <w:rFonts w:ascii="Times New Roman" w:eastAsia="Times New Roman" w:hAnsi="Times New Roman" w:cs="Times New Roman"/>
                <w:kern w:val="0"/>
                <w:lang w:val="ro-RO" w:eastAsia="de-DE"/>
                <w14:ligatures w14:val="none"/>
              </w:rPr>
              <w:t>din Regulamentul nr.109/</w:t>
            </w:r>
            <w:r w:rsidR="008B0449" w:rsidRPr="008B0449">
              <w:rPr>
                <w:rFonts w:ascii="Times New Roman" w:eastAsia="Times New Roman" w:hAnsi="Times New Roman" w:cs="Times New Roman"/>
                <w:kern w:val="0"/>
                <w:lang w:val="ro-RO" w:eastAsia="de-DE"/>
                <w14:ligatures w14:val="none"/>
              </w:rPr>
              <w:t>2018</w:t>
            </w:r>
            <w:r w:rsidRPr="008B0449">
              <w:rPr>
                <w:rFonts w:ascii="Times New Roman" w:eastAsia="Times New Roman" w:hAnsi="Times New Roman" w:cs="Times New Roman"/>
                <w:color w:val="000000"/>
                <w:kern w:val="0"/>
                <w:lang w:eastAsia="ro-MD"/>
                <w14:ligatures w14:val="none"/>
              </w:rPr>
              <w:t xml:space="preserve"> sau cu punctul</w:t>
            </w:r>
            <w:r w:rsidRPr="000E1E91">
              <w:rPr>
                <w:rFonts w:ascii="Times New Roman" w:eastAsia="Times New Roman" w:hAnsi="Times New Roman" w:cs="Times New Roman"/>
                <w:color w:val="000000"/>
                <w:kern w:val="0"/>
                <w:lang w:eastAsia="ro-MD"/>
                <w14:ligatures w14:val="none"/>
              </w:rPr>
              <w:t xml:space="preserve"> 3 din </w:t>
            </w:r>
            <w:r w:rsidRPr="000E1E91">
              <w:rPr>
                <w:rFonts w:ascii="Times New Roman" w:hAnsi="Times New Roman" w:cs="Times New Roman"/>
              </w:rPr>
              <w:t>Regulamentul nr.109/2018</w:t>
            </w:r>
            <w:r w:rsidRPr="000E1E91">
              <w:rPr>
                <w:rFonts w:ascii="Times New Roman" w:eastAsia="Times New Roman" w:hAnsi="Times New Roman" w:cs="Times New Roman"/>
                <w:color w:val="000000"/>
                <w:kern w:val="0"/>
                <w:lang w:eastAsia="ro-MD"/>
                <w14:ligatures w14:val="none"/>
              </w:rPr>
              <w:t>.</w:t>
            </w:r>
          </w:p>
        </w:tc>
        <w:tc>
          <w:tcPr>
            <w:tcW w:w="452" w:type="pct"/>
          </w:tcPr>
          <w:p w14:paraId="4713A8A9" w14:textId="53D33F4B" w:rsidR="00D448C0" w:rsidRPr="00BF78EA" w:rsidRDefault="00D448C0" w:rsidP="00B973D9">
            <w:pPr>
              <w:spacing w:after="0" w:line="240" w:lineRule="auto"/>
              <w:jc w:val="center"/>
              <w:rPr>
                <w:rFonts w:ascii="Times New Roman" w:eastAsia="Times New Roman" w:hAnsi="Times New Roman" w:cs="Times New Roman"/>
                <w:color w:val="000000"/>
                <w:kern w:val="0"/>
                <w:highlight w:val="yellow"/>
                <w:lang w:eastAsia="ro-MD"/>
                <w14:ligatures w14:val="none"/>
              </w:rPr>
            </w:pPr>
          </w:p>
        </w:tc>
      </w:tr>
      <w:tr w:rsidR="00D448C0" w:rsidRPr="00260C32" w14:paraId="08516ECD" w14:textId="583A3ED3" w:rsidTr="00D448C0">
        <w:trPr>
          <w:tblCellSpacing w:w="0" w:type="dxa"/>
        </w:trPr>
        <w:tc>
          <w:tcPr>
            <w:tcW w:w="260" w:type="pct"/>
            <w:hideMark/>
          </w:tcPr>
          <w:p w14:paraId="05F155E6"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0365</w:t>
            </w:r>
          </w:p>
        </w:tc>
        <w:tc>
          <w:tcPr>
            <w:tcW w:w="4288" w:type="pct"/>
            <w:hideMark/>
          </w:tcPr>
          <w:p w14:paraId="1678FCE6" w14:textId="7549548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 xml:space="preserve">1.1.1.11.3. Reevaluarea contabilă a altor </w:t>
            </w:r>
            <w:r w:rsidR="00065889" w:rsidRPr="00212C16">
              <w:rPr>
                <w:rFonts w:ascii="Times New Roman" w:eastAsia="Times New Roman" w:hAnsi="Times New Roman" w:cs="Times New Roman"/>
                <w:b/>
                <w:bCs/>
                <w:color w:val="000000"/>
                <w:kern w:val="0"/>
                <w:lang w:eastAsia="ro-MD"/>
                <w14:ligatures w14:val="none"/>
              </w:rPr>
              <w:t>imobilizări</w:t>
            </w:r>
            <w:r w:rsidRPr="00212C16">
              <w:rPr>
                <w:rFonts w:ascii="Times New Roman" w:eastAsia="Times New Roman" w:hAnsi="Times New Roman" w:cs="Times New Roman"/>
                <w:b/>
                <w:bCs/>
                <w:color w:val="000000"/>
                <w:kern w:val="0"/>
                <w:lang w:eastAsia="ro-MD"/>
                <w14:ligatures w14:val="none"/>
              </w:rPr>
              <w:t xml:space="preserve"> necorporale ale filialelor provenind din consolidarea filialelor, care poate fi atribuită unor persoane terțe</w:t>
            </w:r>
          </w:p>
          <w:p w14:paraId="5445FE1C" w14:textId="61FCA56F" w:rsidR="00D448C0" w:rsidRPr="00BF78EA" w:rsidRDefault="00D448C0" w:rsidP="00B973D9">
            <w:pPr>
              <w:spacing w:after="0" w:line="240" w:lineRule="auto"/>
              <w:rPr>
                <w:rFonts w:ascii="Times New Roman" w:hAnsi="Times New Roman" w:cs="Times New Roman"/>
              </w:rPr>
            </w:pPr>
            <w:r w:rsidRPr="00BF78EA">
              <w:rPr>
                <w:rFonts w:ascii="Times New Roman" w:hAnsi="Times New Roman" w:cs="Times New Roman"/>
              </w:rPr>
              <w:t xml:space="preserve">Punctul 37 subpunctul </w:t>
            </w:r>
            <w:r w:rsidR="00573BB8">
              <w:rPr>
                <w:rFonts w:ascii="Times New Roman" w:hAnsi="Times New Roman" w:cs="Times New Roman"/>
              </w:rPr>
              <w:t>3</w:t>
            </w:r>
            <w:r w:rsidRPr="00BF78EA">
              <w:rPr>
                <w:rFonts w:ascii="Times New Roman" w:hAnsi="Times New Roman" w:cs="Times New Roman"/>
              </w:rPr>
              <w:t>) din Regulamentul nr.109/2018.</w:t>
            </w:r>
          </w:p>
          <w:p w14:paraId="7729593D" w14:textId="75ACACCF" w:rsidR="00D448C0" w:rsidRPr="00BF78EA"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BF78EA">
              <w:rPr>
                <w:rFonts w:ascii="Times New Roman" w:eastAsia="Times New Roman" w:hAnsi="Times New Roman" w:cs="Times New Roman"/>
                <w:color w:val="000000"/>
                <w:kern w:val="0"/>
                <w:lang w:eastAsia="ro-MD"/>
                <w14:ligatures w14:val="none"/>
              </w:rPr>
              <w:t>Cuantumul aferent reevaluării contabile a imobilizărilor necorporale ale filialelor, altele decât fondul comercial, în urma consolidării filialelor, care pot fi atribuite altor persoane decât întreprinderile incluse în consolidare în conformitate cu</w:t>
            </w:r>
            <w:r w:rsidR="00D331F6">
              <w:rPr>
                <w:rFonts w:ascii="Times New Roman" w:eastAsia="Times New Roman" w:hAnsi="Times New Roman" w:cs="Times New Roman"/>
                <w:color w:val="000000"/>
                <w:kern w:val="0"/>
                <w:lang w:eastAsia="ro-MD"/>
                <w14:ligatures w14:val="none"/>
              </w:rPr>
              <w:t xml:space="preserve"> Regulamentul nr. 101/2020</w:t>
            </w:r>
            <w:r w:rsidRPr="00BF78EA">
              <w:rPr>
                <w:rFonts w:ascii="Times New Roman" w:eastAsia="Times New Roman" w:hAnsi="Times New Roman" w:cs="Times New Roman"/>
                <w:color w:val="000000"/>
                <w:kern w:val="0"/>
                <w:lang w:eastAsia="ro-MD"/>
                <w14:ligatures w14:val="none"/>
              </w:rPr>
              <w:t>.</w:t>
            </w:r>
          </w:p>
        </w:tc>
        <w:tc>
          <w:tcPr>
            <w:tcW w:w="452" w:type="pct"/>
          </w:tcPr>
          <w:p w14:paraId="4D88FFEA" w14:textId="77777777" w:rsidR="00D448C0" w:rsidRPr="00BF78EA"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24CED001" w14:textId="1BCE96FE" w:rsidTr="00D448C0">
        <w:trPr>
          <w:tblCellSpacing w:w="0" w:type="dxa"/>
        </w:trPr>
        <w:tc>
          <w:tcPr>
            <w:tcW w:w="260" w:type="pct"/>
            <w:hideMark/>
          </w:tcPr>
          <w:p w14:paraId="371468D8"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0370</w:t>
            </w:r>
          </w:p>
        </w:tc>
        <w:tc>
          <w:tcPr>
            <w:tcW w:w="4288" w:type="pct"/>
            <w:hideMark/>
          </w:tcPr>
          <w:p w14:paraId="2506ED0E"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1.1.1.12. (-) Creanțe privind impozitul amânat care se bazează pe profitabilitatea viitoare și nu decurg din diferențele temporare din care se deduc datoriile asociate privind impozitul amânat</w:t>
            </w:r>
          </w:p>
          <w:p w14:paraId="2DA215BB" w14:textId="54CE9E28" w:rsidR="00D448C0" w:rsidRPr="00653298" w:rsidRDefault="00D448C0" w:rsidP="00B973D9">
            <w:pPr>
              <w:spacing w:after="0" w:line="240" w:lineRule="auto"/>
              <w:rPr>
                <w:rFonts w:ascii="Times New Roman" w:hAnsi="Times New Roman" w:cs="Times New Roman"/>
              </w:rPr>
            </w:pPr>
            <w:r w:rsidRPr="00653298">
              <w:rPr>
                <w:rFonts w:ascii="Times New Roman" w:hAnsi="Times New Roman" w:cs="Times New Roman"/>
              </w:rPr>
              <w:t>Punctul 3</w:t>
            </w:r>
            <w:r>
              <w:rPr>
                <w:rFonts w:ascii="Times New Roman" w:hAnsi="Times New Roman" w:cs="Times New Roman"/>
              </w:rPr>
              <w:t>0</w:t>
            </w:r>
            <w:r w:rsidRPr="00653298">
              <w:rPr>
                <w:rFonts w:ascii="Times New Roman" w:hAnsi="Times New Roman" w:cs="Times New Roman"/>
              </w:rPr>
              <w:t xml:space="preserve"> subpunctul </w:t>
            </w:r>
            <w:r>
              <w:rPr>
                <w:rFonts w:ascii="Times New Roman" w:hAnsi="Times New Roman" w:cs="Times New Roman"/>
              </w:rPr>
              <w:t>3</w:t>
            </w:r>
            <w:r w:rsidRPr="00653298">
              <w:rPr>
                <w:rFonts w:ascii="Times New Roman" w:hAnsi="Times New Roman" w:cs="Times New Roman"/>
              </w:rPr>
              <w:t xml:space="preserve">) </w:t>
            </w:r>
            <w:r>
              <w:rPr>
                <w:rFonts w:ascii="Times New Roman" w:hAnsi="Times New Roman" w:cs="Times New Roman"/>
              </w:rPr>
              <w:t>și punctele 38-4</w:t>
            </w:r>
            <w:r w:rsidR="00573BB8">
              <w:rPr>
                <w:rFonts w:ascii="Times New Roman" w:hAnsi="Times New Roman" w:cs="Times New Roman"/>
              </w:rPr>
              <w:t>3</w:t>
            </w:r>
            <w:r>
              <w:rPr>
                <w:rFonts w:ascii="Times New Roman" w:hAnsi="Times New Roman" w:cs="Times New Roman"/>
              </w:rPr>
              <w:t xml:space="preserve"> </w:t>
            </w:r>
            <w:r w:rsidRPr="00653298">
              <w:rPr>
                <w:rFonts w:ascii="Times New Roman" w:hAnsi="Times New Roman" w:cs="Times New Roman"/>
              </w:rPr>
              <w:t xml:space="preserve">din </w:t>
            </w:r>
            <w:r>
              <w:rPr>
                <w:rFonts w:ascii="Times New Roman" w:hAnsi="Times New Roman" w:cs="Times New Roman"/>
              </w:rPr>
              <w:t>Regulamentul nr.109/2018</w:t>
            </w:r>
            <w:r w:rsidRPr="00653298">
              <w:rPr>
                <w:rFonts w:ascii="Times New Roman" w:hAnsi="Times New Roman" w:cs="Times New Roman"/>
              </w:rPr>
              <w:t>.</w:t>
            </w:r>
          </w:p>
          <w:p w14:paraId="15C0E99C" w14:textId="0681E44A"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c>
          <w:tcPr>
            <w:tcW w:w="452" w:type="pct"/>
          </w:tcPr>
          <w:p w14:paraId="5F833FB9"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005EFBA7" w14:textId="493097EA" w:rsidTr="00D448C0">
        <w:trPr>
          <w:tblCellSpacing w:w="0" w:type="dxa"/>
        </w:trPr>
        <w:tc>
          <w:tcPr>
            <w:tcW w:w="260" w:type="pct"/>
            <w:hideMark/>
          </w:tcPr>
          <w:p w14:paraId="2D0E7109"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0380</w:t>
            </w:r>
          </w:p>
        </w:tc>
        <w:tc>
          <w:tcPr>
            <w:tcW w:w="4288" w:type="pct"/>
            <w:hideMark/>
          </w:tcPr>
          <w:p w14:paraId="1E13225D" w14:textId="48B57D52"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1.1.1.13. (-) Deficitul ajustărilor, în cadrul abordării IRB, pentru riscul de credit în funcție de pierderile așteptate</w:t>
            </w:r>
          </w:p>
          <w:p w14:paraId="5B821D0D" w14:textId="0A484F62" w:rsidR="00D448C0" w:rsidRPr="009B17D1"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9B17D1">
              <w:rPr>
                <w:rFonts w:ascii="Times New Roman" w:eastAsia="Times New Roman" w:hAnsi="Times New Roman" w:cs="Times New Roman"/>
                <w:color w:val="000000"/>
                <w:kern w:val="0"/>
                <w:lang w:eastAsia="ro-MD"/>
                <w14:ligatures w14:val="none"/>
              </w:rPr>
              <w:t xml:space="preserve">Punctul </w:t>
            </w:r>
            <w:r w:rsidRPr="00DE32B3">
              <w:rPr>
                <w:rFonts w:ascii="Times New Roman" w:eastAsia="Times New Roman" w:hAnsi="Times New Roman" w:cs="Times New Roman"/>
                <w:color w:val="000000"/>
                <w:kern w:val="0"/>
                <w:lang w:eastAsia="ro-MD"/>
                <w14:ligatures w14:val="none"/>
              </w:rPr>
              <w:t>30 subpunctul 3</w:t>
            </w:r>
            <w:r w:rsidRPr="00EA59DC">
              <w:rPr>
                <w:rFonts w:ascii="Times New Roman" w:eastAsia="Times New Roman" w:hAnsi="Times New Roman" w:cs="Times New Roman"/>
                <w:color w:val="000000"/>
                <w:kern w:val="0"/>
                <w:vertAlign w:val="superscript"/>
                <w:lang w:eastAsia="ro-MD"/>
                <w14:ligatures w14:val="none"/>
              </w:rPr>
              <w:t>1</w:t>
            </w:r>
            <w:r w:rsidRPr="00DE32B3">
              <w:rPr>
                <w:rFonts w:ascii="Times New Roman" w:eastAsia="Times New Roman" w:hAnsi="Times New Roman" w:cs="Times New Roman"/>
                <w:color w:val="000000"/>
                <w:kern w:val="0"/>
                <w:lang w:eastAsia="ro-MD"/>
                <w14:ligatures w14:val="none"/>
              </w:rPr>
              <w:t>)</w:t>
            </w:r>
            <w:r w:rsidR="00E63DDC" w:rsidRPr="00DE32B3">
              <w:rPr>
                <w:rFonts w:ascii="Times New Roman" w:eastAsia="Times New Roman" w:hAnsi="Times New Roman" w:cs="Times New Roman"/>
                <w:color w:val="000000"/>
                <w:kern w:val="0"/>
                <w:lang w:eastAsia="ro-MD"/>
                <w14:ligatures w14:val="none"/>
              </w:rPr>
              <w:t>,</w:t>
            </w:r>
            <w:r w:rsidRPr="00DE32B3">
              <w:rPr>
                <w:rFonts w:ascii="Times New Roman" w:eastAsia="Times New Roman" w:hAnsi="Times New Roman" w:cs="Times New Roman"/>
                <w:color w:val="000000"/>
                <w:kern w:val="0"/>
                <w:lang w:eastAsia="ro-MD"/>
                <w14:ligatures w14:val="none"/>
              </w:rPr>
              <w:t xml:space="preserve">  punctul 46</w:t>
            </w:r>
            <w:r w:rsidRPr="00DE32B3">
              <w:rPr>
                <w:rFonts w:ascii="Times New Roman" w:eastAsia="Times New Roman" w:hAnsi="Times New Roman" w:cs="Times New Roman"/>
                <w:color w:val="000000"/>
                <w:kern w:val="0"/>
                <w:vertAlign w:val="superscript"/>
                <w:lang w:eastAsia="ro-MD"/>
                <w14:ligatures w14:val="none"/>
              </w:rPr>
              <w:t>1</w:t>
            </w:r>
            <w:r w:rsidRPr="00DE32B3">
              <w:rPr>
                <w:rFonts w:ascii="Times New Roman" w:eastAsia="Times New Roman" w:hAnsi="Times New Roman" w:cs="Times New Roman"/>
                <w:color w:val="000000"/>
                <w:kern w:val="0"/>
                <w:lang w:eastAsia="ro-MD"/>
                <w14:ligatures w14:val="none"/>
              </w:rPr>
              <w:t xml:space="preserve"> din Regulamentul nr.109/2018</w:t>
            </w:r>
            <w:r w:rsidR="00E63DDC" w:rsidRPr="00DE32B3">
              <w:rPr>
                <w:rFonts w:ascii="Times New Roman" w:eastAsia="Times New Roman" w:hAnsi="Times New Roman" w:cs="Times New Roman"/>
                <w:color w:val="000000"/>
                <w:kern w:val="0"/>
                <w:lang w:eastAsia="ro-MD"/>
                <w14:ligatures w14:val="none"/>
              </w:rPr>
              <w:t xml:space="preserve"> și punctele 94-105 din Regulamentului privind tratamentul riscului de credit pentru bănci potrivit abordării bazate pe modele interne de rating</w:t>
            </w:r>
            <w:r w:rsidRPr="00DE32B3">
              <w:rPr>
                <w:rFonts w:ascii="Times New Roman" w:eastAsia="Times New Roman" w:hAnsi="Times New Roman" w:cs="Times New Roman"/>
                <w:color w:val="000000"/>
                <w:kern w:val="0"/>
                <w:lang w:eastAsia="ro-MD"/>
                <w14:ligatures w14:val="none"/>
              </w:rPr>
              <w:t>.</w:t>
            </w:r>
          </w:p>
          <w:p w14:paraId="06F85845" w14:textId="22844652"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F42527">
              <w:rPr>
                <w:rFonts w:ascii="Times New Roman" w:eastAsia="Times New Roman" w:hAnsi="Times New Roman" w:cs="Times New Roman"/>
                <w:color w:val="000000"/>
                <w:kern w:val="0"/>
                <w:lang w:eastAsia="ro-MD"/>
                <w14:ligatures w14:val="none"/>
              </w:rPr>
              <w:t>Cuantumul care trebuie raportat nu se reduce printr-o creștere a nivelului creanțelor privind impozitul amânat care se bazează pe profitabilitatea viitoare sau prin alte efecte fiscale suplimentare, care ar putea apărea în cazul în care provizioanele ar atinge nivelul pierderilor așteptate (</w:t>
            </w:r>
            <w:r w:rsidRPr="00F42527">
              <w:rPr>
                <w:rFonts w:ascii="Times New Roman" w:hAnsi="Times New Roman" w:cs="Times New Roman"/>
              </w:rPr>
              <w:t>punctul 46</w:t>
            </w:r>
            <w:r w:rsidRPr="00F42527">
              <w:rPr>
                <w:rFonts w:ascii="Times New Roman" w:hAnsi="Times New Roman" w:cs="Times New Roman"/>
                <w:vertAlign w:val="superscript"/>
              </w:rPr>
              <w:t>1</w:t>
            </w:r>
            <w:r w:rsidRPr="00F42527">
              <w:rPr>
                <w:rFonts w:ascii="Times New Roman" w:hAnsi="Times New Roman" w:cs="Times New Roman"/>
              </w:rPr>
              <w:t xml:space="preserve"> din Regulamentul nr.109/2018</w:t>
            </w:r>
            <w:r w:rsidRPr="00F42527">
              <w:rPr>
                <w:rFonts w:ascii="Times New Roman" w:eastAsia="Times New Roman" w:hAnsi="Times New Roman" w:cs="Times New Roman"/>
                <w:color w:val="000000"/>
                <w:kern w:val="0"/>
                <w:lang w:eastAsia="ro-MD"/>
                <w14:ligatures w14:val="none"/>
              </w:rPr>
              <w:t>).</w:t>
            </w:r>
          </w:p>
        </w:tc>
        <w:tc>
          <w:tcPr>
            <w:tcW w:w="452" w:type="pct"/>
          </w:tcPr>
          <w:p w14:paraId="6840C193" w14:textId="72B963D4" w:rsidR="00D448C0" w:rsidRPr="00260C32" w:rsidRDefault="00D448C0" w:rsidP="00B973D9">
            <w:pPr>
              <w:spacing w:after="0" w:line="240" w:lineRule="auto"/>
              <w:jc w:val="center"/>
              <w:rPr>
                <w:rFonts w:ascii="Times New Roman" w:eastAsia="Times New Roman" w:hAnsi="Times New Roman" w:cs="Times New Roman"/>
                <w:color w:val="000000"/>
                <w:kern w:val="0"/>
                <w:lang w:eastAsia="ro-MD"/>
                <w14:ligatures w14:val="none"/>
              </w:rPr>
            </w:pPr>
          </w:p>
        </w:tc>
      </w:tr>
      <w:tr w:rsidR="00D448C0" w:rsidRPr="00260C32" w14:paraId="6725D066" w14:textId="174F0EE1" w:rsidTr="00D448C0">
        <w:trPr>
          <w:tblCellSpacing w:w="0" w:type="dxa"/>
        </w:trPr>
        <w:tc>
          <w:tcPr>
            <w:tcW w:w="260" w:type="pct"/>
            <w:hideMark/>
          </w:tcPr>
          <w:p w14:paraId="56E8EC11"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0390</w:t>
            </w:r>
          </w:p>
        </w:tc>
        <w:tc>
          <w:tcPr>
            <w:tcW w:w="4288" w:type="pct"/>
            <w:hideMark/>
          </w:tcPr>
          <w:p w14:paraId="40B51D12"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1.1.1.14. (-) Activele fondului de pensii cu beneficii determinate</w:t>
            </w:r>
          </w:p>
          <w:p w14:paraId="76B0A1B1" w14:textId="5113D2DF" w:rsidR="00D448C0" w:rsidRPr="009B17D1"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9B17D1">
              <w:rPr>
                <w:rFonts w:ascii="Times New Roman" w:eastAsia="Times New Roman" w:hAnsi="Times New Roman" w:cs="Times New Roman"/>
                <w:color w:val="000000"/>
                <w:kern w:val="0"/>
                <w:lang w:eastAsia="ro-MD"/>
                <w14:ligatures w14:val="none"/>
              </w:rPr>
              <w:t xml:space="preserve">Punctul 4, punctul 30 subpunctul 4), punctul 47 </w:t>
            </w:r>
            <w:proofErr w:type="spellStart"/>
            <w:r w:rsidRPr="009B17D1">
              <w:rPr>
                <w:rFonts w:ascii="Times New Roman" w:eastAsia="Times New Roman" w:hAnsi="Times New Roman" w:cs="Times New Roman"/>
                <w:color w:val="000000"/>
                <w:kern w:val="0"/>
                <w:lang w:eastAsia="ro-MD"/>
                <w14:ligatures w14:val="none"/>
              </w:rPr>
              <w:t>şi</w:t>
            </w:r>
            <w:proofErr w:type="spellEnd"/>
            <w:r w:rsidRPr="009B17D1">
              <w:rPr>
                <w:rFonts w:ascii="Times New Roman" w:eastAsia="Times New Roman" w:hAnsi="Times New Roman" w:cs="Times New Roman"/>
                <w:color w:val="000000"/>
                <w:kern w:val="0"/>
                <w:lang w:eastAsia="ro-MD"/>
                <w14:ligatures w14:val="none"/>
              </w:rPr>
              <w:t xml:space="preserve"> 48 din Regulamentul nr.109/2018.</w:t>
            </w:r>
          </w:p>
          <w:p w14:paraId="7F291C0B" w14:textId="4C9100EB"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c>
          <w:tcPr>
            <w:tcW w:w="452" w:type="pct"/>
          </w:tcPr>
          <w:p w14:paraId="4EFA857C"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10413E6E" w14:textId="7BDFC547" w:rsidTr="00D448C0">
        <w:trPr>
          <w:tblCellSpacing w:w="0" w:type="dxa"/>
        </w:trPr>
        <w:tc>
          <w:tcPr>
            <w:tcW w:w="260" w:type="pct"/>
            <w:hideMark/>
          </w:tcPr>
          <w:p w14:paraId="30B8C361"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0400</w:t>
            </w:r>
          </w:p>
        </w:tc>
        <w:tc>
          <w:tcPr>
            <w:tcW w:w="4288" w:type="pct"/>
            <w:hideMark/>
          </w:tcPr>
          <w:p w14:paraId="3B2C306A"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1.1.1.14.1. (-) Activele fondului de pensii cu beneficii determinate</w:t>
            </w:r>
          </w:p>
          <w:p w14:paraId="10217430" w14:textId="1F0E76B1" w:rsidR="00D448C0" w:rsidRPr="00653298" w:rsidRDefault="00D448C0" w:rsidP="00B973D9">
            <w:pPr>
              <w:spacing w:after="0" w:line="240" w:lineRule="auto"/>
              <w:rPr>
                <w:rFonts w:ascii="Times New Roman" w:hAnsi="Times New Roman" w:cs="Times New Roman"/>
              </w:rPr>
            </w:pPr>
            <w:r w:rsidRPr="00B5743B">
              <w:rPr>
                <w:rFonts w:ascii="Times New Roman" w:eastAsia="Times New Roman" w:hAnsi="Times New Roman" w:cs="Times New Roman"/>
                <w:color w:val="000000"/>
                <w:kern w:val="0"/>
                <w:lang w:eastAsia="ro-MD"/>
                <w14:ligatures w14:val="none"/>
              </w:rPr>
              <w:t>Punctul 4, punctul</w:t>
            </w:r>
            <w:r w:rsidRPr="00653298">
              <w:rPr>
                <w:rFonts w:ascii="Times New Roman" w:hAnsi="Times New Roman" w:cs="Times New Roman"/>
              </w:rPr>
              <w:t xml:space="preserve"> 30 subpunctul 4)</w:t>
            </w:r>
            <w:r>
              <w:rPr>
                <w:rFonts w:ascii="Times New Roman" w:hAnsi="Times New Roman" w:cs="Times New Roman"/>
              </w:rPr>
              <w:t xml:space="preserve"> </w:t>
            </w:r>
            <w:r w:rsidRPr="00653298">
              <w:rPr>
                <w:rFonts w:ascii="Times New Roman" w:hAnsi="Times New Roman" w:cs="Times New Roman"/>
              </w:rPr>
              <w:t xml:space="preserve">din </w:t>
            </w:r>
            <w:r>
              <w:rPr>
                <w:rFonts w:ascii="Times New Roman" w:hAnsi="Times New Roman" w:cs="Times New Roman"/>
              </w:rPr>
              <w:t>Regulamentul nr.109/2018</w:t>
            </w:r>
            <w:r w:rsidRPr="00653298">
              <w:rPr>
                <w:rFonts w:ascii="Times New Roman" w:hAnsi="Times New Roman" w:cs="Times New Roman"/>
              </w:rPr>
              <w:t>.</w:t>
            </w:r>
          </w:p>
          <w:p w14:paraId="19DF8EAF"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Activele fondului de pensii cu beneficii determinate sunt definite drept „activele unui plan sau fond de pensii cu beneficii determinate, după caz, calculate după ce s-a scăzut cuantumul obligațiilor care decurg din același fond sau plan”.</w:t>
            </w:r>
          </w:p>
          <w:p w14:paraId="307193D6"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care trebuie raportat la această rubrică corespunde cuantumului raportat în bilanț (dacă s-a raportat separat).</w:t>
            </w:r>
          </w:p>
        </w:tc>
        <w:tc>
          <w:tcPr>
            <w:tcW w:w="452" w:type="pct"/>
          </w:tcPr>
          <w:p w14:paraId="52A02FD3"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454F66FC" w14:textId="66579561" w:rsidTr="00D448C0">
        <w:trPr>
          <w:tblCellSpacing w:w="0" w:type="dxa"/>
        </w:trPr>
        <w:tc>
          <w:tcPr>
            <w:tcW w:w="260" w:type="pct"/>
            <w:hideMark/>
          </w:tcPr>
          <w:p w14:paraId="3204B297"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lastRenderedPageBreak/>
              <w:t>0410</w:t>
            </w:r>
          </w:p>
        </w:tc>
        <w:tc>
          <w:tcPr>
            <w:tcW w:w="4288" w:type="pct"/>
            <w:hideMark/>
          </w:tcPr>
          <w:p w14:paraId="79442045"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1.1.1.14.2. Datoriile privind impozitul amânat asociate activelor fondului de pensii cu beneficii determinate</w:t>
            </w:r>
          </w:p>
          <w:p w14:paraId="13D8CA66" w14:textId="7ADE1129" w:rsidR="00D448C0" w:rsidRPr="00653298" w:rsidRDefault="00D448C0" w:rsidP="00B973D9">
            <w:pPr>
              <w:spacing w:after="0" w:line="240" w:lineRule="auto"/>
              <w:rPr>
                <w:rFonts w:ascii="Times New Roman" w:hAnsi="Times New Roman" w:cs="Times New Roman"/>
              </w:rPr>
            </w:pPr>
            <w:r w:rsidRPr="00B5743B">
              <w:rPr>
                <w:rFonts w:ascii="Times New Roman" w:eastAsia="Times New Roman" w:hAnsi="Times New Roman" w:cs="Times New Roman"/>
                <w:color w:val="000000"/>
                <w:kern w:val="0"/>
                <w:lang w:eastAsia="ro-MD"/>
                <w14:ligatures w14:val="none"/>
              </w:rPr>
              <w:t>Punctul 4, punctul</w:t>
            </w:r>
            <w:r w:rsidRPr="00653298">
              <w:rPr>
                <w:rFonts w:ascii="Times New Roman" w:hAnsi="Times New Roman" w:cs="Times New Roman"/>
              </w:rPr>
              <w:t xml:space="preserve"> </w:t>
            </w:r>
            <w:r>
              <w:rPr>
                <w:rFonts w:ascii="Times New Roman" w:hAnsi="Times New Roman" w:cs="Times New Roman"/>
              </w:rPr>
              <w:t>47</w:t>
            </w:r>
            <w:r w:rsidRPr="00653298">
              <w:rPr>
                <w:rFonts w:ascii="Times New Roman" w:hAnsi="Times New Roman" w:cs="Times New Roman"/>
              </w:rPr>
              <w:t xml:space="preserve"> subpunctul </w:t>
            </w:r>
            <w:r>
              <w:rPr>
                <w:rFonts w:ascii="Times New Roman" w:hAnsi="Times New Roman" w:cs="Times New Roman"/>
              </w:rPr>
              <w:t>1</w:t>
            </w:r>
            <w:r w:rsidRPr="00653298">
              <w:rPr>
                <w:rFonts w:ascii="Times New Roman" w:hAnsi="Times New Roman" w:cs="Times New Roman"/>
              </w:rPr>
              <w:t>)</w:t>
            </w:r>
            <w:r>
              <w:rPr>
                <w:rFonts w:ascii="Times New Roman" w:hAnsi="Times New Roman" w:cs="Times New Roman"/>
              </w:rPr>
              <w:t xml:space="preserve"> </w:t>
            </w:r>
            <w:r w:rsidRPr="00653298">
              <w:rPr>
                <w:rFonts w:ascii="Times New Roman" w:hAnsi="Times New Roman" w:cs="Times New Roman"/>
              </w:rPr>
              <w:t xml:space="preserve">din </w:t>
            </w:r>
            <w:r>
              <w:rPr>
                <w:rFonts w:ascii="Times New Roman" w:hAnsi="Times New Roman" w:cs="Times New Roman"/>
              </w:rPr>
              <w:t>Regulamentul nr.109/2018</w:t>
            </w:r>
            <w:r w:rsidRPr="00653298">
              <w:rPr>
                <w:rFonts w:ascii="Times New Roman" w:hAnsi="Times New Roman" w:cs="Times New Roman"/>
              </w:rPr>
              <w:t>.</w:t>
            </w:r>
          </w:p>
          <w:p w14:paraId="4C005F28"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Cuantumul datoriilor privind impozitul amânat care s-ar stinge în cazul în care activele fondului de pensii cu beneficii determinate s-ar deprecia sau ar fi </w:t>
            </w:r>
            <w:proofErr w:type="spellStart"/>
            <w:r w:rsidRPr="00260C32">
              <w:rPr>
                <w:rFonts w:ascii="Times New Roman" w:eastAsia="Times New Roman" w:hAnsi="Times New Roman" w:cs="Times New Roman"/>
                <w:color w:val="000000"/>
                <w:kern w:val="0"/>
                <w:lang w:eastAsia="ro-MD"/>
                <w14:ligatures w14:val="none"/>
              </w:rPr>
              <w:t>derecunoscute</w:t>
            </w:r>
            <w:proofErr w:type="spellEnd"/>
            <w:r w:rsidRPr="00260C32">
              <w:rPr>
                <w:rFonts w:ascii="Times New Roman" w:eastAsia="Times New Roman" w:hAnsi="Times New Roman" w:cs="Times New Roman"/>
                <w:color w:val="000000"/>
                <w:kern w:val="0"/>
                <w:lang w:eastAsia="ro-MD"/>
                <w14:ligatures w14:val="none"/>
              </w:rPr>
              <w:t xml:space="preserve"> în conformitate cu standardul contabil relevant.</w:t>
            </w:r>
          </w:p>
        </w:tc>
        <w:tc>
          <w:tcPr>
            <w:tcW w:w="452" w:type="pct"/>
          </w:tcPr>
          <w:p w14:paraId="490AA160"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1CC13C35" w14:textId="37DDB25F" w:rsidTr="00D448C0">
        <w:trPr>
          <w:tblCellSpacing w:w="0" w:type="dxa"/>
        </w:trPr>
        <w:tc>
          <w:tcPr>
            <w:tcW w:w="260" w:type="pct"/>
            <w:hideMark/>
          </w:tcPr>
          <w:p w14:paraId="122EA924"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0420</w:t>
            </w:r>
          </w:p>
        </w:tc>
        <w:tc>
          <w:tcPr>
            <w:tcW w:w="4288" w:type="pct"/>
            <w:hideMark/>
          </w:tcPr>
          <w:p w14:paraId="231B8A85" w14:textId="792556A6"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1.1.1.14.3. Activele fondului de pensii cu beneficii determinate pe care banca are capacitatea de a le utiliza fără restricții</w:t>
            </w:r>
          </w:p>
          <w:p w14:paraId="4F9EFC81" w14:textId="1982C3D3" w:rsidR="00D448C0" w:rsidRPr="00653298" w:rsidRDefault="00D448C0" w:rsidP="00B973D9">
            <w:pPr>
              <w:spacing w:after="0" w:line="240" w:lineRule="auto"/>
              <w:rPr>
                <w:rFonts w:ascii="Times New Roman" w:hAnsi="Times New Roman" w:cs="Times New Roman"/>
              </w:rPr>
            </w:pPr>
            <w:r w:rsidRPr="00B5743B">
              <w:rPr>
                <w:rFonts w:ascii="Times New Roman" w:eastAsia="Times New Roman" w:hAnsi="Times New Roman" w:cs="Times New Roman"/>
                <w:color w:val="000000"/>
                <w:kern w:val="0"/>
                <w:lang w:eastAsia="ro-MD"/>
                <w14:ligatures w14:val="none"/>
              </w:rPr>
              <w:t>Punctul 4, punctul</w:t>
            </w:r>
            <w:r w:rsidRPr="00653298">
              <w:rPr>
                <w:rFonts w:ascii="Times New Roman" w:hAnsi="Times New Roman" w:cs="Times New Roman"/>
              </w:rPr>
              <w:t xml:space="preserve"> </w:t>
            </w:r>
            <w:r>
              <w:rPr>
                <w:rFonts w:ascii="Times New Roman" w:hAnsi="Times New Roman" w:cs="Times New Roman"/>
              </w:rPr>
              <w:t>47</w:t>
            </w:r>
            <w:r w:rsidRPr="00653298">
              <w:rPr>
                <w:rFonts w:ascii="Times New Roman" w:hAnsi="Times New Roman" w:cs="Times New Roman"/>
              </w:rPr>
              <w:t xml:space="preserve"> subpunctul </w:t>
            </w:r>
            <w:r>
              <w:rPr>
                <w:rFonts w:ascii="Times New Roman" w:hAnsi="Times New Roman" w:cs="Times New Roman"/>
              </w:rPr>
              <w:t>2</w:t>
            </w:r>
            <w:r w:rsidRPr="00653298">
              <w:rPr>
                <w:rFonts w:ascii="Times New Roman" w:hAnsi="Times New Roman" w:cs="Times New Roman"/>
              </w:rPr>
              <w:t>)</w:t>
            </w:r>
            <w:r>
              <w:rPr>
                <w:rFonts w:ascii="Times New Roman" w:hAnsi="Times New Roman" w:cs="Times New Roman"/>
              </w:rPr>
              <w:t xml:space="preserve"> </w:t>
            </w:r>
            <w:r w:rsidRPr="00653298">
              <w:rPr>
                <w:rFonts w:ascii="Times New Roman" w:hAnsi="Times New Roman" w:cs="Times New Roman"/>
              </w:rPr>
              <w:t xml:space="preserve">din </w:t>
            </w:r>
            <w:r>
              <w:rPr>
                <w:rFonts w:ascii="Times New Roman" w:hAnsi="Times New Roman" w:cs="Times New Roman"/>
              </w:rPr>
              <w:t>Regulamentul nr.109/2018</w:t>
            </w:r>
            <w:r w:rsidRPr="00653298">
              <w:rPr>
                <w:rFonts w:ascii="Times New Roman" w:hAnsi="Times New Roman" w:cs="Times New Roman"/>
              </w:rPr>
              <w:t>.</w:t>
            </w:r>
          </w:p>
          <w:p w14:paraId="2AA38674" w14:textId="7B1B7C0A"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Acest p</w:t>
            </w:r>
            <w:r>
              <w:rPr>
                <w:rFonts w:ascii="Times New Roman" w:eastAsia="Times New Roman" w:hAnsi="Times New Roman" w:cs="Times New Roman"/>
                <w:color w:val="000000"/>
                <w:kern w:val="0"/>
                <w:lang w:eastAsia="ro-MD"/>
                <w14:ligatures w14:val="none"/>
              </w:rPr>
              <w:t>ost</w:t>
            </w:r>
            <w:r w:rsidRPr="00260C32">
              <w:rPr>
                <w:rFonts w:ascii="Times New Roman" w:eastAsia="Times New Roman" w:hAnsi="Times New Roman" w:cs="Times New Roman"/>
                <w:color w:val="000000"/>
                <w:kern w:val="0"/>
                <w:lang w:eastAsia="ro-MD"/>
                <w14:ligatures w14:val="none"/>
              </w:rPr>
              <w:t xml:space="preserve"> se completează cu un cuantum numai în cazul în care există un acord prealabil al </w:t>
            </w:r>
            <w:r>
              <w:rPr>
                <w:rFonts w:ascii="Times New Roman" w:eastAsia="Times New Roman" w:hAnsi="Times New Roman" w:cs="Times New Roman"/>
                <w:color w:val="000000"/>
                <w:kern w:val="0"/>
                <w:lang w:eastAsia="ro-MD"/>
                <w14:ligatures w14:val="none"/>
              </w:rPr>
              <w:t>Băncii Naționale a Moldovei</w:t>
            </w:r>
            <w:r w:rsidRPr="00260C32">
              <w:rPr>
                <w:rFonts w:ascii="Times New Roman" w:eastAsia="Times New Roman" w:hAnsi="Times New Roman" w:cs="Times New Roman"/>
                <w:color w:val="000000"/>
                <w:kern w:val="0"/>
                <w:lang w:eastAsia="ro-MD"/>
                <w14:ligatures w14:val="none"/>
              </w:rPr>
              <w:t xml:space="preserve"> de a reduce cuantumul activelor fondului de pensii cu beneficii determinate care trebuie deduse.</w:t>
            </w:r>
          </w:p>
          <w:p w14:paraId="5E69D29A"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Activele incluse pe acest rând primesc o pondere de risc pentru cerințele privind riscul de credit.</w:t>
            </w:r>
          </w:p>
        </w:tc>
        <w:tc>
          <w:tcPr>
            <w:tcW w:w="452" w:type="pct"/>
          </w:tcPr>
          <w:p w14:paraId="4F10BFD3"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7D3A2AFD" w14:textId="509BEF46" w:rsidTr="00D448C0">
        <w:trPr>
          <w:tblCellSpacing w:w="0" w:type="dxa"/>
        </w:trPr>
        <w:tc>
          <w:tcPr>
            <w:tcW w:w="260" w:type="pct"/>
            <w:hideMark/>
          </w:tcPr>
          <w:p w14:paraId="3C2F8410"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0430</w:t>
            </w:r>
          </w:p>
        </w:tc>
        <w:tc>
          <w:tcPr>
            <w:tcW w:w="4288" w:type="pct"/>
            <w:hideMark/>
          </w:tcPr>
          <w:p w14:paraId="05EA263E"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1.1.1.15. (-) Dețineri reciproce în fonduri proprii de nivel 1 de bază</w:t>
            </w:r>
          </w:p>
          <w:p w14:paraId="0CF1AE97" w14:textId="19CAC670" w:rsidR="00D448C0" w:rsidRPr="00A07033" w:rsidRDefault="00D448C0" w:rsidP="00B973D9">
            <w:pPr>
              <w:spacing w:after="0" w:line="240" w:lineRule="auto"/>
              <w:rPr>
                <w:rFonts w:ascii="Times New Roman" w:hAnsi="Times New Roman" w:cs="Times New Roman"/>
              </w:rPr>
            </w:pPr>
            <w:r w:rsidRPr="00B5743B">
              <w:rPr>
                <w:rFonts w:ascii="Times New Roman" w:eastAsia="Times New Roman" w:hAnsi="Times New Roman" w:cs="Times New Roman"/>
                <w:color w:val="000000"/>
                <w:kern w:val="0"/>
                <w:lang w:eastAsia="ro-MD"/>
                <w14:ligatures w14:val="none"/>
              </w:rPr>
              <w:t>Punctul 4, punctul</w:t>
            </w:r>
            <w:r w:rsidRPr="00A07033">
              <w:rPr>
                <w:rFonts w:ascii="Times New Roman" w:hAnsi="Times New Roman" w:cs="Times New Roman"/>
              </w:rPr>
              <w:t xml:space="preserve"> 30 subpunctul 6) </w:t>
            </w:r>
            <w:proofErr w:type="spellStart"/>
            <w:r w:rsidRPr="00A07033">
              <w:rPr>
                <w:rFonts w:ascii="Times New Roman" w:hAnsi="Times New Roman" w:cs="Times New Roman"/>
              </w:rPr>
              <w:t>şi</w:t>
            </w:r>
            <w:proofErr w:type="spellEnd"/>
            <w:r w:rsidRPr="00A07033">
              <w:rPr>
                <w:rFonts w:ascii="Times New Roman" w:hAnsi="Times New Roman" w:cs="Times New Roman"/>
              </w:rPr>
              <w:t xml:space="preserve"> punctul 54 din </w:t>
            </w:r>
            <w:r>
              <w:rPr>
                <w:rFonts w:ascii="Times New Roman" w:hAnsi="Times New Roman" w:cs="Times New Roman"/>
              </w:rPr>
              <w:t>Regulamentul nr.109/2018</w:t>
            </w:r>
            <w:r w:rsidRPr="00A07033">
              <w:rPr>
                <w:rFonts w:ascii="Times New Roman" w:hAnsi="Times New Roman" w:cs="Times New Roman"/>
              </w:rPr>
              <w:t>.</w:t>
            </w:r>
          </w:p>
          <w:p w14:paraId="14365B92" w14:textId="15ED46A4"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Deținerile în instrumente de fonduri proprii de nivel 1 de bază ale entităților din sectorul </w:t>
            </w:r>
            <w:r w:rsidRPr="00A07033">
              <w:rPr>
                <w:rFonts w:ascii="Times New Roman" w:hAnsi="Times New Roman" w:cs="Times New Roman"/>
              </w:rPr>
              <w:t xml:space="preserve">financiar (astfel cum sunt definite </w:t>
            </w:r>
            <w:r>
              <w:rPr>
                <w:rFonts w:ascii="Times New Roman" w:hAnsi="Times New Roman" w:cs="Times New Roman"/>
              </w:rPr>
              <w:t xml:space="preserve">în </w:t>
            </w:r>
            <w:r w:rsidR="00A4116A">
              <w:rPr>
                <w:rFonts w:ascii="Times New Roman" w:hAnsi="Times New Roman" w:cs="Times New Roman"/>
              </w:rPr>
              <w:t>Legea nr. 202/2017</w:t>
            </w:r>
            <w:r>
              <w:rPr>
                <w:rFonts w:ascii="Times New Roman" w:hAnsi="Times New Roman" w:cs="Times New Roman"/>
              </w:rPr>
              <w:t>)</w:t>
            </w:r>
            <w:r w:rsidRPr="00260C32">
              <w:rPr>
                <w:rFonts w:ascii="Times New Roman" w:eastAsia="Times New Roman" w:hAnsi="Times New Roman" w:cs="Times New Roman"/>
                <w:color w:val="000000"/>
                <w:kern w:val="0"/>
                <w:lang w:eastAsia="ro-MD"/>
                <w14:ligatures w14:val="none"/>
              </w:rPr>
              <w:t xml:space="preserve">, în cazul în care există dețineri reciproce care, în opinia </w:t>
            </w:r>
            <w:r>
              <w:rPr>
                <w:rFonts w:ascii="Times New Roman" w:eastAsia="Times New Roman" w:hAnsi="Times New Roman" w:cs="Times New Roman"/>
                <w:color w:val="000000"/>
                <w:kern w:val="0"/>
                <w:lang w:eastAsia="ro-MD"/>
                <w14:ligatures w14:val="none"/>
              </w:rPr>
              <w:t>Băncii Naționale a Moldovei</w:t>
            </w:r>
            <w:r w:rsidRPr="00260C32">
              <w:rPr>
                <w:rFonts w:ascii="Times New Roman" w:eastAsia="Times New Roman" w:hAnsi="Times New Roman" w:cs="Times New Roman"/>
                <w:color w:val="000000"/>
                <w:kern w:val="0"/>
                <w:lang w:eastAsia="ro-MD"/>
                <w14:ligatures w14:val="none"/>
              </w:rPr>
              <w:t xml:space="preserve">, au fost concepute pentru a crește în mod artificial fondurile proprii ale </w:t>
            </w:r>
            <w:r>
              <w:rPr>
                <w:rFonts w:ascii="Times New Roman" w:eastAsia="Times New Roman" w:hAnsi="Times New Roman" w:cs="Times New Roman"/>
                <w:color w:val="000000"/>
                <w:kern w:val="0"/>
                <w:lang w:eastAsia="ro-MD"/>
                <w14:ligatures w14:val="none"/>
              </w:rPr>
              <w:t>bănci</w:t>
            </w:r>
            <w:r w:rsidRPr="00260C32">
              <w:rPr>
                <w:rFonts w:ascii="Times New Roman" w:eastAsia="Times New Roman" w:hAnsi="Times New Roman" w:cs="Times New Roman"/>
                <w:color w:val="000000"/>
                <w:kern w:val="0"/>
                <w:lang w:eastAsia="ro-MD"/>
                <w14:ligatures w14:val="none"/>
              </w:rPr>
              <w:t>i.</w:t>
            </w:r>
          </w:p>
          <w:p w14:paraId="0463A193" w14:textId="40CDE13C"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Cuantumul care trebuie raportat se calculează pe baza pozițiilor brute lungi și include elementele de fonduri proprii de nivel 1 specifice </w:t>
            </w:r>
            <w:r>
              <w:rPr>
                <w:rFonts w:ascii="Times New Roman" w:eastAsia="Times New Roman" w:hAnsi="Times New Roman" w:cs="Times New Roman"/>
                <w:color w:val="000000"/>
                <w:kern w:val="0"/>
                <w:lang w:eastAsia="ro-MD"/>
                <w14:ligatures w14:val="none"/>
              </w:rPr>
              <w:t>societăților</w:t>
            </w:r>
            <w:r w:rsidRPr="00260C32">
              <w:rPr>
                <w:rFonts w:ascii="Times New Roman" w:eastAsia="Times New Roman" w:hAnsi="Times New Roman" w:cs="Times New Roman"/>
                <w:color w:val="000000"/>
                <w:kern w:val="0"/>
                <w:lang w:eastAsia="ro-MD"/>
                <w14:ligatures w14:val="none"/>
              </w:rPr>
              <w:t xml:space="preserve"> de asigurare.</w:t>
            </w:r>
          </w:p>
        </w:tc>
        <w:tc>
          <w:tcPr>
            <w:tcW w:w="452" w:type="pct"/>
          </w:tcPr>
          <w:p w14:paraId="0937204F"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0B1C98CF" w14:textId="22DF1BF1" w:rsidTr="00D448C0">
        <w:trPr>
          <w:tblCellSpacing w:w="0" w:type="dxa"/>
        </w:trPr>
        <w:tc>
          <w:tcPr>
            <w:tcW w:w="260" w:type="pct"/>
            <w:hideMark/>
          </w:tcPr>
          <w:p w14:paraId="3B901AA8"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0440</w:t>
            </w:r>
          </w:p>
        </w:tc>
        <w:tc>
          <w:tcPr>
            <w:tcW w:w="4288" w:type="pct"/>
            <w:hideMark/>
          </w:tcPr>
          <w:p w14:paraId="225B647E" w14:textId="739F8189"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1.1.1.16. (-) Valoarea deducerilor din elementele de fonduri proprii de nivel 1 suplimentar care depășește fondurile proprii de nivel 1 suplimentar</w:t>
            </w:r>
          </w:p>
          <w:p w14:paraId="5B6AE1CC" w14:textId="77777777" w:rsidR="00D238C5" w:rsidRDefault="00D448C0" w:rsidP="00B973D9">
            <w:pPr>
              <w:spacing w:after="0" w:line="240" w:lineRule="auto"/>
              <w:rPr>
                <w:rFonts w:ascii="Arial" w:hAnsi="Arial" w:cs="Arial"/>
              </w:rPr>
            </w:pPr>
            <w:r w:rsidRPr="00A07033">
              <w:rPr>
                <w:rFonts w:ascii="Times New Roman" w:hAnsi="Times New Roman" w:cs="Times New Roman"/>
              </w:rPr>
              <w:t xml:space="preserve">Punctul 30 subpunctul 9) din </w:t>
            </w:r>
            <w:r>
              <w:rPr>
                <w:rFonts w:ascii="Times New Roman" w:hAnsi="Times New Roman" w:cs="Times New Roman"/>
              </w:rPr>
              <w:t>Regulamentul nr.109/2018</w:t>
            </w:r>
            <w:r>
              <w:rPr>
                <w:rFonts w:ascii="Arial" w:hAnsi="Arial" w:cs="Arial"/>
              </w:rPr>
              <w:t>.</w:t>
            </w:r>
          </w:p>
          <w:p w14:paraId="367394B4" w14:textId="1D97963A"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Cuantumul care trebuie raportat este luat direct de la elementul din CA1 „Valoarea deducerilor din elementele de fonduri proprii de nivel 1 suplimentar care </w:t>
            </w:r>
            <w:r>
              <w:rPr>
                <w:rFonts w:ascii="Times New Roman" w:eastAsia="Times New Roman" w:hAnsi="Times New Roman" w:cs="Times New Roman"/>
                <w:color w:val="000000"/>
                <w:kern w:val="0"/>
                <w:lang w:eastAsia="ro-MD"/>
                <w14:ligatures w14:val="none"/>
              </w:rPr>
              <w:t>depășește</w:t>
            </w:r>
            <w:r w:rsidRPr="00260C32">
              <w:rPr>
                <w:rFonts w:ascii="Times New Roman" w:eastAsia="Times New Roman" w:hAnsi="Times New Roman" w:cs="Times New Roman"/>
                <w:color w:val="000000"/>
                <w:kern w:val="0"/>
                <w:lang w:eastAsia="ro-MD"/>
                <w14:ligatures w14:val="none"/>
              </w:rPr>
              <w:t xml:space="preserve"> fondurile proprii de nivel 1 suplimentar”. Cuantumul trebuie să fie dedus din fondurile proprii de nivel 1 de bază.</w:t>
            </w:r>
          </w:p>
        </w:tc>
        <w:tc>
          <w:tcPr>
            <w:tcW w:w="452" w:type="pct"/>
          </w:tcPr>
          <w:p w14:paraId="643FAA97"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2AD88041" w14:textId="79804BFA" w:rsidTr="00D448C0">
        <w:trPr>
          <w:tblCellSpacing w:w="0" w:type="dxa"/>
        </w:trPr>
        <w:tc>
          <w:tcPr>
            <w:tcW w:w="260" w:type="pct"/>
            <w:hideMark/>
          </w:tcPr>
          <w:p w14:paraId="631EE163"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0450</w:t>
            </w:r>
          </w:p>
        </w:tc>
        <w:tc>
          <w:tcPr>
            <w:tcW w:w="4288" w:type="pct"/>
            <w:hideMark/>
          </w:tcPr>
          <w:p w14:paraId="32B988E7" w14:textId="2BD943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1.1.1.17. (-) Dețineri calificate din afara sectorului financiar care pot fi, ca alternativă, supuse unei ponderi de risc de 1 000 %</w:t>
            </w:r>
          </w:p>
          <w:p w14:paraId="12C5DC03" w14:textId="1141F9AB" w:rsidR="00D448C0" w:rsidRPr="00C11940"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A07033">
              <w:rPr>
                <w:rFonts w:ascii="Times New Roman" w:hAnsi="Times New Roman" w:cs="Times New Roman"/>
              </w:rPr>
              <w:t xml:space="preserve">Punctul 30 subpunctul </w:t>
            </w:r>
            <w:r>
              <w:rPr>
                <w:rFonts w:ascii="Times New Roman" w:hAnsi="Times New Roman" w:cs="Times New Roman"/>
              </w:rPr>
              <w:t>10</w:t>
            </w:r>
            <w:r w:rsidRPr="00A07033">
              <w:rPr>
                <w:rFonts w:ascii="Times New Roman" w:hAnsi="Times New Roman" w:cs="Times New Roman"/>
              </w:rPr>
              <w:t>)</w:t>
            </w:r>
            <w:r>
              <w:rPr>
                <w:rFonts w:ascii="Times New Roman" w:hAnsi="Times New Roman" w:cs="Times New Roman"/>
              </w:rPr>
              <w:t xml:space="preserve"> lit. a)</w:t>
            </w:r>
            <w:r w:rsidRPr="00A07033">
              <w:rPr>
                <w:rFonts w:ascii="Times New Roman" w:hAnsi="Times New Roman" w:cs="Times New Roman"/>
              </w:rPr>
              <w:t xml:space="preserve"> din </w:t>
            </w:r>
            <w:r>
              <w:rPr>
                <w:rFonts w:ascii="Times New Roman" w:hAnsi="Times New Roman" w:cs="Times New Roman"/>
              </w:rPr>
              <w:t xml:space="preserve">Regulamentul nr.109/2018 și articolele 55-57 din Legea  nr. 202/2017 privind </w:t>
            </w:r>
            <w:r w:rsidRPr="00C11940">
              <w:rPr>
                <w:rFonts w:ascii="Times New Roman" w:hAnsi="Times New Roman" w:cs="Times New Roman"/>
              </w:rPr>
              <w:t>activitatea băncilor</w:t>
            </w:r>
            <w:r w:rsidRPr="00C11940">
              <w:rPr>
                <w:rFonts w:ascii="Arial" w:hAnsi="Arial" w:cs="Arial"/>
              </w:rPr>
              <w:t>.</w:t>
            </w:r>
          </w:p>
          <w:p w14:paraId="4B962D9D" w14:textId="77777777" w:rsidR="00D448C0" w:rsidRPr="00C11940"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C11940">
              <w:rPr>
                <w:rFonts w:ascii="Times New Roman" w:eastAsia="Times New Roman" w:hAnsi="Times New Roman" w:cs="Times New Roman"/>
                <w:color w:val="000000"/>
                <w:kern w:val="0"/>
                <w:lang w:eastAsia="ro-MD"/>
                <w14:ligatures w14:val="none"/>
              </w:rPr>
              <w:t>Deținerile calificate sunt definite drept „o deținere directă sau indirectă într-o întreprindere care reprezintă cel puțin 10 % din capital sau din drepturile de vot sau care face posibilă exercitarea unei influențe semnificative asupra administrării întreprinderii respective”.</w:t>
            </w:r>
          </w:p>
          <w:p w14:paraId="5B60C7A9" w14:textId="23FE1BB3"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C11940">
              <w:rPr>
                <w:rFonts w:ascii="Times New Roman" w:eastAsia="Times New Roman" w:hAnsi="Times New Roman" w:cs="Times New Roman"/>
                <w:color w:val="000000"/>
                <w:kern w:val="0"/>
                <w:lang w:eastAsia="ro-MD"/>
                <w14:ligatures w14:val="none"/>
              </w:rPr>
              <w:t>În conformitate cu p</w:t>
            </w:r>
            <w:r w:rsidRPr="00C11940">
              <w:rPr>
                <w:rFonts w:ascii="Times New Roman" w:hAnsi="Times New Roman" w:cs="Times New Roman"/>
              </w:rPr>
              <w:t>unctul 30 subpunctul 10) lit. a) din Regulamentul nr.109/2018</w:t>
            </w:r>
            <w:r w:rsidRPr="00C11940">
              <w:rPr>
                <w:rFonts w:ascii="Times New Roman" w:eastAsia="Times New Roman" w:hAnsi="Times New Roman" w:cs="Times New Roman"/>
                <w:color w:val="000000"/>
                <w:kern w:val="0"/>
                <w:lang w:eastAsia="ro-MD"/>
                <w14:ligatures w14:val="none"/>
              </w:rPr>
              <w:t>, deținerile calificate pot, ca alternativă, să fie deduse din fondurile proprii de nivel 1 de bază (utilizând prezenta rubrică) sau să fie supuse unei ponderi de risc de 1 </w:t>
            </w:r>
            <w:r w:rsidRPr="001903B4">
              <w:rPr>
                <w:rFonts w:ascii="Times New Roman" w:eastAsia="Times New Roman" w:hAnsi="Times New Roman" w:cs="Times New Roman"/>
                <w:color w:val="000000"/>
                <w:kern w:val="0"/>
                <w:lang w:eastAsia="ro-MD"/>
                <w14:ligatures w14:val="none"/>
              </w:rPr>
              <w:t>00</w:t>
            </w:r>
            <w:r w:rsidRPr="00C11940">
              <w:rPr>
                <w:rFonts w:ascii="Times New Roman" w:eastAsia="Times New Roman" w:hAnsi="Times New Roman" w:cs="Times New Roman"/>
                <w:color w:val="000000"/>
                <w:kern w:val="0"/>
                <w:lang w:eastAsia="ro-MD"/>
                <w14:ligatures w14:val="none"/>
              </w:rPr>
              <w:t>0 %.</w:t>
            </w:r>
          </w:p>
        </w:tc>
        <w:tc>
          <w:tcPr>
            <w:tcW w:w="452" w:type="pct"/>
          </w:tcPr>
          <w:p w14:paraId="49EFAFF4"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37954B8B" w14:textId="0B3E007B" w:rsidTr="00D448C0">
        <w:trPr>
          <w:tblCellSpacing w:w="0" w:type="dxa"/>
        </w:trPr>
        <w:tc>
          <w:tcPr>
            <w:tcW w:w="260" w:type="pct"/>
            <w:hideMark/>
          </w:tcPr>
          <w:p w14:paraId="4EBCF9A1"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0460</w:t>
            </w:r>
          </w:p>
        </w:tc>
        <w:tc>
          <w:tcPr>
            <w:tcW w:w="4288" w:type="pct"/>
            <w:hideMark/>
          </w:tcPr>
          <w:p w14:paraId="42C18249" w14:textId="13E00BD9" w:rsidR="00D448C0" w:rsidRPr="00212C16" w:rsidRDefault="00D448C0" w:rsidP="00B973D9">
            <w:pPr>
              <w:spacing w:after="0" w:line="240" w:lineRule="auto"/>
              <w:rPr>
                <w:rFonts w:ascii="Times New Roman" w:eastAsia="Times New Roman" w:hAnsi="Times New Roman" w:cs="Times New Roman"/>
                <w:b/>
                <w:bCs/>
                <w:color w:val="000000"/>
                <w:kern w:val="0"/>
                <w:highlight w:val="yellow"/>
                <w:lang w:eastAsia="ro-MD"/>
                <w14:ligatures w14:val="none"/>
              </w:rPr>
            </w:pPr>
            <w:r w:rsidRPr="00212C16">
              <w:rPr>
                <w:rFonts w:ascii="Times New Roman" w:eastAsia="Times New Roman" w:hAnsi="Times New Roman" w:cs="Times New Roman"/>
                <w:b/>
                <w:bCs/>
                <w:color w:val="000000"/>
                <w:kern w:val="0"/>
                <w:lang w:eastAsia="ro-MD"/>
                <w14:ligatures w14:val="none"/>
              </w:rPr>
              <w:t>1.1.1.18. (-) Poziții din securitizare care pot fi, ca alternativă, supuse unei ponderi de risc de 1 000 %</w:t>
            </w:r>
          </w:p>
          <w:p w14:paraId="14AFFA79" w14:textId="39283E4B" w:rsidR="00D448C0" w:rsidRPr="0008546F" w:rsidRDefault="00D448C0" w:rsidP="00B973D9">
            <w:pPr>
              <w:spacing w:after="0" w:line="240" w:lineRule="auto"/>
              <w:rPr>
                <w:rFonts w:ascii="Times New Roman" w:eastAsia="Times New Roman" w:hAnsi="Times New Roman" w:cs="Times New Roman"/>
                <w:color w:val="000000"/>
                <w:kern w:val="0"/>
                <w:lang w:eastAsia="ro-MD"/>
                <w14:ligatures w14:val="none"/>
              </w:rPr>
            </w:pPr>
            <w:r>
              <w:rPr>
                <w:rFonts w:ascii="Times New Roman" w:eastAsia="Arial Unicode MS" w:hAnsi="Times New Roman" w:cs="Times New Roman"/>
              </w:rPr>
              <w:t xml:space="preserve">Punctele 8.2, 13.2, 44 din </w:t>
            </w:r>
            <w:r w:rsidRPr="009D5185">
              <w:rPr>
                <w:rFonts w:ascii="Times New Roman" w:eastAsia="Arial Unicode MS" w:hAnsi="Times New Roman" w:cs="Times New Roman"/>
              </w:rPr>
              <w:t xml:space="preserve">Regulamentul privind tratamentul prudențial al </w:t>
            </w:r>
            <w:r w:rsidRPr="0008546F">
              <w:rPr>
                <w:rFonts w:ascii="Times New Roman" w:eastAsia="Arial Unicode MS" w:hAnsi="Times New Roman" w:cs="Times New Roman"/>
              </w:rPr>
              <w:t>securitizărilor</w:t>
            </w:r>
            <w:r w:rsidRPr="0008546F">
              <w:rPr>
                <w:rFonts w:ascii="Times New Roman" w:eastAsia="Times New Roman" w:hAnsi="Times New Roman" w:cs="Times New Roman"/>
                <w:color w:val="000000"/>
                <w:kern w:val="0"/>
                <w:lang w:eastAsia="ro-MD"/>
                <w14:ligatures w14:val="none"/>
              </w:rPr>
              <w:t xml:space="preserve"> aprobat prin HCE al BNM nr.</w:t>
            </w:r>
            <w:r w:rsidRPr="0008546F">
              <w:rPr>
                <w:rFonts w:ascii="Times New Roman" w:eastAsia="Arial Unicode MS" w:hAnsi="Times New Roman" w:cs="Times New Roman"/>
              </w:rPr>
              <w:t xml:space="preserve"> 221/2025 </w:t>
            </w:r>
            <w:r w:rsidRPr="0008546F">
              <w:rPr>
                <w:rFonts w:ascii="Times New Roman" w:eastAsia="Times New Roman" w:hAnsi="Times New Roman" w:cs="Times New Roman"/>
                <w:color w:val="000000"/>
                <w:kern w:val="0"/>
                <w:lang w:eastAsia="ro-MD"/>
                <w14:ligatures w14:val="none"/>
              </w:rPr>
              <w:t xml:space="preserve">(în continuare Regulamentul nr. </w:t>
            </w:r>
            <w:r w:rsidRPr="0008546F">
              <w:rPr>
                <w:rFonts w:ascii="Times New Roman" w:eastAsia="Arial Unicode MS" w:hAnsi="Times New Roman" w:cs="Times New Roman"/>
              </w:rPr>
              <w:t>221/2025</w:t>
            </w:r>
            <w:r w:rsidRPr="0008546F">
              <w:rPr>
                <w:rFonts w:ascii="Times New Roman" w:eastAsia="Times New Roman" w:hAnsi="Times New Roman" w:cs="Times New Roman"/>
                <w:color w:val="000000"/>
                <w:kern w:val="0"/>
                <w:lang w:eastAsia="ro-MD"/>
                <w14:ligatures w14:val="none"/>
              </w:rPr>
              <w:t>)</w:t>
            </w:r>
          </w:p>
          <w:p w14:paraId="3E28A02A" w14:textId="16A8DD5D"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08546F">
              <w:rPr>
                <w:rFonts w:ascii="Times New Roman" w:eastAsia="Times New Roman" w:hAnsi="Times New Roman" w:cs="Times New Roman"/>
                <w:color w:val="000000"/>
                <w:kern w:val="0"/>
                <w:lang w:eastAsia="ro-MD"/>
                <w14:ligatures w14:val="none"/>
              </w:rPr>
              <w:t>Pozițiile din securitizare cărora li se aplică o pondere de risc de 1 000  %, dar care pot fi, ca alternativă, deduse din fondurile proprii de nivel 1 de bază (p</w:t>
            </w:r>
            <w:r w:rsidRPr="0008546F">
              <w:rPr>
                <w:rFonts w:ascii="Times New Roman" w:hAnsi="Times New Roman" w:cs="Times New Roman"/>
              </w:rPr>
              <w:t>unctul 30 subpunctul 10) lit. b) din Regulamentul nr.109/2018)</w:t>
            </w:r>
            <w:r w:rsidRPr="0008546F">
              <w:rPr>
                <w:rFonts w:ascii="Times New Roman" w:eastAsia="Times New Roman" w:hAnsi="Times New Roman" w:cs="Times New Roman"/>
                <w:color w:val="000000"/>
                <w:kern w:val="0"/>
                <w:lang w:eastAsia="ro-MD"/>
                <w14:ligatures w14:val="none"/>
              </w:rPr>
              <w:t xml:space="preserve"> se raportează la acest element.</w:t>
            </w:r>
          </w:p>
        </w:tc>
        <w:tc>
          <w:tcPr>
            <w:tcW w:w="452" w:type="pct"/>
          </w:tcPr>
          <w:p w14:paraId="6AF346F1" w14:textId="3EF4DCCB" w:rsidR="00D448C0" w:rsidRDefault="00D448C0" w:rsidP="00B973D9">
            <w:pPr>
              <w:spacing w:after="0" w:line="240" w:lineRule="auto"/>
              <w:jc w:val="center"/>
              <w:rPr>
                <w:rFonts w:ascii="Times New Roman" w:eastAsia="Times New Roman" w:hAnsi="Times New Roman" w:cs="Times New Roman"/>
                <w:color w:val="000000"/>
                <w:kern w:val="0"/>
                <w:lang w:eastAsia="ro-MD"/>
                <w14:ligatures w14:val="none"/>
              </w:rPr>
            </w:pPr>
          </w:p>
          <w:p w14:paraId="64A5242E" w14:textId="39478AC2" w:rsidR="00EA08C8" w:rsidRPr="00260C32" w:rsidRDefault="00EA08C8" w:rsidP="00B973D9">
            <w:pPr>
              <w:spacing w:after="0" w:line="240" w:lineRule="auto"/>
              <w:jc w:val="center"/>
              <w:rPr>
                <w:rFonts w:ascii="Times New Roman" w:eastAsia="Times New Roman" w:hAnsi="Times New Roman" w:cs="Times New Roman"/>
                <w:color w:val="000000"/>
                <w:kern w:val="0"/>
                <w:lang w:eastAsia="ro-MD"/>
                <w14:ligatures w14:val="none"/>
              </w:rPr>
            </w:pPr>
          </w:p>
        </w:tc>
      </w:tr>
      <w:tr w:rsidR="00D448C0" w:rsidRPr="00260C32" w14:paraId="01EA2CFF" w14:textId="2E69ED13" w:rsidTr="00D448C0">
        <w:trPr>
          <w:tblCellSpacing w:w="0" w:type="dxa"/>
        </w:trPr>
        <w:tc>
          <w:tcPr>
            <w:tcW w:w="260" w:type="pct"/>
            <w:hideMark/>
          </w:tcPr>
          <w:p w14:paraId="757FD6A1"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0470</w:t>
            </w:r>
          </w:p>
        </w:tc>
        <w:tc>
          <w:tcPr>
            <w:tcW w:w="4288" w:type="pct"/>
            <w:hideMark/>
          </w:tcPr>
          <w:p w14:paraId="4459D51A" w14:textId="74FF1420"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1.1.1.19. (-) Tranzacții incomplete care pot fi, ca alternativă, supuse unei ponderi de risc de 1 000 %</w:t>
            </w:r>
          </w:p>
          <w:p w14:paraId="0B07E268" w14:textId="77777777" w:rsidR="00D238C5" w:rsidRDefault="00D448C0" w:rsidP="00B973D9">
            <w:pPr>
              <w:spacing w:after="0" w:line="240" w:lineRule="auto"/>
              <w:rPr>
                <w:rFonts w:ascii="Times New Roman" w:hAnsi="Times New Roman" w:cs="Times New Roman"/>
              </w:rPr>
            </w:pPr>
            <w:r w:rsidRPr="00653298">
              <w:rPr>
                <w:rFonts w:ascii="Times New Roman" w:hAnsi="Times New Roman" w:cs="Times New Roman"/>
              </w:rPr>
              <w:t xml:space="preserve">Punctul 30 subpunctul </w:t>
            </w:r>
            <w:r>
              <w:rPr>
                <w:rFonts w:ascii="Times New Roman" w:hAnsi="Times New Roman" w:cs="Times New Roman"/>
              </w:rPr>
              <w:t>10</w:t>
            </w:r>
            <w:r w:rsidRPr="00653298">
              <w:rPr>
                <w:rFonts w:ascii="Times New Roman" w:hAnsi="Times New Roman" w:cs="Times New Roman"/>
              </w:rPr>
              <w:t>)</w:t>
            </w:r>
            <w:r>
              <w:rPr>
                <w:rFonts w:ascii="Times New Roman" w:hAnsi="Times New Roman" w:cs="Times New Roman"/>
              </w:rPr>
              <w:t xml:space="preserve"> lit. c)</w:t>
            </w:r>
            <w:r w:rsidRPr="00653298">
              <w:rPr>
                <w:rFonts w:ascii="Times New Roman" w:hAnsi="Times New Roman" w:cs="Times New Roman"/>
              </w:rPr>
              <w:t xml:space="preserve"> din </w:t>
            </w:r>
            <w:r>
              <w:rPr>
                <w:rFonts w:ascii="Times New Roman" w:hAnsi="Times New Roman" w:cs="Times New Roman"/>
              </w:rPr>
              <w:t>Regulamentul nr.109/2018 și c</w:t>
            </w:r>
            <w:r w:rsidRPr="002906D3">
              <w:rPr>
                <w:rFonts w:ascii="Times New Roman" w:hAnsi="Times New Roman" w:cs="Times New Roman"/>
              </w:rPr>
              <w:t xml:space="preserve">apitolul III din </w:t>
            </w:r>
            <w:r w:rsidRPr="002906D3">
              <w:rPr>
                <w:rFonts w:ascii="Times New Roman" w:hAnsi="Times New Roman" w:cs="Times New Roman"/>
              </w:rPr>
              <w:br/>
              <w:t>Regulamentul cu privire la tratamentul riscului de decontare/livrare pentru bănci, aprobat prin Hotărârea Comitetului executiv al Băncii Naționale a Moldovei nr.115/2018</w:t>
            </w:r>
            <w:r w:rsidR="007C5516">
              <w:rPr>
                <w:rFonts w:ascii="Times New Roman" w:hAnsi="Times New Roman" w:cs="Times New Roman"/>
              </w:rPr>
              <w:t xml:space="preserve"> (în continuare Regulamentul nr. 115/2018)</w:t>
            </w:r>
          </w:p>
          <w:p w14:paraId="51AA00B6" w14:textId="3A027323"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Tranzacțiilor incomplete li se aplică o pondere de </w:t>
            </w:r>
            <w:r w:rsidRPr="00212C16">
              <w:rPr>
                <w:rFonts w:ascii="Times New Roman" w:eastAsia="Times New Roman" w:hAnsi="Times New Roman" w:cs="Times New Roman"/>
                <w:color w:val="000000"/>
                <w:kern w:val="0"/>
                <w:lang w:eastAsia="ro-MD"/>
                <w14:ligatures w14:val="none"/>
              </w:rPr>
              <w:t>risc de 1 000 %</w:t>
            </w:r>
            <w:r w:rsidRPr="00260C32">
              <w:rPr>
                <w:rFonts w:ascii="Times New Roman" w:eastAsia="Times New Roman" w:hAnsi="Times New Roman" w:cs="Times New Roman"/>
                <w:color w:val="000000"/>
                <w:kern w:val="0"/>
                <w:lang w:eastAsia="ro-MD"/>
                <w14:ligatures w14:val="none"/>
              </w:rPr>
              <w:t xml:space="preserve"> după 5 zile de la a doua plată contractuală sau al doilea segment al livrării până la stingerea tranzacției, în funcție de cerințele de fonduri proprii pentru riscul de decontare. Ca alternativă, tranzacțiile </w:t>
            </w:r>
            <w:r w:rsidRPr="00260C32">
              <w:rPr>
                <w:rFonts w:ascii="Times New Roman" w:eastAsia="Times New Roman" w:hAnsi="Times New Roman" w:cs="Times New Roman"/>
                <w:color w:val="000000"/>
                <w:kern w:val="0"/>
                <w:lang w:eastAsia="ro-MD"/>
                <w14:ligatures w14:val="none"/>
              </w:rPr>
              <w:lastRenderedPageBreak/>
              <w:t xml:space="preserve">incomplete pot fi deduse din fondurile proprii de nivel 1 de </w:t>
            </w:r>
            <w:r w:rsidRPr="00BA54EA">
              <w:rPr>
                <w:rFonts w:ascii="Times New Roman" w:eastAsia="Times New Roman" w:hAnsi="Times New Roman" w:cs="Times New Roman"/>
                <w:color w:val="000000"/>
                <w:kern w:val="0"/>
                <w:lang w:eastAsia="ro-MD"/>
                <w14:ligatures w14:val="none"/>
              </w:rPr>
              <w:t>bază .</w:t>
            </w:r>
            <w:r w:rsidRPr="00260C32">
              <w:rPr>
                <w:rFonts w:ascii="Times New Roman" w:eastAsia="Times New Roman" w:hAnsi="Times New Roman" w:cs="Times New Roman"/>
                <w:color w:val="000000"/>
                <w:kern w:val="0"/>
                <w:lang w:eastAsia="ro-MD"/>
                <w14:ligatures w14:val="none"/>
              </w:rPr>
              <w:t xml:space="preserve"> În cazul din urmă, tranzacțiile incomplete se raportează la acest p</w:t>
            </w:r>
            <w:r>
              <w:rPr>
                <w:rFonts w:ascii="Times New Roman" w:eastAsia="Times New Roman" w:hAnsi="Times New Roman" w:cs="Times New Roman"/>
                <w:color w:val="000000"/>
                <w:kern w:val="0"/>
                <w:lang w:eastAsia="ro-MD"/>
                <w14:ligatures w14:val="none"/>
              </w:rPr>
              <w:t>ost</w:t>
            </w:r>
            <w:r w:rsidRPr="00260C32">
              <w:rPr>
                <w:rFonts w:ascii="Times New Roman" w:eastAsia="Times New Roman" w:hAnsi="Times New Roman" w:cs="Times New Roman"/>
                <w:color w:val="000000"/>
                <w:kern w:val="0"/>
                <w:lang w:eastAsia="ro-MD"/>
                <w14:ligatures w14:val="none"/>
              </w:rPr>
              <w:t>.</w:t>
            </w:r>
          </w:p>
        </w:tc>
        <w:tc>
          <w:tcPr>
            <w:tcW w:w="452" w:type="pct"/>
          </w:tcPr>
          <w:p w14:paraId="30B8CF1D"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740BECF9" w14:textId="3CEE63E0" w:rsidTr="00D448C0">
        <w:trPr>
          <w:tblCellSpacing w:w="0" w:type="dxa"/>
        </w:trPr>
        <w:tc>
          <w:tcPr>
            <w:tcW w:w="260" w:type="pct"/>
            <w:hideMark/>
          </w:tcPr>
          <w:p w14:paraId="0FCCF52D"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0471</w:t>
            </w:r>
          </w:p>
        </w:tc>
        <w:tc>
          <w:tcPr>
            <w:tcW w:w="4288" w:type="pct"/>
            <w:hideMark/>
          </w:tcPr>
          <w:p w14:paraId="44E67E37" w14:textId="5DCFF25F"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1.1.1.20. (-) Poziții dintr-un coș de expuneri pentru care o bancă nu poate determina ponderea de risc aplicând abordarea IRB și care pot fi, ca alternativă, supuse unei ponderi de risc de 1 000 %</w:t>
            </w:r>
          </w:p>
          <w:p w14:paraId="34AC392A" w14:textId="77777777" w:rsidR="00D238C5" w:rsidRDefault="00D448C0" w:rsidP="00B973D9">
            <w:pPr>
              <w:spacing w:after="0" w:line="240" w:lineRule="auto"/>
              <w:rPr>
                <w:rFonts w:ascii="Times New Roman" w:hAnsi="Times New Roman" w:cs="Times New Roman"/>
              </w:rPr>
            </w:pPr>
            <w:r w:rsidRPr="00653298">
              <w:rPr>
                <w:rFonts w:ascii="Times New Roman" w:hAnsi="Times New Roman" w:cs="Times New Roman"/>
              </w:rPr>
              <w:t xml:space="preserve">Punctul 30 subpunctul </w:t>
            </w:r>
            <w:r>
              <w:rPr>
                <w:rFonts w:ascii="Times New Roman" w:hAnsi="Times New Roman" w:cs="Times New Roman"/>
              </w:rPr>
              <w:t>10</w:t>
            </w:r>
            <w:r w:rsidRPr="00653298">
              <w:rPr>
                <w:rFonts w:ascii="Times New Roman" w:hAnsi="Times New Roman" w:cs="Times New Roman"/>
              </w:rPr>
              <w:t>)</w:t>
            </w:r>
            <w:r>
              <w:rPr>
                <w:rFonts w:ascii="Times New Roman" w:hAnsi="Times New Roman" w:cs="Times New Roman"/>
              </w:rPr>
              <w:t xml:space="preserve"> lit. d)</w:t>
            </w:r>
            <w:r w:rsidRPr="00653298">
              <w:rPr>
                <w:rFonts w:ascii="Times New Roman" w:hAnsi="Times New Roman" w:cs="Times New Roman"/>
              </w:rPr>
              <w:t xml:space="preserve"> din </w:t>
            </w:r>
            <w:r>
              <w:rPr>
                <w:rFonts w:ascii="Times New Roman" w:hAnsi="Times New Roman" w:cs="Times New Roman"/>
              </w:rPr>
              <w:t xml:space="preserve">Regulamentul nr.109/2018 </w:t>
            </w:r>
            <w:r w:rsidR="00E63DDC">
              <w:rPr>
                <w:rFonts w:ascii="Times New Roman" w:hAnsi="Times New Roman" w:cs="Times New Roman"/>
              </w:rPr>
              <w:t xml:space="preserve">și punctul 79 din </w:t>
            </w:r>
            <w:r w:rsidR="00E63DDC" w:rsidRPr="00D238C5">
              <w:rPr>
                <w:rFonts w:ascii="Times New Roman" w:hAnsi="Times New Roman" w:cs="Times New Roman"/>
              </w:rPr>
              <w:t>Regulamentul privind tratamentul riscului de credit pentru bănci potrivit abordării bazate pe modele interne de rating</w:t>
            </w:r>
            <w:r w:rsidR="00E63DDC">
              <w:rPr>
                <w:rFonts w:ascii="Times New Roman" w:hAnsi="Times New Roman" w:cs="Times New Roman"/>
              </w:rPr>
              <w:t>.</w:t>
            </w:r>
            <w:r w:rsidR="00E63DDC" w:rsidRPr="00D238C5" w:rsidDel="002906D3">
              <w:rPr>
                <w:rFonts w:ascii="Times New Roman" w:hAnsi="Times New Roman" w:cs="Times New Roman"/>
              </w:rPr>
              <w:t xml:space="preserve"> </w:t>
            </w:r>
          </w:p>
          <w:p w14:paraId="5938D338" w14:textId="7A3A967D"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813F28">
              <w:rPr>
                <w:rFonts w:ascii="Times New Roman" w:eastAsia="Times New Roman" w:hAnsi="Times New Roman" w:cs="Times New Roman"/>
                <w:color w:val="000000"/>
                <w:kern w:val="0"/>
                <w:lang w:eastAsia="ro-MD"/>
                <w14:ligatures w14:val="none"/>
              </w:rPr>
              <w:t>În conformitate cu p</w:t>
            </w:r>
            <w:r w:rsidRPr="00813F28">
              <w:rPr>
                <w:rFonts w:ascii="Times New Roman" w:hAnsi="Times New Roman" w:cs="Times New Roman"/>
              </w:rPr>
              <w:t>unctul 30 subpunctul 10) lit. d) din Regulamentul nr.109/2018</w:t>
            </w:r>
            <w:r w:rsidRPr="00813F28">
              <w:rPr>
                <w:rFonts w:ascii="Times New Roman" w:eastAsia="Times New Roman" w:hAnsi="Times New Roman" w:cs="Times New Roman"/>
                <w:color w:val="000000"/>
                <w:kern w:val="0"/>
                <w:lang w:eastAsia="ro-MD"/>
                <w14:ligatures w14:val="none"/>
              </w:rPr>
              <w:t>, pozițiile dintr-un coș de expuneri pentru care o bancă nu poate determina ponderea de risc aplicând abordarea IRB pot, ca alternativă, să fie deduse din fondurile proprii de nivel 1 de bază (utilizând prezenta rubrică) sau să fie supuse unei ponderi de risc de 1 </w:t>
            </w:r>
            <w:r w:rsidRPr="009B17D1">
              <w:rPr>
                <w:rFonts w:ascii="Times New Roman" w:eastAsia="Times New Roman" w:hAnsi="Times New Roman" w:cs="Times New Roman"/>
                <w:color w:val="000000"/>
                <w:kern w:val="0"/>
                <w:lang w:eastAsia="ro-MD"/>
                <w14:ligatures w14:val="none"/>
              </w:rPr>
              <w:t>00</w:t>
            </w:r>
            <w:r w:rsidRPr="00813F28">
              <w:rPr>
                <w:rFonts w:ascii="Times New Roman" w:eastAsia="Times New Roman" w:hAnsi="Times New Roman" w:cs="Times New Roman"/>
                <w:color w:val="000000"/>
                <w:kern w:val="0"/>
                <w:lang w:eastAsia="ro-MD"/>
                <w14:ligatures w14:val="none"/>
              </w:rPr>
              <w:t>0 %.</w:t>
            </w:r>
          </w:p>
        </w:tc>
        <w:tc>
          <w:tcPr>
            <w:tcW w:w="452" w:type="pct"/>
          </w:tcPr>
          <w:p w14:paraId="207A6823" w14:textId="1186F017" w:rsidR="00D448C0" w:rsidRPr="00260C32" w:rsidRDefault="00D448C0" w:rsidP="00B973D9">
            <w:pPr>
              <w:spacing w:after="0" w:line="240" w:lineRule="auto"/>
              <w:jc w:val="center"/>
              <w:rPr>
                <w:rFonts w:ascii="Times New Roman" w:eastAsia="Times New Roman" w:hAnsi="Times New Roman" w:cs="Times New Roman"/>
                <w:color w:val="000000"/>
                <w:kern w:val="0"/>
                <w:lang w:eastAsia="ro-MD"/>
                <w14:ligatures w14:val="none"/>
              </w:rPr>
            </w:pPr>
          </w:p>
        </w:tc>
      </w:tr>
      <w:tr w:rsidR="00D448C0" w:rsidRPr="00260C32" w14:paraId="2DC933EF" w14:textId="12F9BF70" w:rsidTr="00D448C0">
        <w:trPr>
          <w:tblCellSpacing w:w="0" w:type="dxa"/>
        </w:trPr>
        <w:tc>
          <w:tcPr>
            <w:tcW w:w="260" w:type="pct"/>
            <w:hideMark/>
          </w:tcPr>
          <w:p w14:paraId="088F004D"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0472</w:t>
            </w:r>
          </w:p>
        </w:tc>
        <w:tc>
          <w:tcPr>
            <w:tcW w:w="4288" w:type="pct"/>
            <w:hideMark/>
          </w:tcPr>
          <w:p w14:paraId="5638C259" w14:textId="43AB28F6"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1.1.1.21. (-) Expuneri provenind din titluri de capital în cadrul unei abordări bazate pe modele interne care pot fi, ca alternativă, supuse unei ponderi de risc de 1 000 %</w:t>
            </w:r>
          </w:p>
          <w:p w14:paraId="5A84A560" w14:textId="109F7F99" w:rsidR="00D448C0" w:rsidRPr="00260C32" w:rsidRDefault="005A2436" w:rsidP="00B973D9">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E</w:t>
            </w:r>
            <w:r w:rsidR="00D448C0" w:rsidRPr="00981979">
              <w:rPr>
                <w:rFonts w:ascii="Times New Roman" w:eastAsia="Times New Roman" w:hAnsi="Times New Roman" w:cs="Times New Roman"/>
                <w:color w:val="000000"/>
                <w:kern w:val="0"/>
                <w:lang w:eastAsia="ro-MD"/>
                <w14:ligatures w14:val="none"/>
              </w:rPr>
              <w:t>xpunerile provenind din titluri de capital în cadrul unei abordări bazate pe modele interne pot, ca alternativă, să fie deduse din fondurile proprii de nivel 1 de bază (utilizând prezenta rubrică) sau să fie supuse unei ponderi de risc de 1 </w:t>
            </w:r>
            <w:r>
              <w:rPr>
                <w:rFonts w:ascii="Times New Roman" w:eastAsia="Times New Roman" w:hAnsi="Times New Roman" w:cs="Times New Roman"/>
                <w:color w:val="000000"/>
                <w:kern w:val="0"/>
                <w:lang w:eastAsia="ro-MD"/>
                <w14:ligatures w14:val="none"/>
              </w:rPr>
              <w:t>00</w:t>
            </w:r>
            <w:r w:rsidR="00D448C0" w:rsidRPr="00981979">
              <w:rPr>
                <w:rFonts w:ascii="Times New Roman" w:eastAsia="Times New Roman" w:hAnsi="Times New Roman" w:cs="Times New Roman"/>
                <w:color w:val="000000"/>
                <w:kern w:val="0"/>
                <w:lang w:eastAsia="ro-MD"/>
                <w14:ligatures w14:val="none"/>
              </w:rPr>
              <w:t>0  %.</w:t>
            </w:r>
          </w:p>
        </w:tc>
        <w:tc>
          <w:tcPr>
            <w:tcW w:w="452" w:type="pct"/>
          </w:tcPr>
          <w:p w14:paraId="1231F26C" w14:textId="75C23ACA" w:rsidR="00D448C0" w:rsidRPr="00260C32" w:rsidRDefault="00D448C0" w:rsidP="00B973D9">
            <w:pPr>
              <w:spacing w:after="0" w:line="240" w:lineRule="auto"/>
              <w:jc w:val="center"/>
              <w:rPr>
                <w:rFonts w:ascii="Times New Roman" w:eastAsia="Times New Roman" w:hAnsi="Times New Roman" w:cs="Times New Roman"/>
                <w:color w:val="000000"/>
                <w:kern w:val="0"/>
                <w:lang w:eastAsia="ro-MD"/>
                <w14:ligatures w14:val="none"/>
              </w:rPr>
            </w:pPr>
          </w:p>
        </w:tc>
      </w:tr>
      <w:tr w:rsidR="00D448C0" w:rsidRPr="00260C32" w14:paraId="156A7BF1" w14:textId="212DDEB2" w:rsidTr="00D448C0">
        <w:trPr>
          <w:tblCellSpacing w:w="0" w:type="dxa"/>
        </w:trPr>
        <w:tc>
          <w:tcPr>
            <w:tcW w:w="260" w:type="pct"/>
            <w:hideMark/>
          </w:tcPr>
          <w:p w14:paraId="1ADA2C6C"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0480</w:t>
            </w:r>
          </w:p>
        </w:tc>
        <w:tc>
          <w:tcPr>
            <w:tcW w:w="4288" w:type="pct"/>
            <w:hideMark/>
          </w:tcPr>
          <w:p w14:paraId="3EE6E17C" w14:textId="571A8C70"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1.1.1.22. (-) Instrumente de fonduri proprii de nivel 1 de bază ale entităților din sectorul financiar în care banca nu deține o investiție semnificativă</w:t>
            </w:r>
          </w:p>
          <w:p w14:paraId="537D15BA" w14:textId="1A93A8EC"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9B17D1">
              <w:rPr>
                <w:rFonts w:ascii="Times New Roman" w:eastAsia="Times New Roman" w:hAnsi="Times New Roman" w:cs="Times New Roman"/>
                <w:color w:val="000000"/>
                <w:kern w:val="0"/>
                <w:lang w:eastAsia="ro-MD"/>
                <w14:ligatures w14:val="none"/>
              </w:rPr>
              <w:t xml:space="preserve">Punctul 30 subpunctul 7), punctele 52-60 </w:t>
            </w:r>
            <w:proofErr w:type="spellStart"/>
            <w:r w:rsidRPr="009B17D1">
              <w:rPr>
                <w:rFonts w:ascii="Times New Roman" w:eastAsia="Times New Roman" w:hAnsi="Times New Roman" w:cs="Times New Roman"/>
                <w:color w:val="000000"/>
                <w:kern w:val="0"/>
                <w:lang w:eastAsia="ro-MD"/>
                <w14:ligatures w14:val="none"/>
              </w:rPr>
              <w:t>şi</w:t>
            </w:r>
            <w:proofErr w:type="spellEnd"/>
            <w:r w:rsidRPr="009B17D1">
              <w:rPr>
                <w:rFonts w:ascii="Times New Roman" w:eastAsia="Times New Roman" w:hAnsi="Times New Roman" w:cs="Times New Roman"/>
                <w:color w:val="000000"/>
                <w:kern w:val="0"/>
                <w:lang w:eastAsia="ro-MD"/>
                <w14:ligatures w14:val="none"/>
              </w:rPr>
              <w:t xml:space="preserve"> punctul 126 din </w:t>
            </w:r>
            <w:r>
              <w:rPr>
                <w:rFonts w:ascii="Times New Roman" w:eastAsia="Times New Roman" w:hAnsi="Times New Roman" w:cs="Times New Roman"/>
                <w:color w:val="000000"/>
                <w:kern w:val="0"/>
                <w:lang w:eastAsia="ro-MD"/>
                <w14:ligatures w14:val="none"/>
              </w:rPr>
              <w:t>Regulamentul nr.109/2018</w:t>
            </w:r>
            <w:r w:rsidRPr="009B17D1">
              <w:rPr>
                <w:rFonts w:ascii="Times New Roman" w:eastAsia="Times New Roman" w:hAnsi="Times New Roman" w:cs="Times New Roman"/>
                <w:color w:val="000000"/>
                <w:kern w:val="0"/>
                <w:lang w:eastAsia="ro-MD"/>
                <w14:ligatures w14:val="none"/>
              </w:rPr>
              <w:t>.</w:t>
            </w:r>
            <w:r>
              <w:rPr>
                <w:rFonts w:ascii="Arial" w:hAnsi="Arial" w:cs="Arial"/>
              </w:rPr>
              <w:br/>
            </w:r>
            <w:r w:rsidRPr="00260C32">
              <w:rPr>
                <w:rFonts w:ascii="Times New Roman" w:eastAsia="Times New Roman" w:hAnsi="Times New Roman" w:cs="Times New Roman"/>
                <w:color w:val="000000"/>
                <w:kern w:val="0"/>
                <w:lang w:eastAsia="ro-MD"/>
                <w14:ligatures w14:val="none"/>
              </w:rPr>
              <w:t xml:space="preserve">Acea parte a deținerilor, de către </w:t>
            </w:r>
            <w:r>
              <w:rPr>
                <w:rFonts w:ascii="Times New Roman" w:eastAsia="Times New Roman" w:hAnsi="Times New Roman" w:cs="Times New Roman"/>
                <w:color w:val="000000"/>
                <w:kern w:val="0"/>
                <w:lang w:eastAsia="ro-MD"/>
                <w14:ligatures w14:val="none"/>
              </w:rPr>
              <w:t>bancă</w:t>
            </w:r>
            <w:r w:rsidRPr="00260C32">
              <w:rPr>
                <w:rFonts w:ascii="Times New Roman" w:eastAsia="Times New Roman" w:hAnsi="Times New Roman" w:cs="Times New Roman"/>
                <w:color w:val="000000"/>
                <w:kern w:val="0"/>
                <w:lang w:eastAsia="ro-MD"/>
                <w14:ligatures w14:val="none"/>
              </w:rPr>
              <w:t xml:space="preserve">, ale unor instrumente ale entităților din sectorul financiar  în care </w:t>
            </w:r>
            <w:r>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 care trebuie dedusă din fondurile proprii de nivel 1 de bază.</w:t>
            </w:r>
          </w:p>
          <w:p w14:paraId="00B75CA9" w14:textId="6C576CCE"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C738F">
              <w:rPr>
                <w:rFonts w:ascii="Times New Roman" w:eastAsia="Times New Roman" w:hAnsi="Times New Roman" w:cs="Times New Roman"/>
                <w:color w:val="000000"/>
                <w:kern w:val="0"/>
                <w:lang w:eastAsia="ro-MD"/>
                <w14:ligatures w14:val="none"/>
              </w:rPr>
              <w:t>A se vedea alternativele la deducere în cazul în care se aplică consolidarea.</w:t>
            </w:r>
          </w:p>
        </w:tc>
        <w:tc>
          <w:tcPr>
            <w:tcW w:w="452" w:type="pct"/>
          </w:tcPr>
          <w:p w14:paraId="77C514BF"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02721811" w14:textId="5EB9EB88" w:rsidTr="00D448C0">
        <w:trPr>
          <w:tblCellSpacing w:w="0" w:type="dxa"/>
        </w:trPr>
        <w:tc>
          <w:tcPr>
            <w:tcW w:w="260" w:type="pct"/>
            <w:hideMark/>
          </w:tcPr>
          <w:p w14:paraId="3121770A"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0490</w:t>
            </w:r>
          </w:p>
        </w:tc>
        <w:tc>
          <w:tcPr>
            <w:tcW w:w="4288" w:type="pct"/>
            <w:hideMark/>
          </w:tcPr>
          <w:p w14:paraId="6BE0793C"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1.1.1.23. (-) Creanțele deductibile privind impozitul amânat care se bazează pe profitabilitatea viitoare și decurg din diferențele temporare</w:t>
            </w:r>
          </w:p>
          <w:p w14:paraId="043F8071" w14:textId="514FDF37" w:rsidR="00D238C5" w:rsidRDefault="00D448C0" w:rsidP="00B973D9">
            <w:pPr>
              <w:pStyle w:val="lf"/>
              <w:spacing w:before="0" w:beforeAutospacing="0" w:after="0" w:afterAutospacing="0"/>
              <w:rPr>
                <w:color w:val="000000"/>
              </w:rPr>
            </w:pPr>
            <w:r w:rsidRPr="008B040E">
              <w:rPr>
                <w:color w:val="000000"/>
                <w:sz w:val="22"/>
                <w:szCs w:val="22"/>
              </w:rPr>
              <w:t xml:space="preserve">Punctul 30 subpunctul 3), punctele 38-43 </w:t>
            </w:r>
            <w:proofErr w:type="spellStart"/>
            <w:r w:rsidRPr="008B040E">
              <w:rPr>
                <w:color w:val="000000"/>
                <w:sz w:val="22"/>
                <w:szCs w:val="22"/>
              </w:rPr>
              <w:t>şi</w:t>
            </w:r>
            <w:proofErr w:type="spellEnd"/>
            <w:r w:rsidRPr="008B040E">
              <w:rPr>
                <w:color w:val="000000"/>
                <w:sz w:val="22"/>
                <w:szCs w:val="22"/>
              </w:rPr>
              <w:t xml:space="preserve"> punctul 63 subpunctul 1) din </w:t>
            </w:r>
            <w:r>
              <w:rPr>
                <w:color w:val="000000"/>
                <w:sz w:val="22"/>
                <w:szCs w:val="22"/>
              </w:rPr>
              <w:t>Regulamentul nr.109/2018</w:t>
            </w:r>
            <w:r w:rsidRPr="008B040E">
              <w:rPr>
                <w:color w:val="000000"/>
                <w:sz w:val="22"/>
                <w:szCs w:val="22"/>
              </w:rPr>
              <w:t>.</w:t>
            </w:r>
          </w:p>
          <w:p w14:paraId="651219BB" w14:textId="604DF769"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Acea parte din creanțele privind impozitul amânat care se bazează pe profitabilitatea viitoare și decurg din diferențele temporare (fără partea datoriilor asociate privind impozitul amânat alocată creanțelor privind impozitul amânat care decurg din diferențele temporare), care, în conformitate cu </w:t>
            </w:r>
            <w:proofErr w:type="spellStart"/>
            <w:r w:rsidRPr="008B040E">
              <w:rPr>
                <w:rFonts w:ascii="Times New Roman" w:eastAsia="Times New Roman" w:hAnsi="Times New Roman" w:cs="Times New Roman"/>
                <w:color w:val="000000"/>
                <w:kern w:val="0"/>
                <w:lang w:eastAsia="ro-MD"/>
                <w14:ligatures w14:val="none"/>
              </w:rPr>
              <w:t>cu</w:t>
            </w:r>
            <w:proofErr w:type="spellEnd"/>
            <w:r w:rsidRPr="008B040E">
              <w:rPr>
                <w:rFonts w:ascii="Times New Roman" w:eastAsia="Times New Roman" w:hAnsi="Times New Roman" w:cs="Times New Roman"/>
                <w:color w:val="000000"/>
                <w:kern w:val="0"/>
                <w:lang w:eastAsia="ro-MD"/>
                <w14:ligatures w14:val="none"/>
              </w:rPr>
              <w:t xml:space="preserve"> punctul 42 subpunctul 2) din </w:t>
            </w:r>
            <w:r>
              <w:rPr>
                <w:rFonts w:ascii="Times New Roman" w:eastAsia="Times New Roman" w:hAnsi="Times New Roman" w:cs="Times New Roman"/>
                <w:color w:val="000000"/>
                <w:kern w:val="0"/>
                <w:lang w:eastAsia="ro-MD"/>
                <w14:ligatures w14:val="none"/>
              </w:rPr>
              <w:t>Regulamentul nr.109/2018</w:t>
            </w:r>
            <w:r w:rsidRPr="008B040E">
              <w:rPr>
                <w:rFonts w:ascii="Times New Roman" w:eastAsia="Times New Roman" w:hAnsi="Times New Roman" w:cs="Times New Roman"/>
                <w:color w:val="000000"/>
                <w:kern w:val="0"/>
                <w:lang w:eastAsia="ro-MD"/>
                <w14:ligatures w14:val="none"/>
              </w:rPr>
              <w:t xml:space="preserve"> care trebuie dedusă aplicând pragul de 10% de la punctul 63 subpunctul 1) din </w:t>
            </w:r>
            <w:r>
              <w:rPr>
                <w:rFonts w:ascii="Times New Roman" w:eastAsia="Times New Roman" w:hAnsi="Times New Roman" w:cs="Times New Roman"/>
                <w:color w:val="000000"/>
                <w:kern w:val="0"/>
                <w:lang w:eastAsia="ro-MD"/>
                <w14:ligatures w14:val="none"/>
              </w:rPr>
              <w:t>Regulamentul nr.109/2018</w:t>
            </w:r>
            <w:r w:rsidRPr="008B040E">
              <w:rPr>
                <w:rFonts w:ascii="Times New Roman" w:eastAsia="Times New Roman" w:hAnsi="Times New Roman" w:cs="Times New Roman"/>
                <w:color w:val="000000"/>
                <w:kern w:val="0"/>
                <w:lang w:eastAsia="ro-MD"/>
                <w14:ligatures w14:val="none"/>
              </w:rPr>
              <w:t>.</w:t>
            </w:r>
            <w:r>
              <w:rPr>
                <w:rFonts w:ascii="Arial" w:hAnsi="Arial" w:cs="Arial"/>
              </w:rPr>
              <w:br/>
            </w:r>
          </w:p>
        </w:tc>
        <w:tc>
          <w:tcPr>
            <w:tcW w:w="452" w:type="pct"/>
          </w:tcPr>
          <w:p w14:paraId="1D8D9BE5"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5DB0EDC9" w14:textId="5CA271B6" w:rsidTr="00D448C0">
        <w:trPr>
          <w:tblCellSpacing w:w="0" w:type="dxa"/>
        </w:trPr>
        <w:tc>
          <w:tcPr>
            <w:tcW w:w="260" w:type="pct"/>
            <w:hideMark/>
          </w:tcPr>
          <w:p w14:paraId="6E1204B0"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0500</w:t>
            </w:r>
          </w:p>
        </w:tc>
        <w:tc>
          <w:tcPr>
            <w:tcW w:w="4288" w:type="pct"/>
            <w:hideMark/>
          </w:tcPr>
          <w:p w14:paraId="444ABCD7" w14:textId="7617314D" w:rsidR="00D448C0" w:rsidRPr="006F140F"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w:t>
            </w:r>
            <w:r w:rsidRPr="006F140F">
              <w:rPr>
                <w:rFonts w:ascii="Times New Roman" w:eastAsia="Times New Roman" w:hAnsi="Times New Roman" w:cs="Times New Roman"/>
                <w:b/>
                <w:bCs/>
                <w:color w:val="000000"/>
                <w:kern w:val="0"/>
                <w:lang w:eastAsia="ro-MD"/>
                <w14:ligatures w14:val="none"/>
              </w:rPr>
              <w:t>1.24. (-) Instrumente de fonduri proprii de nivel 1 de bază ale entităților din sectorul financiar în care banca deține o investiție semnificativă</w:t>
            </w:r>
          </w:p>
          <w:p w14:paraId="210E604E" w14:textId="1C9E57BB" w:rsidR="00D448C0" w:rsidRPr="006F140F" w:rsidRDefault="00D448C0" w:rsidP="00B973D9">
            <w:pPr>
              <w:pStyle w:val="lf"/>
              <w:spacing w:before="0" w:beforeAutospacing="0" w:after="0" w:afterAutospacing="0"/>
              <w:rPr>
                <w:color w:val="000000"/>
                <w:sz w:val="22"/>
                <w:szCs w:val="22"/>
              </w:rPr>
            </w:pPr>
            <w:r w:rsidRPr="006F140F">
              <w:rPr>
                <w:color w:val="000000"/>
                <w:sz w:val="22"/>
                <w:szCs w:val="22"/>
              </w:rPr>
              <w:t xml:space="preserve">Punctul 30 subpunctul 8), punctele 52, 55, 62 </w:t>
            </w:r>
            <w:proofErr w:type="spellStart"/>
            <w:r w:rsidRPr="006F140F">
              <w:rPr>
                <w:color w:val="000000"/>
                <w:sz w:val="22"/>
                <w:szCs w:val="22"/>
              </w:rPr>
              <w:t>şi</w:t>
            </w:r>
            <w:proofErr w:type="spellEnd"/>
            <w:r w:rsidRPr="006F140F">
              <w:rPr>
                <w:color w:val="000000"/>
                <w:sz w:val="22"/>
                <w:szCs w:val="22"/>
              </w:rPr>
              <w:t xml:space="preserve"> punctul 64 subpunctul 2) și punctul  126 din Regulamentul nr.109/2018.</w:t>
            </w:r>
          </w:p>
          <w:p w14:paraId="39FA6550" w14:textId="46413C5B" w:rsidR="00D448C0" w:rsidRPr="006F140F" w:rsidRDefault="00D448C0" w:rsidP="00B973D9">
            <w:pPr>
              <w:pStyle w:val="lf"/>
              <w:spacing w:before="0" w:beforeAutospacing="0" w:after="0" w:afterAutospacing="0"/>
              <w:rPr>
                <w:color w:val="000000"/>
              </w:rPr>
            </w:pPr>
            <w:r w:rsidRPr="006F140F">
              <w:rPr>
                <w:color w:val="000000"/>
                <w:sz w:val="22"/>
                <w:szCs w:val="22"/>
              </w:rPr>
              <w:t>Acea parte a deținerilor, de către bancă, ale unor instrumente de fonduri proprii de nivel 1 de bază ale entităților din sectorul financiar în care banca deține o investiție semnificativă, care trebuie dedusă aplicând pragul de 10 % menționat la punctul 63 subpunctul 1) din Regulamentul nr.109/2018.</w:t>
            </w:r>
          </w:p>
          <w:p w14:paraId="560D7792" w14:textId="187A64CD"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6F140F">
              <w:rPr>
                <w:rFonts w:ascii="Times New Roman" w:eastAsia="Times New Roman" w:hAnsi="Times New Roman" w:cs="Times New Roman"/>
                <w:color w:val="000000"/>
                <w:kern w:val="0"/>
                <w:lang w:eastAsia="ro-MD"/>
                <w14:ligatures w14:val="none"/>
              </w:rPr>
              <w:t>A se vedea alternativele la deducere în cazul în care se aplică consolidarea.</w:t>
            </w:r>
          </w:p>
        </w:tc>
        <w:tc>
          <w:tcPr>
            <w:tcW w:w="452" w:type="pct"/>
          </w:tcPr>
          <w:p w14:paraId="5EF144EF"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438A9869" w14:textId="68EE5B4A" w:rsidTr="00D448C0">
        <w:trPr>
          <w:tblCellSpacing w:w="0" w:type="dxa"/>
        </w:trPr>
        <w:tc>
          <w:tcPr>
            <w:tcW w:w="260" w:type="pct"/>
            <w:hideMark/>
          </w:tcPr>
          <w:p w14:paraId="679F1860"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0510</w:t>
            </w:r>
          </w:p>
        </w:tc>
        <w:tc>
          <w:tcPr>
            <w:tcW w:w="4288" w:type="pct"/>
            <w:hideMark/>
          </w:tcPr>
          <w:p w14:paraId="5D770B57"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1.1.1.25. (-) Cuantum care depășește pragul de 17,65 %</w:t>
            </w:r>
          </w:p>
          <w:p w14:paraId="0DC834A7" w14:textId="0356B33B" w:rsidR="00D238C5" w:rsidRDefault="00D448C0" w:rsidP="00B973D9">
            <w:pPr>
              <w:spacing w:after="0" w:line="240" w:lineRule="auto"/>
              <w:rPr>
                <w:rFonts w:ascii="Times New Roman" w:hAnsi="Times New Roman" w:cs="Times New Roman"/>
                <w:color w:val="000000"/>
              </w:rPr>
            </w:pPr>
            <w:r>
              <w:rPr>
                <w:rFonts w:ascii="Times New Roman" w:hAnsi="Times New Roman" w:cs="Times New Roman"/>
                <w:color w:val="000000"/>
              </w:rPr>
              <w:t>P</w:t>
            </w:r>
            <w:r w:rsidRPr="00055BF1">
              <w:rPr>
                <w:rFonts w:ascii="Times New Roman" w:hAnsi="Times New Roman" w:cs="Times New Roman"/>
                <w:color w:val="000000"/>
              </w:rPr>
              <w:t>unctul 6</w:t>
            </w:r>
            <w:r>
              <w:rPr>
                <w:rFonts w:ascii="Times New Roman" w:hAnsi="Times New Roman" w:cs="Times New Roman"/>
                <w:color w:val="000000"/>
              </w:rPr>
              <w:t>4</w:t>
            </w:r>
            <w:r w:rsidRPr="00055BF1">
              <w:rPr>
                <w:rFonts w:ascii="Times New Roman" w:hAnsi="Times New Roman" w:cs="Times New Roman"/>
                <w:color w:val="000000"/>
              </w:rPr>
              <w:t xml:space="preserve"> din </w:t>
            </w:r>
            <w:r>
              <w:rPr>
                <w:rFonts w:ascii="Times New Roman" w:hAnsi="Times New Roman" w:cs="Times New Roman"/>
                <w:color w:val="000000"/>
              </w:rPr>
              <w:t>Regulamentul nr.109/2018</w:t>
            </w:r>
            <w:r w:rsidR="00D238C5">
              <w:rPr>
                <w:rFonts w:ascii="Times New Roman" w:hAnsi="Times New Roman" w:cs="Times New Roman"/>
                <w:color w:val="000000"/>
              </w:rPr>
              <w:t>.</w:t>
            </w:r>
          </w:p>
          <w:p w14:paraId="497FB68A" w14:textId="11EEB5FC"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Acea parte a creanțelor privind impozitul amânat care se bazează pe profitabilitatea viitoare și decurg din diferențele temporare și acea parte a deținerilor directe, indirecte și sintetice de către </w:t>
            </w:r>
            <w:r w:rsidRPr="00D238C5">
              <w:rPr>
                <w:rFonts w:ascii="Times New Roman" w:eastAsia="Times New Roman" w:hAnsi="Times New Roman" w:cs="Times New Roman"/>
                <w:kern w:val="0"/>
                <w:lang w:eastAsia="ro-MD"/>
                <w14:ligatures w14:val="none"/>
              </w:rPr>
              <w:t>banc</w:t>
            </w:r>
            <w:r w:rsidRPr="00D238C5">
              <w:rPr>
                <w:rFonts w:ascii="Times New Roman" w:eastAsia="Times New Roman" w:hAnsi="Times New Roman" w:cs="Times New Roman"/>
                <w:kern w:val="0"/>
                <w:lang w:val="ro-RO" w:eastAsia="ro-MD"/>
                <w14:ligatures w14:val="none"/>
              </w:rPr>
              <w:t>ă</w:t>
            </w:r>
            <w:r w:rsidRPr="00D238C5">
              <w:rPr>
                <w:rFonts w:ascii="Times New Roman" w:eastAsia="Times New Roman" w:hAnsi="Times New Roman" w:cs="Times New Roman"/>
                <w:kern w:val="0"/>
                <w:lang w:eastAsia="ro-MD"/>
                <w14:ligatures w14:val="none"/>
              </w:rPr>
              <w:t xml:space="preserve"> de instrumente de fonduri proprii de nivel 1 de bază ale entităților din sectorul financiar  în care banca deține o investiție semnificativă care trebuie dedusă aplicând pragul de 17,65 % de la </w:t>
            </w:r>
            <w:r>
              <w:rPr>
                <w:rFonts w:ascii="Times New Roman" w:eastAsia="Times New Roman" w:hAnsi="Times New Roman" w:cs="Times New Roman"/>
                <w:kern w:val="0"/>
                <w:lang w:eastAsia="ro-MD"/>
                <w14:ligatures w14:val="none"/>
              </w:rPr>
              <w:t>p</w:t>
            </w:r>
            <w:r w:rsidRPr="00055BF1">
              <w:rPr>
                <w:rFonts w:ascii="Times New Roman" w:hAnsi="Times New Roman" w:cs="Times New Roman"/>
                <w:color w:val="000000"/>
              </w:rPr>
              <w:t>unctul 6</w:t>
            </w:r>
            <w:r>
              <w:rPr>
                <w:rFonts w:ascii="Times New Roman" w:hAnsi="Times New Roman" w:cs="Times New Roman"/>
                <w:color w:val="000000"/>
              </w:rPr>
              <w:t>4</w:t>
            </w:r>
            <w:r w:rsidRPr="00055BF1">
              <w:rPr>
                <w:rFonts w:ascii="Times New Roman" w:hAnsi="Times New Roman" w:cs="Times New Roman"/>
                <w:color w:val="000000"/>
              </w:rPr>
              <w:t xml:space="preserve"> din </w:t>
            </w:r>
            <w:r>
              <w:rPr>
                <w:rFonts w:ascii="Times New Roman" w:hAnsi="Times New Roman" w:cs="Times New Roman"/>
                <w:color w:val="000000"/>
              </w:rPr>
              <w:t>Regulamentul nr.109/2018</w:t>
            </w:r>
            <w:r w:rsidRPr="00D238C5">
              <w:rPr>
                <w:rFonts w:ascii="Times New Roman" w:eastAsia="Times New Roman" w:hAnsi="Times New Roman" w:cs="Times New Roman"/>
                <w:kern w:val="0"/>
                <w:lang w:eastAsia="ro-MD"/>
                <w14:ligatures w14:val="none"/>
              </w:rPr>
              <w:t>.</w:t>
            </w:r>
          </w:p>
        </w:tc>
        <w:tc>
          <w:tcPr>
            <w:tcW w:w="452" w:type="pct"/>
          </w:tcPr>
          <w:p w14:paraId="1B311740"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766E0E" w14:paraId="1CD34CC4" w14:textId="4555C545" w:rsidTr="00D448C0">
        <w:trPr>
          <w:tblCellSpacing w:w="0" w:type="dxa"/>
        </w:trPr>
        <w:tc>
          <w:tcPr>
            <w:tcW w:w="260" w:type="pct"/>
            <w:hideMark/>
          </w:tcPr>
          <w:p w14:paraId="3705CA8A" w14:textId="77777777"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66E0E">
              <w:rPr>
                <w:rFonts w:ascii="Times New Roman" w:eastAsia="Times New Roman" w:hAnsi="Times New Roman" w:cs="Times New Roman"/>
                <w:color w:val="000000"/>
                <w:kern w:val="0"/>
                <w:lang w:eastAsia="ro-MD"/>
                <w14:ligatures w14:val="none"/>
              </w:rPr>
              <w:t>0511</w:t>
            </w:r>
          </w:p>
        </w:tc>
        <w:tc>
          <w:tcPr>
            <w:tcW w:w="4288" w:type="pct"/>
            <w:hideMark/>
          </w:tcPr>
          <w:p w14:paraId="0B3F859B" w14:textId="2800BD46"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1.1.1.25.1. (-) Cuantum care depășește pragul de 17,65 % aferent instrumentelor de fonduri proprii de nivel 1 de bază ale entităților din sectorul financiar în care banca deține o investiție semnificativă</w:t>
            </w:r>
          </w:p>
          <w:p w14:paraId="7437D42A" w14:textId="6D32E47F"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66E0E">
              <w:rPr>
                <w:rFonts w:ascii="Times New Roman" w:hAnsi="Times New Roman" w:cs="Times New Roman"/>
                <w:color w:val="000000"/>
              </w:rPr>
              <w:t>Punctul 66 din Regulamentul nr.109/2018</w:t>
            </w:r>
          </w:p>
        </w:tc>
        <w:tc>
          <w:tcPr>
            <w:tcW w:w="452" w:type="pct"/>
          </w:tcPr>
          <w:p w14:paraId="067DCBCD" w14:textId="77777777"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766E0E" w14:paraId="7A2F1BA4" w14:textId="230021E2" w:rsidTr="00D448C0">
        <w:trPr>
          <w:tblCellSpacing w:w="0" w:type="dxa"/>
        </w:trPr>
        <w:tc>
          <w:tcPr>
            <w:tcW w:w="260" w:type="pct"/>
            <w:hideMark/>
          </w:tcPr>
          <w:p w14:paraId="7134B844" w14:textId="77777777"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66E0E">
              <w:rPr>
                <w:rFonts w:ascii="Times New Roman" w:eastAsia="Times New Roman" w:hAnsi="Times New Roman" w:cs="Times New Roman"/>
                <w:color w:val="000000"/>
                <w:kern w:val="0"/>
                <w:lang w:eastAsia="ro-MD"/>
                <w14:ligatures w14:val="none"/>
              </w:rPr>
              <w:t>0512</w:t>
            </w:r>
          </w:p>
        </w:tc>
        <w:tc>
          <w:tcPr>
            <w:tcW w:w="4288" w:type="pct"/>
            <w:hideMark/>
          </w:tcPr>
          <w:p w14:paraId="100DFE59"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1.1.1.25.2. (-) Cuantum care depășește pragul de 17,65 % aferent creanțelor privind impozitul amânat care decurg din diferențe temporare</w:t>
            </w:r>
          </w:p>
          <w:p w14:paraId="0E8E0A55" w14:textId="71100BAC"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66E0E">
              <w:rPr>
                <w:rFonts w:ascii="Times New Roman" w:hAnsi="Times New Roman" w:cs="Times New Roman"/>
                <w:color w:val="000000"/>
              </w:rPr>
              <w:lastRenderedPageBreak/>
              <w:t>Punctul 65 din Regulamentul nr.109/2018</w:t>
            </w:r>
          </w:p>
        </w:tc>
        <w:tc>
          <w:tcPr>
            <w:tcW w:w="452" w:type="pct"/>
          </w:tcPr>
          <w:p w14:paraId="5720AD99" w14:textId="77777777"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766E0E" w14:paraId="647CED65" w14:textId="1BB09FE6" w:rsidTr="00D448C0">
        <w:trPr>
          <w:tblCellSpacing w:w="0" w:type="dxa"/>
        </w:trPr>
        <w:tc>
          <w:tcPr>
            <w:tcW w:w="260" w:type="pct"/>
            <w:hideMark/>
          </w:tcPr>
          <w:p w14:paraId="7C446EB1" w14:textId="77777777"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66E0E">
              <w:rPr>
                <w:rFonts w:ascii="Times New Roman" w:eastAsia="Times New Roman" w:hAnsi="Times New Roman" w:cs="Times New Roman"/>
                <w:color w:val="000000"/>
                <w:kern w:val="0"/>
                <w:lang w:eastAsia="ro-MD"/>
                <w14:ligatures w14:val="none"/>
              </w:rPr>
              <w:t>0513</w:t>
            </w:r>
          </w:p>
        </w:tc>
        <w:tc>
          <w:tcPr>
            <w:tcW w:w="4288" w:type="pct"/>
            <w:hideMark/>
          </w:tcPr>
          <w:p w14:paraId="68576FEA"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1.1.1.25A (-) Acoperirea insuficientă a expunerilor neperformante</w:t>
            </w:r>
          </w:p>
          <w:p w14:paraId="7D6D4855" w14:textId="4DF646E2" w:rsidR="00D448C0" w:rsidRPr="00766E0E" w:rsidRDefault="00D448C0" w:rsidP="00B973D9">
            <w:pPr>
              <w:pStyle w:val="lf"/>
              <w:spacing w:before="0" w:beforeAutospacing="0" w:after="0" w:afterAutospacing="0"/>
              <w:rPr>
                <w:color w:val="000000"/>
              </w:rPr>
            </w:pPr>
            <w:r w:rsidRPr="00766E0E">
              <w:rPr>
                <w:color w:val="000000"/>
                <w:sz w:val="22"/>
                <w:szCs w:val="22"/>
              </w:rPr>
              <w:t>Punctul 30 subpunctul 12) și punctele 67</w:t>
            </w:r>
            <w:r w:rsidRPr="00766E0E">
              <w:rPr>
                <w:color w:val="000000"/>
                <w:sz w:val="22"/>
                <w:szCs w:val="22"/>
                <w:vertAlign w:val="superscript"/>
              </w:rPr>
              <w:t>17</w:t>
            </w:r>
            <w:r w:rsidRPr="00766E0E">
              <w:rPr>
                <w:color w:val="000000"/>
                <w:sz w:val="22"/>
                <w:szCs w:val="22"/>
              </w:rPr>
              <w:t xml:space="preserve"> – 67</w:t>
            </w:r>
            <w:r w:rsidRPr="00766E0E">
              <w:rPr>
                <w:color w:val="000000"/>
                <w:sz w:val="22"/>
                <w:szCs w:val="22"/>
                <w:vertAlign w:val="superscript"/>
              </w:rPr>
              <w:t>26</w:t>
            </w:r>
            <w:r w:rsidRPr="00766E0E">
              <w:rPr>
                <w:color w:val="000000"/>
                <w:sz w:val="22"/>
                <w:szCs w:val="22"/>
              </w:rPr>
              <w:t xml:space="preserve"> din Regulamentul nr.109/2018.</w:t>
            </w:r>
          </w:p>
        </w:tc>
        <w:tc>
          <w:tcPr>
            <w:tcW w:w="452" w:type="pct"/>
          </w:tcPr>
          <w:p w14:paraId="61F301CF" w14:textId="77777777"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766E0E" w14:paraId="75ECCA34" w14:textId="42995870" w:rsidTr="00D448C0">
        <w:trPr>
          <w:tblCellSpacing w:w="0" w:type="dxa"/>
        </w:trPr>
        <w:tc>
          <w:tcPr>
            <w:tcW w:w="260" w:type="pct"/>
            <w:hideMark/>
          </w:tcPr>
          <w:p w14:paraId="27AC3A19" w14:textId="77777777"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66E0E">
              <w:rPr>
                <w:rFonts w:ascii="Times New Roman" w:eastAsia="Times New Roman" w:hAnsi="Times New Roman" w:cs="Times New Roman"/>
                <w:color w:val="000000"/>
                <w:kern w:val="0"/>
                <w:lang w:eastAsia="ro-MD"/>
                <w14:ligatures w14:val="none"/>
              </w:rPr>
              <w:t>0514</w:t>
            </w:r>
          </w:p>
        </w:tc>
        <w:tc>
          <w:tcPr>
            <w:tcW w:w="4288" w:type="pct"/>
            <w:hideMark/>
          </w:tcPr>
          <w:p w14:paraId="153D94F8"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1.1.1.25B (-) Deficite ale angajamentului de valoare minimă</w:t>
            </w:r>
          </w:p>
          <w:p w14:paraId="7688B74C" w14:textId="154295CF"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66E0E">
              <w:rPr>
                <w:rFonts w:ascii="Times New Roman" w:eastAsia="Times New Roman" w:hAnsi="Times New Roman" w:cs="Times New Roman"/>
                <w:color w:val="000000"/>
                <w:kern w:val="0"/>
                <w:lang w:eastAsia="ro-MD"/>
                <w14:ligatures w14:val="none"/>
              </w:rPr>
              <w:t>Punctul 30 subpunctul 13) din Regulamentul nr.109/2018.</w:t>
            </w:r>
          </w:p>
        </w:tc>
        <w:tc>
          <w:tcPr>
            <w:tcW w:w="452" w:type="pct"/>
          </w:tcPr>
          <w:p w14:paraId="0FE28C4B" w14:textId="77777777"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766E0E" w14:paraId="7C196C7F" w14:textId="012CD74A" w:rsidTr="00D448C0">
        <w:trPr>
          <w:tblCellSpacing w:w="0" w:type="dxa"/>
        </w:trPr>
        <w:tc>
          <w:tcPr>
            <w:tcW w:w="260" w:type="pct"/>
            <w:hideMark/>
          </w:tcPr>
          <w:p w14:paraId="181626CD" w14:textId="77777777"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66E0E">
              <w:rPr>
                <w:rFonts w:ascii="Times New Roman" w:eastAsia="Times New Roman" w:hAnsi="Times New Roman" w:cs="Times New Roman"/>
                <w:color w:val="000000"/>
                <w:kern w:val="0"/>
                <w:lang w:eastAsia="ro-MD"/>
                <w14:ligatures w14:val="none"/>
              </w:rPr>
              <w:t>0515</w:t>
            </w:r>
          </w:p>
        </w:tc>
        <w:tc>
          <w:tcPr>
            <w:tcW w:w="4288" w:type="pct"/>
            <w:hideMark/>
          </w:tcPr>
          <w:p w14:paraId="24DB4E55"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1.1.1.25C (-) Alte impozite previzibile</w:t>
            </w:r>
          </w:p>
          <w:p w14:paraId="76B83DEA" w14:textId="77777777" w:rsidR="00D238C5"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66E0E">
              <w:rPr>
                <w:rFonts w:ascii="Times New Roman" w:eastAsia="Times New Roman" w:hAnsi="Times New Roman" w:cs="Times New Roman"/>
                <w:color w:val="000000"/>
                <w:kern w:val="0"/>
                <w:lang w:eastAsia="ro-MD"/>
                <w14:ligatures w14:val="none"/>
              </w:rPr>
              <w:t>Punctul 30 subpunctul 11) din Regulamentul nr.109/2018</w:t>
            </w:r>
            <w:r w:rsidR="00D238C5">
              <w:rPr>
                <w:rFonts w:ascii="Times New Roman" w:eastAsia="Times New Roman" w:hAnsi="Times New Roman" w:cs="Times New Roman"/>
                <w:color w:val="000000"/>
                <w:kern w:val="0"/>
                <w:lang w:eastAsia="ro-MD"/>
                <w14:ligatures w14:val="none"/>
              </w:rPr>
              <w:t xml:space="preserve"> </w:t>
            </w:r>
          </w:p>
          <w:p w14:paraId="45DAF5ED" w14:textId="5783CF65"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66E0E">
              <w:rPr>
                <w:rFonts w:ascii="Times New Roman" w:eastAsia="Times New Roman" w:hAnsi="Times New Roman" w:cs="Times New Roman"/>
                <w:color w:val="000000"/>
                <w:kern w:val="0"/>
                <w:lang w:eastAsia="ro-MD"/>
                <w14:ligatures w14:val="none"/>
              </w:rPr>
              <w:t>Impozite referitoare la elementele de fonduri proprii de nivel 1 de bază previzibile la momentul calculării lor, altele decât impozitele care au fost deja luate în considerare la orice alt rând care reflectă elementele de fonduri proprii de nivel 1 de bază prin reducerea cuantumului respectivelor elemente de fonduri proprii de nivel 1 de bază.</w:t>
            </w:r>
          </w:p>
        </w:tc>
        <w:tc>
          <w:tcPr>
            <w:tcW w:w="452" w:type="pct"/>
          </w:tcPr>
          <w:p w14:paraId="304BF4A5" w14:textId="77777777"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7B940138" w14:textId="6CF531B6" w:rsidTr="00D448C0">
        <w:trPr>
          <w:tblCellSpacing w:w="0" w:type="dxa"/>
        </w:trPr>
        <w:tc>
          <w:tcPr>
            <w:tcW w:w="260" w:type="pct"/>
            <w:hideMark/>
          </w:tcPr>
          <w:p w14:paraId="76643773" w14:textId="77777777"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66E0E">
              <w:rPr>
                <w:rFonts w:ascii="Times New Roman" w:eastAsia="Times New Roman" w:hAnsi="Times New Roman" w:cs="Times New Roman"/>
                <w:color w:val="000000"/>
                <w:kern w:val="0"/>
                <w:lang w:eastAsia="ro-MD"/>
                <w14:ligatures w14:val="none"/>
              </w:rPr>
              <w:t>0520</w:t>
            </w:r>
          </w:p>
        </w:tc>
        <w:tc>
          <w:tcPr>
            <w:tcW w:w="4288" w:type="pct"/>
            <w:hideMark/>
          </w:tcPr>
          <w:p w14:paraId="7DB02598"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1.1.1.26. Alte ajustări tranzitorii aferente fondurilor proprii de nivel 1 de bază</w:t>
            </w:r>
          </w:p>
          <w:p w14:paraId="1A3EF043" w14:textId="3CE9313E"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p>
        </w:tc>
        <w:tc>
          <w:tcPr>
            <w:tcW w:w="452" w:type="pct"/>
          </w:tcPr>
          <w:p w14:paraId="1580FB4F" w14:textId="72A4FFB5" w:rsidR="00D448C0" w:rsidRPr="00DF75E3" w:rsidRDefault="00F659A0" w:rsidP="00B973D9">
            <w:pPr>
              <w:spacing w:after="0"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blocat</w:t>
            </w:r>
          </w:p>
        </w:tc>
      </w:tr>
      <w:tr w:rsidR="00D448C0" w:rsidRPr="00260C32" w14:paraId="666BBBA8" w14:textId="1035BC07" w:rsidTr="00D448C0">
        <w:trPr>
          <w:tblCellSpacing w:w="0" w:type="dxa"/>
        </w:trPr>
        <w:tc>
          <w:tcPr>
            <w:tcW w:w="260" w:type="pct"/>
            <w:hideMark/>
          </w:tcPr>
          <w:p w14:paraId="77FFBB19"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0524</w:t>
            </w:r>
          </w:p>
        </w:tc>
        <w:tc>
          <w:tcPr>
            <w:tcW w:w="4288" w:type="pct"/>
            <w:hideMark/>
          </w:tcPr>
          <w:p w14:paraId="051670E6" w14:textId="77777777" w:rsidR="008F2835"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1.1.1.27. Deduceri suplimentare din fondurile proprii de nivel 1 de bază efectuate în temeiul punctului 3 din Regulamentul nr.109/2018</w:t>
            </w:r>
          </w:p>
          <w:p w14:paraId="2C9B254F" w14:textId="4FB80685" w:rsidR="00D448C0" w:rsidRPr="00825F64"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Punctul 3 din Regulamentul nr.109/2018</w:t>
            </w:r>
          </w:p>
          <w:p w14:paraId="77572D24" w14:textId="352DFFA7"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6F6C14">
              <w:rPr>
                <w:rFonts w:ascii="Times New Roman" w:eastAsia="Times New Roman" w:hAnsi="Times New Roman" w:cs="Times New Roman"/>
                <w:color w:val="000000"/>
                <w:kern w:val="0"/>
                <w:lang w:eastAsia="ro-MD"/>
                <w14:ligatures w14:val="none"/>
              </w:rPr>
              <w:t xml:space="preserve">În cazul în care o </w:t>
            </w:r>
            <w:r w:rsidR="00403D3B">
              <w:rPr>
                <w:rFonts w:ascii="Times New Roman" w:eastAsia="Times New Roman" w:hAnsi="Times New Roman" w:cs="Times New Roman"/>
                <w:color w:val="000000"/>
                <w:kern w:val="0"/>
                <w:lang w:eastAsia="ro-MD"/>
                <w14:ligatures w14:val="none"/>
              </w:rPr>
              <w:t>bancă</w:t>
            </w:r>
            <w:r w:rsidRPr="006F6C14">
              <w:rPr>
                <w:rFonts w:ascii="Times New Roman" w:eastAsia="Times New Roman" w:hAnsi="Times New Roman" w:cs="Times New Roman"/>
                <w:color w:val="000000"/>
                <w:kern w:val="0"/>
                <w:lang w:eastAsia="ro-MD"/>
                <w14:ligatures w14:val="none"/>
              </w:rPr>
              <w:t xml:space="preserve"> decide să își deducă integral programele informatice în conformitate cu </w:t>
            </w:r>
            <w:r w:rsidRPr="00825F64">
              <w:rPr>
                <w:rFonts w:ascii="Times New Roman" w:eastAsia="Times New Roman" w:hAnsi="Times New Roman" w:cs="Times New Roman"/>
                <w:color w:val="000000"/>
                <w:kern w:val="0"/>
                <w:lang w:eastAsia="ro-MD"/>
                <w14:ligatures w14:val="none"/>
              </w:rPr>
              <w:t>punctul 3 din Regulamentul nr.109/2018</w:t>
            </w:r>
            <w:r w:rsidRPr="006F6C14">
              <w:rPr>
                <w:rFonts w:ascii="Times New Roman" w:eastAsia="Times New Roman" w:hAnsi="Times New Roman" w:cs="Times New Roman"/>
                <w:color w:val="000000"/>
                <w:kern w:val="0"/>
                <w:lang w:eastAsia="ro-MD"/>
                <w14:ligatures w14:val="none"/>
              </w:rPr>
              <w:t xml:space="preserve">, în loc să aplice tratamentul </w:t>
            </w:r>
            <w:r w:rsidRPr="008B0449">
              <w:rPr>
                <w:rFonts w:ascii="Times New Roman" w:eastAsia="Times New Roman" w:hAnsi="Times New Roman" w:cs="Times New Roman"/>
                <w:color w:val="000000"/>
                <w:kern w:val="0"/>
                <w:lang w:eastAsia="ro-MD"/>
                <w14:ligatures w14:val="none"/>
              </w:rPr>
              <w:t xml:space="preserve">prevăzut la </w:t>
            </w:r>
            <w:r w:rsidR="008B0449" w:rsidRPr="008B0449">
              <w:rPr>
                <w:rFonts w:ascii="Times New Roman" w:eastAsia="Times New Roman" w:hAnsi="Times New Roman" w:cs="Times New Roman"/>
                <w:kern w:val="0"/>
                <w:lang w:val="ro-RO" w:eastAsia="de-DE"/>
                <w14:ligatures w14:val="none"/>
              </w:rPr>
              <w:t>punctul</w:t>
            </w:r>
            <w:r w:rsidR="008B0449">
              <w:rPr>
                <w:rFonts w:ascii="Times New Roman" w:eastAsia="Times New Roman" w:hAnsi="Times New Roman" w:cs="Times New Roman"/>
                <w:kern w:val="0"/>
                <w:lang w:val="ro-RO" w:eastAsia="de-DE"/>
                <w14:ligatures w14:val="none"/>
              </w:rPr>
              <w:t xml:space="preserve"> 37</w:t>
            </w:r>
            <w:r w:rsidR="008B0449" w:rsidRPr="00352FA2">
              <w:rPr>
                <w:rFonts w:ascii="Times New Roman" w:eastAsia="Times New Roman" w:hAnsi="Times New Roman" w:cs="Times New Roman"/>
                <w:kern w:val="0"/>
                <w:vertAlign w:val="superscript"/>
                <w:lang w:val="ro-RO" w:eastAsia="de-DE"/>
                <w14:ligatures w14:val="none"/>
              </w:rPr>
              <w:t>1</w:t>
            </w:r>
            <w:r w:rsidR="008B0449">
              <w:rPr>
                <w:rFonts w:ascii="Times New Roman" w:eastAsia="Times New Roman" w:hAnsi="Times New Roman" w:cs="Times New Roman"/>
                <w:kern w:val="0"/>
                <w:lang w:val="ro-RO" w:eastAsia="de-DE"/>
                <w14:ligatures w14:val="none"/>
              </w:rPr>
              <w:t xml:space="preserve"> </w:t>
            </w:r>
            <w:r w:rsidR="008B0449" w:rsidRPr="00F3618C">
              <w:rPr>
                <w:rFonts w:ascii="Times New Roman" w:eastAsia="Times New Roman" w:hAnsi="Times New Roman" w:cs="Times New Roman"/>
                <w:kern w:val="0"/>
                <w:lang w:val="ro-RO" w:eastAsia="de-DE"/>
                <w14:ligatures w14:val="none"/>
              </w:rPr>
              <w:t>din Regulamentul nr.109/</w:t>
            </w:r>
            <w:r w:rsidR="008B0449">
              <w:rPr>
                <w:rFonts w:ascii="Times New Roman" w:eastAsia="Times New Roman" w:hAnsi="Times New Roman" w:cs="Times New Roman"/>
                <w:kern w:val="0"/>
                <w:lang w:val="ro-RO" w:eastAsia="de-DE"/>
                <w14:ligatures w14:val="none"/>
              </w:rPr>
              <w:t>2018</w:t>
            </w:r>
            <w:r w:rsidRPr="006F6C14">
              <w:rPr>
                <w:rFonts w:ascii="Times New Roman" w:eastAsia="Times New Roman" w:hAnsi="Times New Roman" w:cs="Times New Roman"/>
                <w:color w:val="000000"/>
                <w:kern w:val="0"/>
                <w:lang w:eastAsia="ro-MD"/>
                <w14:ligatures w14:val="none"/>
              </w:rPr>
              <w:t>, cuantumul suplimentar dedus nu se raportează pe acest rând, ci pe rândul 0352.</w:t>
            </w:r>
          </w:p>
        </w:tc>
        <w:tc>
          <w:tcPr>
            <w:tcW w:w="452" w:type="pct"/>
          </w:tcPr>
          <w:p w14:paraId="787B001A" w14:textId="33FE1E50" w:rsidR="00D448C0" w:rsidRPr="00DF75E3" w:rsidRDefault="00D448C0" w:rsidP="00B973D9">
            <w:pPr>
              <w:spacing w:after="0" w:line="240" w:lineRule="auto"/>
              <w:jc w:val="center"/>
              <w:rPr>
                <w:rFonts w:ascii="Times New Roman" w:eastAsia="Times New Roman" w:hAnsi="Times New Roman" w:cs="Times New Roman"/>
                <w:color w:val="000000"/>
                <w:kern w:val="0"/>
                <w:lang w:eastAsia="ro-MD"/>
                <w14:ligatures w14:val="none"/>
              </w:rPr>
            </w:pPr>
          </w:p>
        </w:tc>
      </w:tr>
      <w:tr w:rsidR="00D448C0" w:rsidRPr="00260C32" w14:paraId="05CCD7F0" w14:textId="21BFE20E" w:rsidTr="00D448C0">
        <w:trPr>
          <w:tblCellSpacing w:w="0" w:type="dxa"/>
        </w:trPr>
        <w:tc>
          <w:tcPr>
            <w:tcW w:w="260" w:type="pct"/>
            <w:hideMark/>
          </w:tcPr>
          <w:p w14:paraId="4E0B065B"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0529</w:t>
            </w:r>
          </w:p>
        </w:tc>
        <w:tc>
          <w:tcPr>
            <w:tcW w:w="4288" w:type="pct"/>
            <w:hideMark/>
          </w:tcPr>
          <w:p w14:paraId="17FFA13C"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1.1.1.28. Elemente ale fondurilor proprii de nivel 1 de bază sau deduceri din acestea – altele</w:t>
            </w:r>
          </w:p>
          <w:p w14:paraId="5CDC2D90" w14:textId="4862FBEB"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DF75E3">
              <w:rPr>
                <w:rFonts w:ascii="Times New Roman" w:eastAsia="Times New Roman" w:hAnsi="Times New Roman" w:cs="Times New Roman"/>
                <w:color w:val="000000"/>
                <w:kern w:val="0"/>
                <w:lang w:eastAsia="ro-MD"/>
                <w14:ligatures w14:val="none"/>
              </w:rPr>
              <w:t xml:space="preserve">Acest rând este menit să ofere flexibilitate exclusiv în scopul raportării. Acesta trebuie completat numai în cazurile rare în care nu există nicio decizie finală cu privire la raportarea unor elemente specifice de capital/deduceri din capital în actualul formular CA1. Prin urmare, acest rând nu se completează decât în cazul în care un element de capital al fondurilor proprii de nivel 1 de bază sau o deducere dintr-un element al fondurilor proprii de nivel 1 de bază nu se poate înscrie </w:t>
            </w:r>
            <w:proofErr w:type="spellStart"/>
            <w:r w:rsidRPr="00DF75E3">
              <w:rPr>
                <w:rFonts w:ascii="Times New Roman" w:eastAsia="Times New Roman" w:hAnsi="Times New Roman" w:cs="Times New Roman"/>
                <w:color w:val="000000"/>
                <w:kern w:val="0"/>
                <w:lang w:eastAsia="ro-MD"/>
                <w14:ligatures w14:val="none"/>
              </w:rPr>
              <w:t>într</w:t>
            </w:r>
            <w:proofErr w:type="spellEnd"/>
            <w:r w:rsidRPr="00DF75E3">
              <w:rPr>
                <w:rFonts w:ascii="Times New Roman" w:eastAsia="Times New Roman" w:hAnsi="Times New Roman" w:cs="Times New Roman"/>
                <w:color w:val="000000"/>
                <w:kern w:val="0"/>
                <w:lang w:eastAsia="ro-MD"/>
                <w14:ligatures w14:val="none"/>
              </w:rPr>
              <w:t>-unul din rândurile 020-524.</w:t>
            </w:r>
          </w:p>
        </w:tc>
        <w:tc>
          <w:tcPr>
            <w:tcW w:w="452" w:type="pct"/>
          </w:tcPr>
          <w:p w14:paraId="594FE942" w14:textId="77777777"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2DC00932" w14:textId="69B46F54" w:rsidTr="00D448C0">
        <w:trPr>
          <w:tblCellSpacing w:w="0" w:type="dxa"/>
        </w:trPr>
        <w:tc>
          <w:tcPr>
            <w:tcW w:w="260" w:type="pct"/>
            <w:hideMark/>
          </w:tcPr>
          <w:p w14:paraId="1E84D7E0"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0530</w:t>
            </w:r>
          </w:p>
        </w:tc>
        <w:tc>
          <w:tcPr>
            <w:tcW w:w="4288" w:type="pct"/>
            <w:hideMark/>
          </w:tcPr>
          <w:p w14:paraId="695A5D00" w14:textId="15A31A43"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 Fonduri proprii de nivel 1 suplimentar</w:t>
            </w:r>
          </w:p>
          <w:p w14:paraId="4AAEC4C8" w14:textId="1CF51CBF"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DF75E3">
              <w:rPr>
                <w:rFonts w:ascii="Times New Roman" w:eastAsia="Times New Roman" w:hAnsi="Times New Roman" w:cs="Times New Roman"/>
                <w:color w:val="000000"/>
                <w:kern w:val="0"/>
                <w:lang w:eastAsia="ro-MD"/>
                <w14:ligatures w14:val="none"/>
              </w:rPr>
              <w:t xml:space="preserve"> Punctul 8 din Regulamentul nr.109/2018</w:t>
            </w:r>
          </w:p>
        </w:tc>
        <w:tc>
          <w:tcPr>
            <w:tcW w:w="452" w:type="pct"/>
          </w:tcPr>
          <w:p w14:paraId="4A1FC800" w14:textId="77777777"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22B4FEAB" w14:textId="404883B6" w:rsidTr="00D448C0">
        <w:trPr>
          <w:tblCellSpacing w:w="0" w:type="dxa"/>
        </w:trPr>
        <w:tc>
          <w:tcPr>
            <w:tcW w:w="260" w:type="pct"/>
            <w:hideMark/>
          </w:tcPr>
          <w:p w14:paraId="3B2D8327"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0540</w:t>
            </w:r>
          </w:p>
        </w:tc>
        <w:tc>
          <w:tcPr>
            <w:tcW w:w="4288" w:type="pct"/>
            <w:hideMark/>
          </w:tcPr>
          <w:p w14:paraId="5C0D4DA7"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1.1.2.1. Instrumente de capital eligibile drept fonduri proprii de nivel 1 suplimentar</w:t>
            </w:r>
          </w:p>
          <w:p w14:paraId="0568DB62" w14:textId="1CCC9E9F"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DF75E3">
              <w:rPr>
                <w:rFonts w:ascii="Times New Roman" w:eastAsia="Times New Roman" w:hAnsi="Times New Roman" w:cs="Times New Roman"/>
                <w:color w:val="000000"/>
                <w:kern w:val="0"/>
                <w:lang w:eastAsia="ro-MD"/>
                <w14:ligatures w14:val="none"/>
              </w:rPr>
              <w:t xml:space="preserve">Punctul 68 subpunctul 1), punctele 70, 72-79, punctul 87 subpunctul 1) </w:t>
            </w:r>
            <w:proofErr w:type="spellStart"/>
            <w:r w:rsidRPr="00DF75E3">
              <w:rPr>
                <w:rFonts w:ascii="Times New Roman" w:eastAsia="Times New Roman" w:hAnsi="Times New Roman" w:cs="Times New Roman"/>
                <w:color w:val="000000"/>
                <w:kern w:val="0"/>
                <w:lang w:eastAsia="ro-MD"/>
                <w14:ligatures w14:val="none"/>
              </w:rPr>
              <w:t>şi</w:t>
            </w:r>
            <w:proofErr w:type="spellEnd"/>
            <w:r w:rsidRPr="00DF75E3">
              <w:rPr>
                <w:rFonts w:ascii="Times New Roman" w:eastAsia="Times New Roman" w:hAnsi="Times New Roman" w:cs="Times New Roman"/>
                <w:color w:val="000000"/>
                <w:kern w:val="0"/>
                <w:lang w:eastAsia="ro-MD"/>
                <w14:ligatures w14:val="none"/>
              </w:rPr>
              <w:t xml:space="preserve"> punctul 88 din Regulamentul nr.109/2018</w:t>
            </w:r>
          </w:p>
        </w:tc>
        <w:tc>
          <w:tcPr>
            <w:tcW w:w="452" w:type="pct"/>
          </w:tcPr>
          <w:p w14:paraId="38F1C38B" w14:textId="77777777"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015AA9CF" w14:textId="2DE790F3" w:rsidTr="00D448C0">
        <w:trPr>
          <w:tblCellSpacing w:w="0" w:type="dxa"/>
        </w:trPr>
        <w:tc>
          <w:tcPr>
            <w:tcW w:w="260" w:type="pct"/>
            <w:hideMark/>
          </w:tcPr>
          <w:p w14:paraId="149AA537" w14:textId="77777777"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66E0E">
              <w:rPr>
                <w:rFonts w:ascii="Times New Roman" w:eastAsia="Times New Roman" w:hAnsi="Times New Roman" w:cs="Times New Roman"/>
                <w:color w:val="000000"/>
                <w:kern w:val="0"/>
                <w:lang w:eastAsia="ro-MD"/>
                <w14:ligatures w14:val="none"/>
              </w:rPr>
              <w:t>0551</w:t>
            </w:r>
          </w:p>
        </w:tc>
        <w:tc>
          <w:tcPr>
            <w:tcW w:w="4288" w:type="pct"/>
            <w:hideMark/>
          </w:tcPr>
          <w:p w14:paraId="0BC0E036"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1.1.2.1.1. Instrumente de capital plătite integral și emise direct</w:t>
            </w:r>
          </w:p>
          <w:p w14:paraId="0C378924" w14:textId="77777777" w:rsidR="008F2835"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66E0E">
              <w:rPr>
                <w:rFonts w:ascii="Times New Roman" w:eastAsia="Times New Roman" w:hAnsi="Times New Roman" w:cs="Times New Roman"/>
                <w:color w:val="000000"/>
                <w:kern w:val="0"/>
                <w:lang w:eastAsia="ro-MD"/>
                <w14:ligatures w14:val="none"/>
              </w:rPr>
              <w:t>Punctul 68 subpunctul 1), punctele 70, 72-79 din Regulamentul nr.109/2018</w:t>
            </w:r>
          </w:p>
          <w:p w14:paraId="49815304" w14:textId="4BB57ADF"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66E0E">
              <w:rPr>
                <w:rFonts w:ascii="Times New Roman" w:eastAsia="Times New Roman" w:hAnsi="Times New Roman" w:cs="Times New Roman"/>
                <w:color w:val="000000"/>
                <w:kern w:val="0"/>
                <w:lang w:eastAsia="ro-MD"/>
                <w14:ligatures w14:val="none"/>
              </w:rPr>
              <w:t>Cuantumul care trebuie raportat nu include prima de emisiune aferentă instrumentelor.</w:t>
            </w:r>
          </w:p>
        </w:tc>
        <w:tc>
          <w:tcPr>
            <w:tcW w:w="452" w:type="pct"/>
          </w:tcPr>
          <w:p w14:paraId="27B091DF" w14:textId="77777777"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5D28ED49" w14:textId="3BD8D873" w:rsidTr="00D448C0">
        <w:trPr>
          <w:tblCellSpacing w:w="0" w:type="dxa"/>
        </w:trPr>
        <w:tc>
          <w:tcPr>
            <w:tcW w:w="260" w:type="pct"/>
            <w:hideMark/>
          </w:tcPr>
          <w:p w14:paraId="0E31119D"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0560</w:t>
            </w:r>
          </w:p>
        </w:tc>
        <w:tc>
          <w:tcPr>
            <w:tcW w:w="4288" w:type="pct"/>
            <w:hideMark/>
          </w:tcPr>
          <w:p w14:paraId="0B7D7C58"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1.1.2.1.2 (*) Element memorandum: instrumente de capital care nu sunt eligibile</w:t>
            </w:r>
          </w:p>
          <w:p w14:paraId="7745D0A4" w14:textId="77777777" w:rsidR="008F2835"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DF75E3">
              <w:rPr>
                <w:rFonts w:ascii="Times New Roman" w:eastAsia="Times New Roman" w:hAnsi="Times New Roman" w:cs="Times New Roman"/>
                <w:color w:val="000000"/>
                <w:kern w:val="0"/>
                <w:lang w:eastAsia="ro-MD"/>
                <w14:ligatures w14:val="none"/>
              </w:rPr>
              <w:t xml:space="preserve">Punctul 70 subpunctele 3), 5) </w:t>
            </w:r>
            <w:proofErr w:type="spellStart"/>
            <w:r w:rsidRPr="00DF75E3">
              <w:rPr>
                <w:rFonts w:ascii="Times New Roman" w:eastAsia="Times New Roman" w:hAnsi="Times New Roman" w:cs="Times New Roman"/>
                <w:color w:val="000000"/>
                <w:kern w:val="0"/>
                <w:lang w:eastAsia="ro-MD"/>
                <w14:ligatures w14:val="none"/>
              </w:rPr>
              <w:t>şi</w:t>
            </w:r>
            <w:proofErr w:type="spellEnd"/>
            <w:r w:rsidRPr="00DF75E3">
              <w:rPr>
                <w:rFonts w:ascii="Times New Roman" w:eastAsia="Times New Roman" w:hAnsi="Times New Roman" w:cs="Times New Roman"/>
                <w:color w:val="000000"/>
                <w:kern w:val="0"/>
                <w:lang w:eastAsia="ro-MD"/>
                <w14:ligatures w14:val="none"/>
              </w:rPr>
              <w:t xml:space="preserve"> 6) din Regulamentul nr.109/2018</w:t>
            </w:r>
          </w:p>
          <w:p w14:paraId="7CA3C37B" w14:textId="21BD53D5"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DF75E3">
              <w:rPr>
                <w:rFonts w:ascii="Times New Roman" w:eastAsia="Times New Roman" w:hAnsi="Times New Roman" w:cs="Times New Roman"/>
                <w:color w:val="000000"/>
                <w:kern w:val="0"/>
                <w:lang w:eastAsia="ro-MD"/>
                <w14:ligatures w14:val="none"/>
              </w:rPr>
              <w:t>Condițiile de la punctele respective reflectă diferitele situații ale capitalului care sunt reversibile și, prin urmare, cuantumul raportat aici poate fi eligibil în perioadele ulterioare.</w:t>
            </w:r>
          </w:p>
          <w:p w14:paraId="318F2FC9" w14:textId="77777777"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DF75E3">
              <w:rPr>
                <w:rFonts w:ascii="Times New Roman" w:eastAsia="Times New Roman" w:hAnsi="Times New Roman" w:cs="Times New Roman"/>
                <w:color w:val="000000"/>
                <w:kern w:val="0"/>
                <w:lang w:eastAsia="ro-MD"/>
                <w14:ligatures w14:val="none"/>
              </w:rPr>
              <w:t>Cuantumul care trebuie raportat nu include prima de emisiune aferentă instrumentelor.</w:t>
            </w:r>
          </w:p>
        </w:tc>
        <w:tc>
          <w:tcPr>
            <w:tcW w:w="452" w:type="pct"/>
          </w:tcPr>
          <w:p w14:paraId="08F495B6" w14:textId="77777777"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6EB1B1B5" w14:textId="2A202A1B" w:rsidTr="00D448C0">
        <w:trPr>
          <w:tblCellSpacing w:w="0" w:type="dxa"/>
        </w:trPr>
        <w:tc>
          <w:tcPr>
            <w:tcW w:w="260" w:type="pct"/>
            <w:hideMark/>
          </w:tcPr>
          <w:p w14:paraId="0623FD5D"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0571</w:t>
            </w:r>
          </w:p>
        </w:tc>
        <w:tc>
          <w:tcPr>
            <w:tcW w:w="4288" w:type="pct"/>
            <w:hideMark/>
          </w:tcPr>
          <w:p w14:paraId="2DBB8538"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1.1.2.1.3. Prima de emisiune</w:t>
            </w:r>
          </w:p>
          <w:p w14:paraId="3A17E3A7" w14:textId="77777777" w:rsidR="008F2835"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DF75E3">
              <w:rPr>
                <w:rFonts w:ascii="Times New Roman" w:eastAsia="Times New Roman" w:hAnsi="Times New Roman" w:cs="Times New Roman"/>
                <w:color w:val="000000"/>
                <w:kern w:val="0"/>
                <w:lang w:eastAsia="ro-MD"/>
                <w14:ligatures w14:val="none"/>
              </w:rPr>
              <w:t>Punctul 68 subpunctul 2) din Regulamentul nr.109/2018</w:t>
            </w:r>
          </w:p>
          <w:p w14:paraId="2BC542C2" w14:textId="74715006"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DF75E3">
              <w:rPr>
                <w:rFonts w:ascii="Times New Roman" w:eastAsia="Times New Roman" w:hAnsi="Times New Roman" w:cs="Times New Roman"/>
                <w:color w:val="000000"/>
                <w:kern w:val="0"/>
                <w:lang w:eastAsia="ro-MD"/>
                <w14:ligatures w14:val="none"/>
              </w:rPr>
              <w:t>Prima de emisiune are același înțeles ca în standardul contabil aplicabil.</w:t>
            </w:r>
          </w:p>
          <w:p w14:paraId="499EDDD9" w14:textId="77777777"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DF75E3">
              <w:rPr>
                <w:rFonts w:ascii="Times New Roman" w:eastAsia="Times New Roman" w:hAnsi="Times New Roman" w:cs="Times New Roman"/>
                <w:color w:val="000000"/>
                <w:kern w:val="0"/>
                <w:lang w:eastAsia="ro-MD"/>
                <w14:ligatures w14:val="none"/>
              </w:rPr>
              <w:t>Cuantumul care urmează să fie raportat la acest punct trebuie să fie partea referitoare la „Instrumente de capital plătite integral și emise direct”.</w:t>
            </w:r>
          </w:p>
        </w:tc>
        <w:tc>
          <w:tcPr>
            <w:tcW w:w="452" w:type="pct"/>
          </w:tcPr>
          <w:p w14:paraId="2EFC101F" w14:textId="77777777"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50AAA0A8" w14:textId="17034596" w:rsidTr="00D448C0">
        <w:trPr>
          <w:tblCellSpacing w:w="0" w:type="dxa"/>
        </w:trPr>
        <w:tc>
          <w:tcPr>
            <w:tcW w:w="260" w:type="pct"/>
            <w:hideMark/>
          </w:tcPr>
          <w:p w14:paraId="31FB71D4"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0580</w:t>
            </w:r>
          </w:p>
        </w:tc>
        <w:tc>
          <w:tcPr>
            <w:tcW w:w="4288" w:type="pct"/>
            <w:hideMark/>
          </w:tcPr>
          <w:p w14:paraId="164A9C46"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1.1.2.1.4. (-) Instrumente proprii de fonduri proprii de nivel 1 suplimentar</w:t>
            </w:r>
          </w:p>
          <w:p w14:paraId="14EB598D" w14:textId="77777777" w:rsidR="008F2835" w:rsidRDefault="00D448C0" w:rsidP="00B973D9">
            <w:pPr>
              <w:spacing w:after="0" w:line="240" w:lineRule="auto"/>
              <w:rPr>
                <w:rFonts w:ascii="Times New Roman" w:hAnsi="Times New Roman" w:cs="Times New Roman"/>
              </w:rPr>
            </w:pPr>
            <w:r w:rsidRPr="00DF75E3">
              <w:rPr>
                <w:rFonts w:ascii="Times New Roman" w:eastAsia="Times New Roman" w:hAnsi="Times New Roman" w:cs="Times New Roman"/>
                <w:color w:val="000000"/>
                <w:kern w:val="0"/>
                <w:lang w:eastAsia="ro-MD"/>
                <w14:ligatures w14:val="none"/>
              </w:rPr>
              <w:t xml:space="preserve">Punctul 70 subpunctul 2), punctul 87 subpunctul 1) </w:t>
            </w:r>
            <w:proofErr w:type="spellStart"/>
            <w:r w:rsidRPr="00DF75E3">
              <w:rPr>
                <w:rFonts w:ascii="Times New Roman" w:eastAsia="Times New Roman" w:hAnsi="Times New Roman" w:cs="Times New Roman"/>
                <w:color w:val="000000"/>
                <w:kern w:val="0"/>
                <w:lang w:eastAsia="ro-MD"/>
                <w14:ligatures w14:val="none"/>
              </w:rPr>
              <w:t>şi</w:t>
            </w:r>
            <w:proofErr w:type="spellEnd"/>
            <w:r w:rsidRPr="00DF75E3">
              <w:rPr>
                <w:rFonts w:ascii="Times New Roman" w:eastAsia="Times New Roman" w:hAnsi="Times New Roman" w:cs="Times New Roman"/>
                <w:color w:val="000000"/>
                <w:kern w:val="0"/>
                <w:lang w:eastAsia="ro-MD"/>
                <w14:ligatures w14:val="none"/>
              </w:rPr>
              <w:t xml:space="preserve"> punctul 88 din Regulamentul nr.109/2018</w:t>
            </w:r>
            <w:r w:rsidRPr="00DF75E3">
              <w:rPr>
                <w:rFonts w:ascii="Times New Roman" w:hAnsi="Times New Roman" w:cs="Times New Roman"/>
              </w:rPr>
              <w:t>.</w:t>
            </w:r>
          </w:p>
          <w:p w14:paraId="5D852190" w14:textId="476BFD90"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DF75E3">
              <w:rPr>
                <w:rFonts w:ascii="Times New Roman" w:eastAsia="Times New Roman" w:hAnsi="Times New Roman" w:cs="Times New Roman"/>
                <w:color w:val="000000"/>
                <w:kern w:val="0"/>
                <w:lang w:eastAsia="ro-MD"/>
                <w14:ligatures w14:val="none"/>
              </w:rPr>
              <w:t>Instrumentele proprii de fonduri proprii de nivel 1 suplimentar deținute de bancă sau grupul raportor la data raportării. Sub rezerva excepțiilor prevăzute la punctul 88 din Regulamentul nr.109/2018.</w:t>
            </w:r>
          </w:p>
          <w:p w14:paraId="576584B3" w14:textId="77777777"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DF75E3">
              <w:rPr>
                <w:rFonts w:ascii="Times New Roman" w:eastAsia="Times New Roman" w:hAnsi="Times New Roman" w:cs="Times New Roman"/>
                <w:color w:val="000000"/>
                <w:kern w:val="0"/>
                <w:lang w:eastAsia="ro-MD"/>
                <w14:ligatures w14:val="none"/>
              </w:rPr>
              <w:t>Deținerile de acțiuni incluse ca „instrumente de capital care nu sunt eligibile” nu trebuie raportate pe acest rând.</w:t>
            </w:r>
          </w:p>
          <w:p w14:paraId="6CA0BCBD" w14:textId="77777777"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DF75E3">
              <w:rPr>
                <w:rFonts w:ascii="Times New Roman" w:eastAsia="Times New Roman" w:hAnsi="Times New Roman" w:cs="Times New Roman"/>
                <w:color w:val="000000"/>
                <w:kern w:val="0"/>
                <w:lang w:eastAsia="ro-MD"/>
                <w14:ligatures w14:val="none"/>
              </w:rPr>
              <w:t>Cuantumul care trebuie raportat include prima de emisiune aferentă acțiunilor proprii.</w:t>
            </w:r>
          </w:p>
          <w:p w14:paraId="6D758635" w14:textId="560DB124"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DF75E3">
              <w:rPr>
                <w:rFonts w:ascii="Times New Roman" w:eastAsia="Times New Roman" w:hAnsi="Times New Roman" w:cs="Times New Roman"/>
                <w:color w:val="000000"/>
                <w:kern w:val="0"/>
                <w:lang w:eastAsia="ro-MD"/>
                <w14:ligatures w14:val="none"/>
              </w:rPr>
              <w:t xml:space="preserve">Posturile 1.1.2.1.4-1.1.2.1.4.3 nu includ obligațiile reale sau contingente de a cumpăra instrumente proprii de fonduri proprii de nivel 1 de bază. Obligațiile reale sau contingente </w:t>
            </w:r>
            <w:r w:rsidRPr="00DF75E3">
              <w:rPr>
                <w:rFonts w:ascii="Times New Roman" w:eastAsia="Times New Roman" w:hAnsi="Times New Roman" w:cs="Times New Roman"/>
                <w:color w:val="000000"/>
                <w:kern w:val="0"/>
                <w:lang w:eastAsia="ro-MD"/>
                <w14:ligatures w14:val="none"/>
              </w:rPr>
              <w:lastRenderedPageBreak/>
              <w:t>de a cumpăra instrumente proprii de fonduri proprii de nivel 1 suplimentar sunt raportate separat la postul 1.1.2.1.5.</w:t>
            </w:r>
          </w:p>
        </w:tc>
        <w:tc>
          <w:tcPr>
            <w:tcW w:w="452" w:type="pct"/>
          </w:tcPr>
          <w:p w14:paraId="73915A8A" w14:textId="77777777"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7BF68631" w14:textId="2A4B522D" w:rsidTr="00D448C0">
        <w:trPr>
          <w:tblCellSpacing w:w="0" w:type="dxa"/>
        </w:trPr>
        <w:tc>
          <w:tcPr>
            <w:tcW w:w="260" w:type="pct"/>
            <w:hideMark/>
          </w:tcPr>
          <w:p w14:paraId="3CE21B2F"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0590</w:t>
            </w:r>
          </w:p>
        </w:tc>
        <w:tc>
          <w:tcPr>
            <w:tcW w:w="4288" w:type="pct"/>
            <w:hideMark/>
          </w:tcPr>
          <w:p w14:paraId="49399EDC"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1.1.2.1.4.1. (-) Dețineri directe de instrumente de fonduri proprii de nivel 1 suplimentar</w:t>
            </w:r>
          </w:p>
          <w:p w14:paraId="02FEF65B" w14:textId="410676AD" w:rsidR="00D448C0" w:rsidRPr="00825F64"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 xml:space="preserve">Punctul 70 subpunctul 2), punctul 87 subpunctul 1) </w:t>
            </w:r>
            <w:proofErr w:type="spellStart"/>
            <w:r w:rsidRPr="00825F64">
              <w:rPr>
                <w:rFonts w:ascii="Times New Roman" w:eastAsia="Times New Roman" w:hAnsi="Times New Roman" w:cs="Times New Roman"/>
                <w:color w:val="000000"/>
                <w:kern w:val="0"/>
                <w:lang w:eastAsia="ro-MD"/>
                <w14:ligatures w14:val="none"/>
              </w:rPr>
              <w:t>şi</w:t>
            </w:r>
            <w:proofErr w:type="spellEnd"/>
            <w:r w:rsidRPr="00825F64">
              <w:rPr>
                <w:rFonts w:ascii="Times New Roman" w:eastAsia="Times New Roman" w:hAnsi="Times New Roman" w:cs="Times New Roman"/>
                <w:color w:val="000000"/>
                <w:kern w:val="0"/>
                <w:lang w:eastAsia="ro-MD"/>
                <w14:ligatures w14:val="none"/>
              </w:rPr>
              <w:t xml:space="preserve"> punctul 88 din Regulamentul nr.109/2018.</w:t>
            </w:r>
          </w:p>
          <w:p w14:paraId="30425653" w14:textId="01A7369A"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 xml:space="preserve">Fondurile proprii de nivel 1 suplimentar incluse la postul 1.1.2.1.1 </w:t>
            </w:r>
            <w:proofErr w:type="spellStart"/>
            <w:r w:rsidRPr="00825F64">
              <w:rPr>
                <w:rFonts w:ascii="Times New Roman" w:eastAsia="Times New Roman" w:hAnsi="Times New Roman" w:cs="Times New Roman"/>
                <w:color w:val="000000"/>
                <w:kern w:val="0"/>
                <w:lang w:eastAsia="ro-MD"/>
                <w14:ligatures w14:val="none"/>
              </w:rPr>
              <w:t>deţinute</w:t>
            </w:r>
            <w:proofErr w:type="spellEnd"/>
            <w:r w:rsidRPr="00825F64">
              <w:rPr>
                <w:rFonts w:ascii="Times New Roman" w:eastAsia="Times New Roman" w:hAnsi="Times New Roman" w:cs="Times New Roman"/>
                <w:color w:val="000000"/>
                <w:kern w:val="0"/>
                <w:lang w:eastAsia="ro-MD"/>
                <w14:ligatures w14:val="none"/>
              </w:rPr>
              <w:t xml:space="preserve"> de </w:t>
            </w:r>
            <w:proofErr w:type="spellStart"/>
            <w:r w:rsidRPr="00825F64">
              <w:rPr>
                <w:rFonts w:ascii="Times New Roman" w:eastAsia="Times New Roman" w:hAnsi="Times New Roman" w:cs="Times New Roman"/>
                <w:color w:val="000000"/>
                <w:kern w:val="0"/>
                <w:lang w:eastAsia="ro-MD"/>
                <w14:ligatures w14:val="none"/>
              </w:rPr>
              <w:t>instituţiile</w:t>
            </w:r>
            <w:proofErr w:type="spellEnd"/>
            <w:r w:rsidRPr="00825F64">
              <w:rPr>
                <w:rFonts w:ascii="Times New Roman" w:eastAsia="Times New Roman" w:hAnsi="Times New Roman" w:cs="Times New Roman"/>
                <w:color w:val="000000"/>
                <w:kern w:val="0"/>
                <w:lang w:eastAsia="ro-MD"/>
                <w14:ligatures w14:val="none"/>
              </w:rPr>
              <w:t xml:space="preserve"> grupului consolidat</w:t>
            </w:r>
            <w:r w:rsidRPr="006F6C14">
              <w:rPr>
                <w:rFonts w:ascii="Times New Roman" w:eastAsia="Times New Roman" w:hAnsi="Times New Roman" w:cs="Times New Roman"/>
                <w:color w:val="000000"/>
                <w:kern w:val="0"/>
                <w:lang w:eastAsia="ro-MD"/>
                <w14:ligatures w14:val="none"/>
              </w:rPr>
              <w:t xml:space="preserve"> și cuantumurile instrumentelor de fonduri proprii de nivel 1 suplimentar care trebuie deduse </w:t>
            </w:r>
            <w:r w:rsidRPr="00766E0E">
              <w:rPr>
                <w:rFonts w:ascii="Times New Roman" w:eastAsia="Times New Roman" w:hAnsi="Times New Roman" w:cs="Times New Roman"/>
                <w:color w:val="000000"/>
                <w:kern w:val="0"/>
                <w:lang w:eastAsia="ro-MD"/>
                <w14:ligatures w14:val="none"/>
              </w:rPr>
              <w:t xml:space="preserve">în conformitate cu </w:t>
            </w:r>
            <w:r w:rsidR="00766E0E" w:rsidRPr="00766E0E">
              <w:rPr>
                <w:rFonts w:ascii="Times New Roman" w:eastAsia="Times New Roman" w:hAnsi="Times New Roman" w:cs="Times New Roman"/>
                <w:color w:val="000000"/>
                <w:kern w:val="0"/>
                <w:lang w:eastAsia="ro-MD"/>
                <w14:ligatures w14:val="none"/>
              </w:rPr>
              <w:t>punctul 2 din Anexa 5 a Regulamentului nr. 109/2018</w:t>
            </w:r>
            <w:r w:rsidRPr="00766E0E">
              <w:rPr>
                <w:rFonts w:ascii="Times New Roman" w:eastAsia="Times New Roman" w:hAnsi="Times New Roman" w:cs="Times New Roman"/>
                <w:color w:val="000000"/>
                <w:kern w:val="0"/>
                <w:lang w:eastAsia="ro-MD"/>
                <w14:ligatures w14:val="none"/>
              </w:rPr>
              <w:t>.</w:t>
            </w:r>
          </w:p>
        </w:tc>
        <w:tc>
          <w:tcPr>
            <w:tcW w:w="452" w:type="pct"/>
          </w:tcPr>
          <w:p w14:paraId="269C4D82" w14:textId="77777777"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118929FE" w14:textId="555640CD" w:rsidTr="00D448C0">
        <w:trPr>
          <w:tblCellSpacing w:w="0" w:type="dxa"/>
        </w:trPr>
        <w:tc>
          <w:tcPr>
            <w:tcW w:w="260" w:type="pct"/>
            <w:hideMark/>
          </w:tcPr>
          <w:p w14:paraId="3B86F00D"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0620</w:t>
            </w:r>
          </w:p>
        </w:tc>
        <w:tc>
          <w:tcPr>
            <w:tcW w:w="4288" w:type="pct"/>
            <w:hideMark/>
          </w:tcPr>
          <w:p w14:paraId="42B3EC14"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1.1.2.1.4.2. (-) Dețineri indirecte de instrumente de fonduri proprii de nivel 1 suplimentar</w:t>
            </w:r>
          </w:p>
          <w:p w14:paraId="0B748E71" w14:textId="4F15A969"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DF75E3">
              <w:rPr>
                <w:rFonts w:ascii="Times New Roman" w:eastAsia="Times New Roman" w:hAnsi="Times New Roman" w:cs="Times New Roman"/>
                <w:color w:val="000000"/>
                <w:kern w:val="0"/>
                <w:lang w:eastAsia="ro-MD"/>
                <w14:ligatures w14:val="none"/>
              </w:rPr>
              <w:t xml:space="preserve">Punctul 70 subpunctul 2) litera b), punctul 87 subpunctul 1) </w:t>
            </w:r>
            <w:proofErr w:type="spellStart"/>
            <w:r w:rsidRPr="00DF75E3">
              <w:rPr>
                <w:rFonts w:ascii="Times New Roman" w:eastAsia="Times New Roman" w:hAnsi="Times New Roman" w:cs="Times New Roman"/>
                <w:color w:val="000000"/>
                <w:kern w:val="0"/>
                <w:lang w:eastAsia="ro-MD"/>
                <w14:ligatures w14:val="none"/>
              </w:rPr>
              <w:t>şi</w:t>
            </w:r>
            <w:proofErr w:type="spellEnd"/>
            <w:r w:rsidRPr="00DF75E3">
              <w:rPr>
                <w:rFonts w:ascii="Times New Roman" w:eastAsia="Times New Roman" w:hAnsi="Times New Roman" w:cs="Times New Roman"/>
                <w:color w:val="000000"/>
                <w:kern w:val="0"/>
                <w:lang w:eastAsia="ro-MD"/>
                <w14:ligatures w14:val="none"/>
              </w:rPr>
              <w:t xml:space="preserve"> punctul 88 din Regulamentul nr.109/2018.</w:t>
            </w:r>
          </w:p>
        </w:tc>
        <w:tc>
          <w:tcPr>
            <w:tcW w:w="452" w:type="pct"/>
          </w:tcPr>
          <w:p w14:paraId="6900EABC" w14:textId="77777777" w:rsidR="00D448C0" w:rsidRPr="00DF75E3"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1D969054" w14:textId="633A2E93" w:rsidTr="00D448C0">
        <w:trPr>
          <w:tblCellSpacing w:w="0" w:type="dxa"/>
        </w:trPr>
        <w:tc>
          <w:tcPr>
            <w:tcW w:w="260" w:type="pct"/>
            <w:hideMark/>
          </w:tcPr>
          <w:p w14:paraId="561CBDCE"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0621</w:t>
            </w:r>
          </w:p>
        </w:tc>
        <w:tc>
          <w:tcPr>
            <w:tcW w:w="4288" w:type="pct"/>
            <w:hideMark/>
          </w:tcPr>
          <w:p w14:paraId="27AA5B15"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1.1.2.1.4.3. (-) Dețineri sintetice de instrumente de fonduri proprii de nivel 1 suplimentar</w:t>
            </w:r>
          </w:p>
          <w:p w14:paraId="4D7506E6" w14:textId="6DE3AA9D"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DF75E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 xml:space="preserve">4, punctul </w:t>
            </w:r>
            <w:r w:rsidRPr="00DF75E3">
              <w:rPr>
                <w:rFonts w:ascii="Times New Roman" w:eastAsia="Times New Roman" w:hAnsi="Times New Roman" w:cs="Times New Roman"/>
                <w:color w:val="000000"/>
                <w:kern w:val="0"/>
                <w:lang w:eastAsia="ro-MD"/>
                <w14:ligatures w14:val="none"/>
              </w:rPr>
              <w:t xml:space="preserve">70 subpunctul 2), punctul 87 subpunctul 1) </w:t>
            </w:r>
            <w:proofErr w:type="spellStart"/>
            <w:r w:rsidRPr="00DF75E3">
              <w:rPr>
                <w:rFonts w:ascii="Times New Roman" w:eastAsia="Times New Roman" w:hAnsi="Times New Roman" w:cs="Times New Roman"/>
                <w:color w:val="000000"/>
                <w:kern w:val="0"/>
                <w:lang w:eastAsia="ro-MD"/>
                <w14:ligatures w14:val="none"/>
              </w:rPr>
              <w:t>şi</w:t>
            </w:r>
            <w:proofErr w:type="spellEnd"/>
            <w:r w:rsidRPr="00DF75E3">
              <w:rPr>
                <w:rFonts w:ascii="Times New Roman" w:eastAsia="Times New Roman" w:hAnsi="Times New Roman" w:cs="Times New Roman"/>
                <w:color w:val="000000"/>
                <w:kern w:val="0"/>
                <w:lang w:eastAsia="ro-MD"/>
                <w14:ligatures w14:val="none"/>
              </w:rPr>
              <w:t xml:space="preserve"> punctul 88 din </w:t>
            </w:r>
            <w:r>
              <w:rPr>
                <w:rFonts w:ascii="Times New Roman" w:eastAsia="Times New Roman" w:hAnsi="Times New Roman" w:cs="Times New Roman"/>
                <w:color w:val="000000"/>
                <w:kern w:val="0"/>
                <w:lang w:eastAsia="ro-MD"/>
                <w14:ligatures w14:val="none"/>
              </w:rPr>
              <w:t>Regulamentul nr.109/2018</w:t>
            </w:r>
            <w:r w:rsidRPr="00DF75E3">
              <w:rPr>
                <w:rFonts w:ascii="Times New Roman" w:eastAsia="Times New Roman" w:hAnsi="Times New Roman" w:cs="Times New Roman"/>
                <w:color w:val="000000"/>
                <w:kern w:val="0"/>
                <w:lang w:eastAsia="ro-MD"/>
                <w14:ligatures w14:val="none"/>
              </w:rPr>
              <w:t>.</w:t>
            </w:r>
          </w:p>
        </w:tc>
        <w:tc>
          <w:tcPr>
            <w:tcW w:w="452" w:type="pct"/>
          </w:tcPr>
          <w:p w14:paraId="4A19960B"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6D2B225D" w14:textId="529DF944" w:rsidTr="00D448C0">
        <w:trPr>
          <w:tblCellSpacing w:w="0" w:type="dxa"/>
        </w:trPr>
        <w:tc>
          <w:tcPr>
            <w:tcW w:w="260" w:type="pct"/>
            <w:hideMark/>
          </w:tcPr>
          <w:p w14:paraId="342BBA23"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0622</w:t>
            </w:r>
          </w:p>
        </w:tc>
        <w:tc>
          <w:tcPr>
            <w:tcW w:w="4288" w:type="pct"/>
            <w:hideMark/>
          </w:tcPr>
          <w:p w14:paraId="0C909F78"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1.1.2.1.5. (-) Obligații reale sau contingente de a cumpăra instrumente proprii de fonduri proprii de nivel 1 suplimentar</w:t>
            </w:r>
          </w:p>
          <w:p w14:paraId="41F243F0" w14:textId="1B01371A" w:rsidR="00D448C0" w:rsidRPr="00B747AA" w:rsidRDefault="00D448C0" w:rsidP="00B973D9">
            <w:pPr>
              <w:pStyle w:val="lf"/>
              <w:spacing w:before="0" w:beforeAutospacing="0" w:after="0" w:afterAutospacing="0"/>
              <w:rPr>
                <w:color w:val="000000"/>
                <w:sz w:val="22"/>
                <w:szCs w:val="22"/>
              </w:rPr>
            </w:pPr>
            <w:r w:rsidRPr="00B747AA">
              <w:rPr>
                <w:color w:val="000000"/>
                <w:sz w:val="22"/>
                <w:szCs w:val="22"/>
              </w:rPr>
              <w:t xml:space="preserve">Punctul 87 subpunctul 1) </w:t>
            </w:r>
            <w:proofErr w:type="spellStart"/>
            <w:r w:rsidRPr="00B747AA">
              <w:rPr>
                <w:color w:val="000000"/>
                <w:sz w:val="22"/>
                <w:szCs w:val="22"/>
              </w:rPr>
              <w:t>şi</w:t>
            </w:r>
            <w:proofErr w:type="spellEnd"/>
            <w:r w:rsidRPr="00B747AA">
              <w:rPr>
                <w:color w:val="000000"/>
                <w:sz w:val="22"/>
                <w:szCs w:val="22"/>
              </w:rPr>
              <w:t xml:space="preserve"> punctul 88 din </w:t>
            </w:r>
            <w:r>
              <w:rPr>
                <w:color w:val="000000"/>
                <w:sz w:val="22"/>
                <w:szCs w:val="22"/>
              </w:rPr>
              <w:t>Regulamentul nr.109/2018</w:t>
            </w:r>
            <w:r w:rsidRPr="00B747AA">
              <w:rPr>
                <w:color w:val="000000"/>
                <w:sz w:val="22"/>
                <w:szCs w:val="22"/>
              </w:rPr>
              <w:t>.</w:t>
            </w:r>
          </w:p>
          <w:p w14:paraId="4692148C" w14:textId="2E15D4F9"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În conformitate cu </w:t>
            </w:r>
            <w:r>
              <w:rPr>
                <w:rFonts w:ascii="Times New Roman" w:eastAsia="Times New Roman" w:hAnsi="Times New Roman" w:cs="Times New Roman"/>
                <w:color w:val="000000"/>
                <w:kern w:val="0"/>
                <w:lang w:eastAsia="ro-MD"/>
                <w14:ligatures w14:val="none"/>
              </w:rPr>
              <w:t>p</w:t>
            </w:r>
            <w:r w:rsidRPr="00B747AA">
              <w:rPr>
                <w:rFonts w:ascii="Times New Roman" w:eastAsia="Times New Roman" w:hAnsi="Times New Roman" w:cs="Times New Roman"/>
                <w:color w:val="000000"/>
                <w:kern w:val="0"/>
                <w:lang w:eastAsia="ro-MD"/>
                <w14:ligatures w14:val="none"/>
              </w:rPr>
              <w:t>unctul 87 subpunctul 1) din Regulamentul nr.109/2018</w:t>
            </w:r>
            <w:r w:rsidRPr="00260C32">
              <w:rPr>
                <w:rFonts w:ascii="Times New Roman" w:eastAsia="Times New Roman" w:hAnsi="Times New Roman" w:cs="Times New Roman"/>
                <w:color w:val="000000"/>
                <w:kern w:val="0"/>
                <w:lang w:eastAsia="ro-MD"/>
                <w14:ligatures w14:val="none"/>
              </w:rPr>
              <w:t xml:space="preserve">, „instrumentele proprii de fonduri proprii de nivel 1 suplimentar pe care o </w:t>
            </w:r>
            <w:r>
              <w:rPr>
                <w:rFonts w:ascii="Times New Roman" w:eastAsia="Times New Roman" w:hAnsi="Times New Roman" w:cs="Times New Roman"/>
                <w:color w:val="000000"/>
                <w:kern w:val="0"/>
                <w:lang w:eastAsia="ro-MD"/>
                <w14:ligatures w14:val="none"/>
              </w:rPr>
              <w:t>bancă</w:t>
            </w:r>
            <w:r w:rsidRPr="00260C32">
              <w:rPr>
                <w:rFonts w:ascii="Times New Roman" w:eastAsia="Times New Roman" w:hAnsi="Times New Roman" w:cs="Times New Roman"/>
                <w:color w:val="000000"/>
                <w:kern w:val="0"/>
                <w:lang w:eastAsia="ro-MD"/>
                <w14:ligatures w14:val="none"/>
              </w:rPr>
              <w:t xml:space="preserve"> ar putea fi obligată să le achiziționeze ca rezultat al unor obligații contractuale existente” se deduc.</w:t>
            </w:r>
          </w:p>
        </w:tc>
        <w:tc>
          <w:tcPr>
            <w:tcW w:w="452" w:type="pct"/>
          </w:tcPr>
          <w:p w14:paraId="1170744E"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4FE34DDA" w14:textId="222A9C92" w:rsidTr="00D448C0">
        <w:trPr>
          <w:tblCellSpacing w:w="0" w:type="dxa"/>
        </w:trPr>
        <w:tc>
          <w:tcPr>
            <w:tcW w:w="260" w:type="pct"/>
            <w:hideMark/>
          </w:tcPr>
          <w:p w14:paraId="2AD22C05" w14:textId="77777777"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66E0E">
              <w:rPr>
                <w:rFonts w:ascii="Times New Roman" w:eastAsia="Times New Roman" w:hAnsi="Times New Roman" w:cs="Times New Roman"/>
                <w:color w:val="000000"/>
                <w:kern w:val="0"/>
                <w:lang w:eastAsia="ro-MD"/>
                <w14:ligatures w14:val="none"/>
              </w:rPr>
              <w:t>0660</w:t>
            </w:r>
          </w:p>
        </w:tc>
        <w:tc>
          <w:tcPr>
            <w:tcW w:w="4288" w:type="pct"/>
            <w:hideMark/>
          </w:tcPr>
          <w:p w14:paraId="14A66E54" w14:textId="5B1EFFFE"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1.1.2.2. Ajustări tranzitorii datorate instrumentelor de fonduri proprii de nivel 1 suplimentar care își păstrează drepturile obținute</w:t>
            </w:r>
          </w:p>
        </w:tc>
        <w:tc>
          <w:tcPr>
            <w:tcW w:w="452" w:type="pct"/>
          </w:tcPr>
          <w:p w14:paraId="57C54469" w14:textId="04BE8F65" w:rsidR="00D448C0" w:rsidRPr="00260C32" w:rsidRDefault="00F659A0" w:rsidP="00B973D9">
            <w:pPr>
              <w:spacing w:after="0"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blocat</w:t>
            </w:r>
          </w:p>
        </w:tc>
      </w:tr>
      <w:tr w:rsidR="00D448C0" w:rsidRPr="00260C32" w14:paraId="35F784A0" w14:textId="45DE52E6" w:rsidTr="00D448C0">
        <w:trPr>
          <w:tblCellSpacing w:w="0" w:type="dxa"/>
        </w:trPr>
        <w:tc>
          <w:tcPr>
            <w:tcW w:w="260" w:type="pct"/>
            <w:hideMark/>
          </w:tcPr>
          <w:p w14:paraId="5E2E8D05"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0670</w:t>
            </w:r>
          </w:p>
        </w:tc>
        <w:tc>
          <w:tcPr>
            <w:tcW w:w="4288" w:type="pct"/>
            <w:hideMark/>
          </w:tcPr>
          <w:p w14:paraId="3AE4D714"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1.1.2.3. Instrumente emise de filiale care sunt recunoscute în fondurile proprii de nivel 1 suplimentar</w:t>
            </w:r>
          </w:p>
          <w:p w14:paraId="1AEA5238" w14:textId="68D033B2" w:rsidR="00D448C0" w:rsidRPr="00B747AA" w:rsidRDefault="00D448C0" w:rsidP="00B973D9">
            <w:pPr>
              <w:pStyle w:val="lf"/>
              <w:spacing w:before="0" w:beforeAutospacing="0" w:after="0" w:afterAutospacing="0"/>
              <w:rPr>
                <w:color w:val="000000"/>
                <w:sz w:val="22"/>
                <w:szCs w:val="22"/>
              </w:rPr>
            </w:pPr>
            <w:r w:rsidRPr="00B747AA">
              <w:rPr>
                <w:color w:val="000000"/>
                <w:sz w:val="22"/>
                <w:szCs w:val="22"/>
              </w:rPr>
              <w:t>Punct</w:t>
            </w:r>
            <w:r>
              <w:rPr>
                <w:color w:val="000000"/>
                <w:sz w:val="22"/>
                <w:szCs w:val="22"/>
              </w:rPr>
              <w:t>ele</w:t>
            </w:r>
            <w:r w:rsidRPr="00B747AA">
              <w:rPr>
                <w:color w:val="000000"/>
                <w:sz w:val="22"/>
                <w:szCs w:val="22"/>
              </w:rPr>
              <w:t xml:space="preserve"> </w:t>
            </w:r>
            <w:r>
              <w:rPr>
                <w:color w:val="000000"/>
                <w:sz w:val="22"/>
                <w:szCs w:val="22"/>
              </w:rPr>
              <w:t>129</w:t>
            </w:r>
            <w:r w:rsidRPr="00D25FAA">
              <w:rPr>
                <w:color w:val="000000"/>
                <w:sz w:val="22"/>
                <w:szCs w:val="22"/>
                <w:vertAlign w:val="superscript"/>
              </w:rPr>
              <w:t>11</w:t>
            </w:r>
            <w:r>
              <w:rPr>
                <w:color w:val="000000"/>
                <w:sz w:val="22"/>
                <w:szCs w:val="22"/>
              </w:rPr>
              <w:t>, 129</w:t>
            </w:r>
            <w:r w:rsidRPr="00D25FAA">
              <w:rPr>
                <w:color w:val="000000"/>
                <w:sz w:val="22"/>
                <w:szCs w:val="22"/>
                <w:vertAlign w:val="superscript"/>
              </w:rPr>
              <w:t>12</w:t>
            </w:r>
            <w:r>
              <w:rPr>
                <w:color w:val="000000"/>
                <w:sz w:val="22"/>
                <w:szCs w:val="22"/>
              </w:rPr>
              <w:t xml:space="preserve"> și 129</w:t>
            </w:r>
            <w:r w:rsidRPr="00D25FAA">
              <w:rPr>
                <w:color w:val="000000"/>
                <w:sz w:val="22"/>
                <w:szCs w:val="22"/>
                <w:vertAlign w:val="superscript"/>
              </w:rPr>
              <w:t>15</w:t>
            </w:r>
            <w:r w:rsidRPr="00B747AA">
              <w:rPr>
                <w:color w:val="000000"/>
                <w:sz w:val="22"/>
                <w:szCs w:val="22"/>
              </w:rPr>
              <w:t xml:space="preserve"> din </w:t>
            </w:r>
            <w:r>
              <w:rPr>
                <w:color w:val="000000"/>
                <w:sz w:val="22"/>
                <w:szCs w:val="22"/>
              </w:rPr>
              <w:t>Regulamentul nr.109/2018</w:t>
            </w:r>
            <w:r w:rsidRPr="00B747AA">
              <w:rPr>
                <w:color w:val="000000"/>
                <w:sz w:val="22"/>
                <w:szCs w:val="22"/>
              </w:rPr>
              <w:t>.</w:t>
            </w:r>
          </w:p>
          <w:p w14:paraId="044714D9" w14:textId="6C6BA4D3"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B95085">
              <w:rPr>
                <w:rFonts w:ascii="Times New Roman" w:eastAsia="Times New Roman" w:hAnsi="Times New Roman" w:cs="Times New Roman"/>
                <w:color w:val="000000"/>
                <w:kern w:val="0"/>
                <w:lang w:eastAsia="ro-MD"/>
                <w14:ligatures w14:val="none"/>
              </w:rPr>
              <w:t>Suma tuturor cuantumurilor fondurilor proprii de nivel 1 eligibile ale filialelor care este inclusă în fondurile proprii de nivel 1 suplimentar consolidate.</w:t>
            </w:r>
          </w:p>
        </w:tc>
        <w:tc>
          <w:tcPr>
            <w:tcW w:w="452" w:type="pct"/>
          </w:tcPr>
          <w:p w14:paraId="7D1F2AD3"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03CD10C3" w14:textId="2FBAE8B9" w:rsidTr="00D448C0">
        <w:trPr>
          <w:tblCellSpacing w:w="0" w:type="dxa"/>
        </w:trPr>
        <w:tc>
          <w:tcPr>
            <w:tcW w:w="260" w:type="pct"/>
            <w:hideMark/>
          </w:tcPr>
          <w:p w14:paraId="73A7C603" w14:textId="77777777"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66E0E">
              <w:rPr>
                <w:rFonts w:ascii="Times New Roman" w:eastAsia="Times New Roman" w:hAnsi="Times New Roman" w:cs="Times New Roman"/>
                <w:color w:val="000000"/>
                <w:kern w:val="0"/>
                <w:lang w:eastAsia="ro-MD"/>
                <w14:ligatures w14:val="none"/>
              </w:rPr>
              <w:t>0680</w:t>
            </w:r>
          </w:p>
        </w:tc>
        <w:tc>
          <w:tcPr>
            <w:tcW w:w="4288" w:type="pct"/>
            <w:hideMark/>
          </w:tcPr>
          <w:p w14:paraId="3B81F627" w14:textId="307E7B26"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1.1.2.4. Ajustările tranzitorii datorate recunoașterii suplimentare în fondurile proprii de nivel 1 suplimentar a instrumentelor emise de filiale</w:t>
            </w:r>
          </w:p>
        </w:tc>
        <w:tc>
          <w:tcPr>
            <w:tcW w:w="452" w:type="pct"/>
          </w:tcPr>
          <w:p w14:paraId="307ED5A7" w14:textId="1CABC748" w:rsidR="00D448C0" w:rsidRPr="00766E0E" w:rsidRDefault="00F659A0" w:rsidP="00B973D9">
            <w:pPr>
              <w:spacing w:after="0"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blocat</w:t>
            </w:r>
          </w:p>
        </w:tc>
      </w:tr>
      <w:tr w:rsidR="00D448C0" w:rsidRPr="00260C32" w14:paraId="64BA4656" w14:textId="0CD73659" w:rsidTr="00D448C0">
        <w:trPr>
          <w:tblCellSpacing w:w="0" w:type="dxa"/>
        </w:trPr>
        <w:tc>
          <w:tcPr>
            <w:tcW w:w="260" w:type="pct"/>
            <w:hideMark/>
          </w:tcPr>
          <w:p w14:paraId="6D08AD1A"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0690</w:t>
            </w:r>
          </w:p>
        </w:tc>
        <w:tc>
          <w:tcPr>
            <w:tcW w:w="4288" w:type="pct"/>
            <w:hideMark/>
          </w:tcPr>
          <w:p w14:paraId="00E5BB5B"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1.1.2.5. (-) Dețineri reciproce în fonduri proprii de nivel 1 suplimentar</w:t>
            </w:r>
          </w:p>
          <w:p w14:paraId="2FBA77E5" w14:textId="40513105" w:rsidR="00D448C0" w:rsidRPr="00EC145B"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D25FAA">
              <w:rPr>
                <w:rFonts w:ascii="Times New Roman" w:eastAsia="Times New Roman" w:hAnsi="Times New Roman" w:cs="Times New Roman"/>
                <w:color w:val="000000"/>
                <w:kern w:val="0"/>
                <w:lang w:eastAsia="ro-MD"/>
                <w14:ligatures w14:val="none"/>
              </w:rPr>
              <w:t>Punctul</w:t>
            </w:r>
            <w:r>
              <w:rPr>
                <w:rFonts w:ascii="Times New Roman" w:eastAsia="Times New Roman" w:hAnsi="Times New Roman" w:cs="Times New Roman"/>
                <w:color w:val="000000"/>
                <w:kern w:val="0"/>
                <w:lang w:eastAsia="ro-MD"/>
                <w14:ligatures w14:val="none"/>
              </w:rPr>
              <w:t xml:space="preserve"> 4, punctul</w:t>
            </w:r>
            <w:r w:rsidRPr="00D25FAA">
              <w:rPr>
                <w:rFonts w:ascii="Times New Roman" w:eastAsia="Times New Roman" w:hAnsi="Times New Roman" w:cs="Times New Roman"/>
                <w:color w:val="000000"/>
                <w:kern w:val="0"/>
                <w:lang w:eastAsia="ro-MD"/>
                <w14:ligatures w14:val="none"/>
              </w:rPr>
              <w:t xml:space="preserve"> 87 subpunctul 2) </w:t>
            </w:r>
            <w:proofErr w:type="spellStart"/>
            <w:r w:rsidRPr="00D25FAA">
              <w:rPr>
                <w:rFonts w:ascii="Times New Roman" w:eastAsia="Times New Roman" w:hAnsi="Times New Roman" w:cs="Times New Roman"/>
                <w:color w:val="000000"/>
                <w:kern w:val="0"/>
                <w:lang w:eastAsia="ro-MD"/>
                <w14:ligatures w14:val="none"/>
              </w:rPr>
              <w:t>şi</w:t>
            </w:r>
            <w:proofErr w:type="spellEnd"/>
            <w:r w:rsidRPr="00D25FAA">
              <w:rPr>
                <w:rFonts w:ascii="Times New Roman" w:eastAsia="Times New Roman" w:hAnsi="Times New Roman" w:cs="Times New Roman"/>
                <w:color w:val="000000"/>
                <w:kern w:val="0"/>
                <w:lang w:eastAsia="ro-MD"/>
                <w14:ligatures w14:val="none"/>
              </w:rPr>
              <w:t xml:space="preserve"> punctul 89 din </w:t>
            </w:r>
            <w:r>
              <w:rPr>
                <w:rFonts w:ascii="Times New Roman" w:eastAsia="Times New Roman" w:hAnsi="Times New Roman" w:cs="Times New Roman"/>
                <w:color w:val="000000"/>
                <w:kern w:val="0"/>
                <w:lang w:eastAsia="ro-MD"/>
                <w14:ligatures w14:val="none"/>
              </w:rPr>
              <w:t>Regulamentul nr.109/2018</w:t>
            </w:r>
            <w:r w:rsidRPr="00D25FAA">
              <w:rPr>
                <w:rFonts w:ascii="Times New Roman" w:eastAsia="Times New Roman" w:hAnsi="Times New Roman" w:cs="Times New Roman"/>
                <w:color w:val="000000"/>
                <w:kern w:val="0"/>
                <w:lang w:eastAsia="ro-MD"/>
                <w14:ligatures w14:val="none"/>
              </w:rPr>
              <w:t>.</w:t>
            </w:r>
            <w:r>
              <w:rPr>
                <w:rFonts w:ascii="Arial" w:hAnsi="Arial" w:cs="Arial"/>
              </w:rPr>
              <w:br/>
            </w:r>
            <w:r w:rsidRPr="00260C32">
              <w:rPr>
                <w:rFonts w:ascii="Times New Roman" w:eastAsia="Times New Roman" w:hAnsi="Times New Roman" w:cs="Times New Roman"/>
                <w:color w:val="000000"/>
                <w:kern w:val="0"/>
                <w:lang w:eastAsia="ro-MD"/>
                <w14:ligatures w14:val="none"/>
              </w:rPr>
              <w:t xml:space="preserve">Deținerile în instrumente de fonduri proprii de nivel 1 suplimentar ale entităților </w:t>
            </w:r>
            <w:r w:rsidRPr="00D25FAA">
              <w:rPr>
                <w:rFonts w:ascii="Times New Roman" w:eastAsia="Times New Roman" w:hAnsi="Times New Roman" w:cs="Times New Roman"/>
                <w:color w:val="000000"/>
                <w:kern w:val="0"/>
                <w:lang w:eastAsia="ro-MD"/>
                <w14:ligatures w14:val="none"/>
              </w:rPr>
              <w:t>din sectorul financiar, în cazul</w:t>
            </w:r>
            <w:r w:rsidRPr="00260C32">
              <w:rPr>
                <w:rFonts w:ascii="Times New Roman" w:eastAsia="Times New Roman" w:hAnsi="Times New Roman" w:cs="Times New Roman"/>
                <w:color w:val="000000"/>
                <w:kern w:val="0"/>
                <w:lang w:eastAsia="ro-MD"/>
                <w14:ligatures w14:val="none"/>
              </w:rPr>
              <w:t xml:space="preserve"> în care există dețineri reciproce care, în opinia </w:t>
            </w:r>
            <w:r>
              <w:rPr>
                <w:rFonts w:ascii="Times New Roman" w:eastAsia="Times New Roman" w:hAnsi="Times New Roman" w:cs="Times New Roman"/>
                <w:color w:val="000000"/>
                <w:kern w:val="0"/>
                <w:lang w:eastAsia="ro-MD"/>
                <w14:ligatures w14:val="none"/>
              </w:rPr>
              <w:t>Băncii Naționale a Moldovei</w:t>
            </w:r>
            <w:r w:rsidRPr="00260C32">
              <w:rPr>
                <w:rFonts w:ascii="Times New Roman" w:eastAsia="Times New Roman" w:hAnsi="Times New Roman" w:cs="Times New Roman"/>
                <w:color w:val="000000"/>
                <w:kern w:val="0"/>
                <w:lang w:eastAsia="ro-MD"/>
                <w14:ligatures w14:val="none"/>
              </w:rPr>
              <w:t xml:space="preserve">, au fost </w:t>
            </w:r>
            <w:r w:rsidRPr="00EC145B">
              <w:rPr>
                <w:rFonts w:ascii="Times New Roman" w:eastAsia="Times New Roman" w:hAnsi="Times New Roman" w:cs="Times New Roman"/>
                <w:color w:val="000000"/>
                <w:kern w:val="0"/>
                <w:lang w:eastAsia="ro-MD"/>
                <w14:ligatures w14:val="none"/>
              </w:rPr>
              <w:t>concepute pentru a crește în mod artificial fondurile proprii ale băncii.</w:t>
            </w:r>
          </w:p>
          <w:p w14:paraId="1F965151" w14:textId="4332CCA6"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EC145B">
              <w:rPr>
                <w:rFonts w:ascii="Times New Roman" w:eastAsia="Times New Roman" w:hAnsi="Times New Roman" w:cs="Times New Roman"/>
                <w:color w:val="000000"/>
                <w:kern w:val="0"/>
                <w:lang w:eastAsia="ro-MD"/>
                <w14:ligatures w14:val="none"/>
              </w:rPr>
              <w:t xml:space="preserve">Cuantumul care trebuie raportat se calculează pe baza pozițiilor brute lungi și include elementele de fonduri proprii de nivel 1 suplimentar specifice </w:t>
            </w:r>
            <w:r>
              <w:rPr>
                <w:rFonts w:ascii="Times New Roman" w:eastAsia="Times New Roman" w:hAnsi="Times New Roman" w:cs="Times New Roman"/>
                <w:color w:val="000000"/>
                <w:kern w:val="0"/>
                <w:lang w:eastAsia="ro-MD"/>
                <w14:ligatures w14:val="none"/>
              </w:rPr>
              <w:t>societăților</w:t>
            </w:r>
            <w:r w:rsidRPr="00EC145B">
              <w:rPr>
                <w:rFonts w:ascii="Times New Roman" w:eastAsia="Times New Roman" w:hAnsi="Times New Roman" w:cs="Times New Roman"/>
                <w:color w:val="000000"/>
                <w:kern w:val="0"/>
                <w:lang w:eastAsia="ro-MD"/>
                <w14:ligatures w14:val="none"/>
              </w:rPr>
              <w:t xml:space="preserve"> de asigurare.</w:t>
            </w:r>
          </w:p>
        </w:tc>
        <w:tc>
          <w:tcPr>
            <w:tcW w:w="452" w:type="pct"/>
          </w:tcPr>
          <w:p w14:paraId="374C9D2B"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284E1C6C" w14:textId="1136543D" w:rsidTr="00D448C0">
        <w:trPr>
          <w:tblCellSpacing w:w="0" w:type="dxa"/>
        </w:trPr>
        <w:tc>
          <w:tcPr>
            <w:tcW w:w="260" w:type="pct"/>
            <w:hideMark/>
          </w:tcPr>
          <w:p w14:paraId="59293263"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0700</w:t>
            </w:r>
          </w:p>
        </w:tc>
        <w:tc>
          <w:tcPr>
            <w:tcW w:w="4288" w:type="pct"/>
            <w:hideMark/>
          </w:tcPr>
          <w:p w14:paraId="1C7ED9BB" w14:textId="43D2E850"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1.1.2.6. (-) Instrumente de fonduri proprii de nivel 1 suplimentar ale entităților din sectorul financiar în care banca nu deține o investiție semnificativă</w:t>
            </w:r>
          </w:p>
          <w:p w14:paraId="432AD39E" w14:textId="5AC82E4B" w:rsidR="00D448C0" w:rsidRPr="00C24410"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EC145B">
              <w:rPr>
                <w:rFonts w:ascii="Times New Roman" w:eastAsia="Times New Roman" w:hAnsi="Times New Roman" w:cs="Times New Roman"/>
                <w:color w:val="000000"/>
                <w:kern w:val="0"/>
                <w:lang w:eastAsia="ro-MD"/>
                <w14:ligatures w14:val="none"/>
              </w:rPr>
              <w:t>Punctul 87 subpunctul 3), punctele 90</w:t>
            </w:r>
            <w:r>
              <w:rPr>
                <w:rFonts w:ascii="Times New Roman" w:eastAsia="Times New Roman" w:hAnsi="Times New Roman" w:cs="Times New Roman"/>
                <w:color w:val="000000"/>
                <w:kern w:val="0"/>
                <w:lang w:eastAsia="ro-MD"/>
                <w14:ligatures w14:val="none"/>
              </w:rPr>
              <w:t xml:space="preserve"> </w:t>
            </w:r>
            <w:r w:rsidRPr="00EC145B">
              <w:rPr>
                <w:rFonts w:ascii="Times New Roman" w:eastAsia="Times New Roman" w:hAnsi="Times New Roman" w:cs="Times New Roman"/>
                <w:color w:val="000000"/>
                <w:kern w:val="0"/>
                <w:lang w:eastAsia="ro-MD"/>
                <w14:ligatures w14:val="none"/>
              </w:rPr>
              <w:t xml:space="preserve">- 95 </w:t>
            </w:r>
            <w:proofErr w:type="spellStart"/>
            <w:r w:rsidRPr="00EC145B">
              <w:rPr>
                <w:rFonts w:ascii="Times New Roman" w:eastAsia="Times New Roman" w:hAnsi="Times New Roman" w:cs="Times New Roman"/>
                <w:color w:val="000000"/>
                <w:kern w:val="0"/>
                <w:lang w:eastAsia="ro-MD"/>
                <w14:ligatures w14:val="none"/>
              </w:rPr>
              <w:t>şi</w:t>
            </w:r>
            <w:proofErr w:type="spellEnd"/>
            <w:r w:rsidRPr="00EC145B">
              <w:rPr>
                <w:rFonts w:ascii="Times New Roman" w:eastAsia="Times New Roman" w:hAnsi="Times New Roman" w:cs="Times New Roman"/>
                <w:color w:val="000000"/>
                <w:kern w:val="0"/>
                <w:lang w:eastAsia="ro-MD"/>
                <w14:ligatures w14:val="none"/>
              </w:rPr>
              <w:t xml:space="preserve"> punctul 126 din </w:t>
            </w:r>
            <w:r>
              <w:rPr>
                <w:rFonts w:ascii="Times New Roman" w:eastAsia="Times New Roman" w:hAnsi="Times New Roman" w:cs="Times New Roman"/>
                <w:color w:val="000000"/>
                <w:kern w:val="0"/>
                <w:lang w:eastAsia="ro-MD"/>
                <w14:ligatures w14:val="none"/>
              </w:rPr>
              <w:t>Regulamentul nr.109/2018</w:t>
            </w:r>
            <w:r w:rsidRPr="00C24410">
              <w:rPr>
                <w:rFonts w:ascii="Times New Roman" w:eastAsia="Times New Roman" w:hAnsi="Times New Roman" w:cs="Times New Roman"/>
                <w:color w:val="000000"/>
                <w:kern w:val="0"/>
                <w:lang w:eastAsia="ro-MD"/>
                <w14:ligatures w14:val="none"/>
              </w:rPr>
              <w:t>.</w:t>
            </w:r>
          </w:p>
          <w:p w14:paraId="74A63BB9" w14:textId="5FA308A0"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Acea parte a deținerilor, de către </w:t>
            </w:r>
            <w:r>
              <w:rPr>
                <w:rFonts w:ascii="Times New Roman" w:eastAsia="Times New Roman" w:hAnsi="Times New Roman" w:cs="Times New Roman"/>
                <w:color w:val="000000"/>
                <w:kern w:val="0"/>
                <w:lang w:eastAsia="ro-MD"/>
                <w14:ligatures w14:val="none"/>
              </w:rPr>
              <w:t>bancă</w:t>
            </w:r>
            <w:r w:rsidRPr="00260C32">
              <w:rPr>
                <w:rFonts w:ascii="Times New Roman" w:eastAsia="Times New Roman" w:hAnsi="Times New Roman" w:cs="Times New Roman"/>
                <w:color w:val="000000"/>
                <w:kern w:val="0"/>
                <w:lang w:eastAsia="ro-MD"/>
                <w14:ligatures w14:val="none"/>
              </w:rPr>
              <w:t xml:space="preserve">, ale unor instrumente ale entităților din sectorul financiar  în care </w:t>
            </w:r>
            <w:r>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 care trebuie dedusă din fondurile proprii de nivel 1 suplimentar.</w:t>
            </w:r>
          </w:p>
        </w:tc>
        <w:tc>
          <w:tcPr>
            <w:tcW w:w="452" w:type="pct"/>
          </w:tcPr>
          <w:p w14:paraId="6C4A64ED"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7A7C606B" w14:textId="7D0EBDD9" w:rsidTr="00D448C0">
        <w:trPr>
          <w:tblCellSpacing w:w="0" w:type="dxa"/>
        </w:trPr>
        <w:tc>
          <w:tcPr>
            <w:tcW w:w="260" w:type="pct"/>
            <w:hideMark/>
          </w:tcPr>
          <w:p w14:paraId="57A52A95"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0710</w:t>
            </w:r>
          </w:p>
        </w:tc>
        <w:tc>
          <w:tcPr>
            <w:tcW w:w="4288" w:type="pct"/>
            <w:hideMark/>
          </w:tcPr>
          <w:p w14:paraId="765F7DAD" w14:textId="7FCF091B"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1.1.2.7. (-) Instrumente de fonduri proprii de nivel 1 suplimentar ale entităților din sectorul financiar în care banca deține o investiție semnificativă</w:t>
            </w:r>
          </w:p>
          <w:p w14:paraId="78ACE9FF" w14:textId="77777777" w:rsidR="008F2835"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C24410">
              <w:rPr>
                <w:rFonts w:ascii="Times New Roman" w:eastAsia="Times New Roman" w:hAnsi="Times New Roman" w:cs="Times New Roman"/>
                <w:color w:val="000000"/>
                <w:kern w:val="0"/>
                <w:lang w:eastAsia="ro-MD"/>
                <w14:ligatures w14:val="none"/>
              </w:rPr>
              <w:t xml:space="preserve">Punctul 87 subpunctul 4), punctul 90 </w:t>
            </w:r>
            <w:proofErr w:type="spellStart"/>
            <w:r w:rsidRPr="00C24410">
              <w:rPr>
                <w:rFonts w:ascii="Times New Roman" w:eastAsia="Times New Roman" w:hAnsi="Times New Roman" w:cs="Times New Roman"/>
                <w:color w:val="000000"/>
                <w:kern w:val="0"/>
                <w:lang w:eastAsia="ro-MD"/>
                <w14:ligatures w14:val="none"/>
              </w:rPr>
              <w:t>şi</w:t>
            </w:r>
            <w:proofErr w:type="spellEnd"/>
            <w:r w:rsidRPr="00C24410">
              <w:rPr>
                <w:rFonts w:ascii="Times New Roman" w:eastAsia="Times New Roman" w:hAnsi="Times New Roman" w:cs="Times New Roman"/>
                <w:color w:val="000000"/>
                <w:kern w:val="0"/>
                <w:lang w:eastAsia="ro-MD"/>
                <w14:ligatures w14:val="none"/>
              </w:rPr>
              <w:t xml:space="preserve"> punctul 126 din </w:t>
            </w:r>
            <w:r>
              <w:rPr>
                <w:rFonts w:ascii="Times New Roman" w:eastAsia="Times New Roman" w:hAnsi="Times New Roman" w:cs="Times New Roman"/>
                <w:color w:val="000000"/>
                <w:kern w:val="0"/>
                <w:lang w:eastAsia="ro-MD"/>
                <w14:ligatures w14:val="none"/>
              </w:rPr>
              <w:t>Regulamentul nr.109/2018</w:t>
            </w:r>
            <w:r w:rsidRPr="00C24410">
              <w:rPr>
                <w:rFonts w:ascii="Times New Roman" w:eastAsia="Times New Roman" w:hAnsi="Times New Roman" w:cs="Times New Roman"/>
                <w:color w:val="000000"/>
                <w:kern w:val="0"/>
                <w:lang w:eastAsia="ro-MD"/>
                <w14:ligatures w14:val="none"/>
              </w:rPr>
              <w:t>.</w:t>
            </w:r>
          </w:p>
          <w:p w14:paraId="72CB40A8" w14:textId="0F0973D2"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Deținerile de către </w:t>
            </w:r>
            <w:r>
              <w:rPr>
                <w:rFonts w:ascii="Times New Roman" w:eastAsia="Times New Roman" w:hAnsi="Times New Roman" w:cs="Times New Roman"/>
                <w:color w:val="000000"/>
                <w:kern w:val="0"/>
                <w:lang w:eastAsia="ro-MD"/>
                <w14:ligatures w14:val="none"/>
              </w:rPr>
              <w:t>bancă</w:t>
            </w:r>
            <w:r w:rsidRPr="00260C32">
              <w:rPr>
                <w:rFonts w:ascii="Times New Roman" w:eastAsia="Times New Roman" w:hAnsi="Times New Roman" w:cs="Times New Roman"/>
                <w:color w:val="000000"/>
                <w:kern w:val="0"/>
                <w:lang w:eastAsia="ro-MD"/>
                <w14:ligatures w14:val="none"/>
              </w:rPr>
              <w:t xml:space="preserve"> ale unor instrumente de fonduri proprii de nivel 1 suplimentar ale entităților din </w:t>
            </w:r>
            <w:r w:rsidRPr="00025230">
              <w:rPr>
                <w:rFonts w:ascii="Times New Roman" w:eastAsia="Times New Roman" w:hAnsi="Times New Roman" w:cs="Times New Roman"/>
                <w:color w:val="000000"/>
                <w:kern w:val="0"/>
                <w:lang w:eastAsia="ro-MD"/>
                <w14:ligatures w14:val="none"/>
              </w:rPr>
              <w:t>sectorul financiar  în</w:t>
            </w:r>
            <w:r w:rsidRPr="00260C32">
              <w:rPr>
                <w:rFonts w:ascii="Times New Roman" w:eastAsia="Times New Roman" w:hAnsi="Times New Roman" w:cs="Times New Roman"/>
                <w:color w:val="000000"/>
                <w:kern w:val="0"/>
                <w:lang w:eastAsia="ro-MD"/>
                <w14:ligatures w14:val="none"/>
              </w:rPr>
              <w:t xml:space="preserve"> care </w:t>
            </w:r>
            <w:r>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 trebuie deduse în totalitate.</w:t>
            </w:r>
          </w:p>
        </w:tc>
        <w:tc>
          <w:tcPr>
            <w:tcW w:w="452" w:type="pct"/>
          </w:tcPr>
          <w:p w14:paraId="39962172"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448AC4C1" w14:textId="4F8DF6BE" w:rsidTr="00D448C0">
        <w:trPr>
          <w:tblCellSpacing w:w="0" w:type="dxa"/>
        </w:trPr>
        <w:tc>
          <w:tcPr>
            <w:tcW w:w="260" w:type="pct"/>
            <w:hideMark/>
          </w:tcPr>
          <w:p w14:paraId="108BDE96"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0720</w:t>
            </w:r>
          </w:p>
        </w:tc>
        <w:tc>
          <w:tcPr>
            <w:tcW w:w="4288" w:type="pct"/>
            <w:hideMark/>
          </w:tcPr>
          <w:p w14:paraId="60E6E1C1" w14:textId="35FD5C8D"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1.1.2.8. (-) Valoarea deducerilor din elementele de fonduri proprii de nivel 2 care depășește fondurile proprii de nivel 2</w:t>
            </w:r>
          </w:p>
          <w:p w14:paraId="7602B64B" w14:textId="6A1A6CC6" w:rsidR="00D448C0" w:rsidRPr="00025230"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025230">
              <w:rPr>
                <w:rFonts w:ascii="Times New Roman" w:eastAsia="Times New Roman" w:hAnsi="Times New Roman" w:cs="Times New Roman"/>
                <w:color w:val="000000"/>
                <w:kern w:val="0"/>
                <w:lang w:eastAsia="ro-MD"/>
                <w14:ligatures w14:val="none"/>
              </w:rPr>
              <w:t xml:space="preserve">Punctul 87 subpunctul 5) din </w:t>
            </w:r>
            <w:r>
              <w:rPr>
                <w:rFonts w:ascii="Times New Roman" w:eastAsia="Times New Roman" w:hAnsi="Times New Roman" w:cs="Times New Roman"/>
                <w:color w:val="000000"/>
                <w:kern w:val="0"/>
                <w:lang w:eastAsia="ro-MD"/>
                <w14:ligatures w14:val="none"/>
              </w:rPr>
              <w:t>Regulamentul nr.109/2018</w:t>
            </w:r>
          </w:p>
          <w:p w14:paraId="16332E7A" w14:textId="64C57142"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lastRenderedPageBreak/>
              <w:t xml:space="preserve">Cuantumul care trebuie raportat este luat direct de la elementul din CA1 „Valoarea deducerilor din elementele de fonduri proprii de nivel 2 care </w:t>
            </w:r>
            <w:r>
              <w:rPr>
                <w:rFonts w:ascii="Times New Roman" w:eastAsia="Times New Roman" w:hAnsi="Times New Roman" w:cs="Times New Roman"/>
                <w:color w:val="000000"/>
                <w:kern w:val="0"/>
                <w:lang w:eastAsia="ro-MD"/>
                <w14:ligatures w14:val="none"/>
              </w:rPr>
              <w:t>depășește</w:t>
            </w:r>
            <w:r w:rsidRPr="00260C32">
              <w:rPr>
                <w:rFonts w:ascii="Times New Roman" w:eastAsia="Times New Roman" w:hAnsi="Times New Roman" w:cs="Times New Roman"/>
                <w:color w:val="000000"/>
                <w:kern w:val="0"/>
                <w:lang w:eastAsia="ro-MD"/>
                <w14:ligatures w14:val="none"/>
              </w:rPr>
              <w:t xml:space="preserve"> fondurile proprii de nivel 2 (deduse în fondurile proprii de nivel 1 suplimentar)”.</w:t>
            </w:r>
          </w:p>
        </w:tc>
        <w:tc>
          <w:tcPr>
            <w:tcW w:w="452" w:type="pct"/>
          </w:tcPr>
          <w:p w14:paraId="143FB92F"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5E0C7E31" w14:textId="6BAFF199" w:rsidTr="00D448C0">
        <w:trPr>
          <w:tblCellSpacing w:w="0" w:type="dxa"/>
        </w:trPr>
        <w:tc>
          <w:tcPr>
            <w:tcW w:w="260" w:type="pct"/>
            <w:hideMark/>
          </w:tcPr>
          <w:p w14:paraId="1AAAF010" w14:textId="77777777"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766E0E">
              <w:rPr>
                <w:rFonts w:ascii="Times New Roman" w:eastAsia="Times New Roman" w:hAnsi="Times New Roman" w:cs="Times New Roman"/>
                <w:color w:val="000000"/>
                <w:kern w:val="0"/>
                <w:lang w:eastAsia="ro-MD"/>
                <w14:ligatures w14:val="none"/>
              </w:rPr>
              <w:t>0730</w:t>
            </w:r>
          </w:p>
        </w:tc>
        <w:tc>
          <w:tcPr>
            <w:tcW w:w="4288" w:type="pct"/>
            <w:hideMark/>
          </w:tcPr>
          <w:p w14:paraId="2AC86863"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1.1.2.9. Alte ajustări tranzitorii aferente fondurilor proprii de nivel 1 suplimentar</w:t>
            </w:r>
          </w:p>
          <w:p w14:paraId="2F8D629A" w14:textId="49D9140C" w:rsidR="00D448C0" w:rsidRPr="00766E0E" w:rsidRDefault="00D448C0" w:rsidP="00B973D9">
            <w:pPr>
              <w:spacing w:after="0" w:line="240" w:lineRule="auto"/>
              <w:rPr>
                <w:rFonts w:ascii="Times New Roman" w:eastAsia="Times New Roman" w:hAnsi="Times New Roman" w:cs="Times New Roman"/>
                <w:color w:val="000000"/>
                <w:kern w:val="0"/>
                <w:lang w:eastAsia="ro-MD"/>
                <w14:ligatures w14:val="none"/>
              </w:rPr>
            </w:pPr>
          </w:p>
        </w:tc>
        <w:tc>
          <w:tcPr>
            <w:tcW w:w="452" w:type="pct"/>
          </w:tcPr>
          <w:p w14:paraId="57D47D41" w14:textId="4DED046F" w:rsidR="00D448C0" w:rsidRPr="00260C32" w:rsidRDefault="00F659A0" w:rsidP="00B973D9">
            <w:pPr>
              <w:spacing w:after="0"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blocat</w:t>
            </w:r>
          </w:p>
        </w:tc>
      </w:tr>
      <w:tr w:rsidR="00D448C0" w:rsidRPr="00260C32" w14:paraId="366C871B" w14:textId="0DD61E6D" w:rsidTr="00D448C0">
        <w:trPr>
          <w:tblCellSpacing w:w="0" w:type="dxa"/>
        </w:trPr>
        <w:tc>
          <w:tcPr>
            <w:tcW w:w="260" w:type="pct"/>
            <w:hideMark/>
          </w:tcPr>
          <w:p w14:paraId="20520C3F"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0740</w:t>
            </w:r>
          </w:p>
        </w:tc>
        <w:tc>
          <w:tcPr>
            <w:tcW w:w="4288" w:type="pct"/>
            <w:hideMark/>
          </w:tcPr>
          <w:p w14:paraId="06AC9CB0" w14:textId="6CAB4B31"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1.1.2.10. Valoarea deducerilor din elementele de fonduri proprii de nivel 1 suplimentar care depășește fondurile proprii de nivel 1 suplimentar (deduse din fondurile proprii de nivel 1 de bază)</w:t>
            </w:r>
          </w:p>
          <w:p w14:paraId="58655990" w14:textId="67298E9E"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025230">
              <w:rPr>
                <w:rFonts w:ascii="Times New Roman" w:eastAsia="Times New Roman" w:hAnsi="Times New Roman" w:cs="Times New Roman"/>
                <w:color w:val="000000"/>
                <w:kern w:val="0"/>
                <w:lang w:eastAsia="ro-MD"/>
                <w14:ligatures w14:val="none"/>
              </w:rPr>
              <w:t xml:space="preserve">Punctul 30 subpunctul 9) din </w:t>
            </w:r>
            <w:r>
              <w:rPr>
                <w:rFonts w:ascii="Times New Roman" w:eastAsia="Times New Roman" w:hAnsi="Times New Roman" w:cs="Times New Roman"/>
                <w:color w:val="000000"/>
                <w:kern w:val="0"/>
                <w:lang w:eastAsia="ro-MD"/>
                <w14:ligatures w14:val="none"/>
              </w:rPr>
              <w:t>Regulamentul nr.109/2018</w:t>
            </w:r>
            <w:r>
              <w:rPr>
                <w:rFonts w:ascii="Arial" w:hAnsi="Arial" w:cs="Arial"/>
              </w:rPr>
              <w:br/>
            </w:r>
            <w:r w:rsidRPr="00260C32">
              <w:rPr>
                <w:rFonts w:ascii="Times New Roman" w:eastAsia="Times New Roman" w:hAnsi="Times New Roman" w:cs="Times New Roman"/>
                <w:color w:val="000000"/>
                <w:kern w:val="0"/>
                <w:lang w:eastAsia="ro-MD"/>
                <w14:ligatures w14:val="none"/>
              </w:rPr>
              <w:t>Fondurile proprii de nivel 1 suplimentar nu pot fi negative, însă este posibil ca deducerile din fondurile proprii de nivel 1 suplimentar să fie mai mari decât fondurile proprii de nivel 1 suplimentar plus primele de emisiune aferente. Atunci când se întâmplă acest lucru, fondurile proprii de nivel 1 suplimentar trebuie să fie egale cu zero, iar surplusul deducerilor din fondurile proprii de nivel 1 suplimentar trebuie să fie dedus din fondurile proprii de nivel 1 de bază.</w:t>
            </w:r>
          </w:p>
          <w:p w14:paraId="4329D210" w14:textId="0A02A23D"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 acest element se asigură faptul că suma p</w:t>
            </w:r>
            <w:r>
              <w:rPr>
                <w:rFonts w:ascii="Times New Roman" w:eastAsia="Times New Roman" w:hAnsi="Times New Roman" w:cs="Times New Roman"/>
                <w:color w:val="000000"/>
                <w:kern w:val="0"/>
                <w:lang w:eastAsia="ro-MD"/>
                <w14:ligatures w14:val="none"/>
              </w:rPr>
              <w:t>osturilo</w:t>
            </w:r>
            <w:r w:rsidRPr="00260C32">
              <w:rPr>
                <w:rFonts w:ascii="Times New Roman" w:eastAsia="Times New Roman" w:hAnsi="Times New Roman" w:cs="Times New Roman"/>
                <w:color w:val="000000"/>
                <w:kern w:val="0"/>
                <w:lang w:eastAsia="ro-MD"/>
                <w14:ligatures w14:val="none"/>
              </w:rPr>
              <w:t>r 1.1.2.1-1.1.2.12 nu este niciodată mai mică decât zero. Atunci când la acest p</w:t>
            </w:r>
            <w:r>
              <w:rPr>
                <w:rFonts w:ascii="Times New Roman" w:eastAsia="Times New Roman" w:hAnsi="Times New Roman" w:cs="Times New Roman"/>
                <w:color w:val="000000"/>
                <w:kern w:val="0"/>
                <w:lang w:eastAsia="ro-MD"/>
                <w14:ligatures w14:val="none"/>
              </w:rPr>
              <w:t>os</w:t>
            </w:r>
            <w:r w:rsidRPr="00260C32">
              <w:rPr>
                <w:rFonts w:ascii="Times New Roman" w:eastAsia="Times New Roman" w:hAnsi="Times New Roman" w:cs="Times New Roman"/>
                <w:color w:val="000000"/>
                <w:kern w:val="0"/>
                <w:lang w:eastAsia="ro-MD"/>
                <w14:ligatures w14:val="none"/>
              </w:rPr>
              <w:t xml:space="preserve">t apare o cifră pozitivă, </w:t>
            </w:r>
            <w:r>
              <w:rPr>
                <w:rFonts w:ascii="Times New Roman" w:eastAsia="Times New Roman" w:hAnsi="Times New Roman" w:cs="Times New Roman"/>
                <w:color w:val="000000"/>
                <w:kern w:val="0"/>
                <w:lang w:eastAsia="ro-MD"/>
                <w14:ligatures w14:val="none"/>
              </w:rPr>
              <w:t>postul</w:t>
            </w:r>
            <w:r w:rsidRPr="00260C32">
              <w:rPr>
                <w:rFonts w:ascii="Times New Roman" w:eastAsia="Times New Roman" w:hAnsi="Times New Roman" w:cs="Times New Roman"/>
                <w:color w:val="000000"/>
                <w:kern w:val="0"/>
                <w:lang w:eastAsia="ro-MD"/>
                <w14:ligatures w14:val="none"/>
              </w:rPr>
              <w:t xml:space="preserve"> 1.1.1.16 reprezintă inversul acelei cifre.</w:t>
            </w:r>
          </w:p>
        </w:tc>
        <w:tc>
          <w:tcPr>
            <w:tcW w:w="452" w:type="pct"/>
          </w:tcPr>
          <w:p w14:paraId="6A5A0014"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0959265E" w14:textId="19C20038" w:rsidTr="00D448C0">
        <w:trPr>
          <w:tblCellSpacing w:w="0" w:type="dxa"/>
        </w:trPr>
        <w:tc>
          <w:tcPr>
            <w:tcW w:w="260" w:type="pct"/>
            <w:hideMark/>
          </w:tcPr>
          <w:p w14:paraId="7C87E1BC"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0744</w:t>
            </w:r>
          </w:p>
        </w:tc>
        <w:tc>
          <w:tcPr>
            <w:tcW w:w="4288" w:type="pct"/>
            <w:hideMark/>
          </w:tcPr>
          <w:p w14:paraId="735282AD" w14:textId="77777777" w:rsidR="008F2835"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1.1.2.11. (-) Deduceri suplimentare din fondurile proprii de nivel 1 suplimentar efectuate în temeiul punctului 3 din Regulamentul nr.109/2018</w:t>
            </w:r>
          </w:p>
          <w:p w14:paraId="0A58BD0C" w14:textId="3D15405A"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025230">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3</w:t>
            </w:r>
            <w:r w:rsidRPr="00025230">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tc>
        <w:tc>
          <w:tcPr>
            <w:tcW w:w="452" w:type="pct"/>
          </w:tcPr>
          <w:p w14:paraId="428F2EF9"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412C2B28" w14:textId="0A09DD01" w:rsidTr="00D448C0">
        <w:trPr>
          <w:tblCellSpacing w:w="0" w:type="dxa"/>
        </w:trPr>
        <w:tc>
          <w:tcPr>
            <w:tcW w:w="260" w:type="pct"/>
            <w:hideMark/>
          </w:tcPr>
          <w:p w14:paraId="3C218FAF"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0748</w:t>
            </w:r>
          </w:p>
        </w:tc>
        <w:tc>
          <w:tcPr>
            <w:tcW w:w="4288" w:type="pct"/>
            <w:hideMark/>
          </w:tcPr>
          <w:p w14:paraId="6E91F481" w14:textId="2C543F2F"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1.1.2.12. Elemente ale fondurilor proprii de nivel 1 suplimentar sau deduceri din acestea – altele</w:t>
            </w:r>
          </w:p>
          <w:p w14:paraId="5C90FC4E" w14:textId="7488254D"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Acest rând este menit să ofere flexibilitate exclusiv în scopul raportării. Acesta trebuie completat numai în cazurile rare în care nu există nicio decizie finală cu privire la raportarea unor elemente specifice de capital/deduceri din capital în actualul formular CA1. Prin urmare, acest rând nu se completează decât în cazul în care un element al fondurilor proprii de nivel 1 suplimentar sau o deducere dintr-un element al fondurilor proprii de nivel 1 suplimentar nu se poate înscrie </w:t>
            </w:r>
            <w:proofErr w:type="spellStart"/>
            <w:r w:rsidRPr="00260C32">
              <w:rPr>
                <w:rFonts w:ascii="Times New Roman" w:eastAsia="Times New Roman" w:hAnsi="Times New Roman" w:cs="Times New Roman"/>
                <w:color w:val="000000"/>
                <w:kern w:val="0"/>
                <w:lang w:eastAsia="ro-MD"/>
                <w14:ligatures w14:val="none"/>
              </w:rPr>
              <w:t>într</w:t>
            </w:r>
            <w:proofErr w:type="spellEnd"/>
            <w:r w:rsidRPr="00260C32">
              <w:rPr>
                <w:rFonts w:ascii="Times New Roman" w:eastAsia="Times New Roman" w:hAnsi="Times New Roman" w:cs="Times New Roman"/>
                <w:color w:val="000000"/>
                <w:kern w:val="0"/>
                <w:lang w:eastAsia="ro-MD"/>
                <w14:ligatures w14:val="none"/>
              </w:rPr>
              <w:t xml:space="preserve">-unul din rândurile </w:t>
            </w:r>
            <w:r w:rsidR="0026360B">
              <w:rPr>
                <w:rFonts w:ascii="Times New Roman" w:eastAsia="Times New Roman" w:hAnsi="Times New Roman" w:cs="Times New Roman"/>
                <w:color w:val="000000"/>
                <w:kern w:val="0"/>
                <w:lang w:eastAsia="ro-MD"/>
                <w14:ligatures w14:val="none"/>
              </w:rPr>
              <w:t>0</w:t>
            </w:r>
            <w:r w:rsidRPr="00260C32">
              <w:rPr>
                <w:rFonts w:ascii="Times New Roman" w:eastAsia="Times New Roman" w:hAnsi="Times New Roman" w:cs="Times New Roman"/>
                <w:color w:val="000000"/>
                <w:kern w:val="0"/>
                <w:lang w:eastAsia="ro-MD"/>
                <w14:ligatures w14:val="none"/>
              </w:rPr>
              <w:t>530-</w:t>
            </w:r>
            <w:r w:rsidR="0026360B">
              <w:rPr>
                <w:rFonts w:ascii="Times New Roman" w:eastAsia="Times New Roman" w:hAnsi="Times New Roman" w:cs="Times New Roman"/>
                <w:color w:val="000000"/>
                <w:kern w:val="0"/>
                <w:lang w:eastAsia="ro-MD"/>
                <w14:ligatures w14:val="none"/>
              </w:rPr>
              <w:t>0</w:t>
            </w:r>
            <w:r w:rsidRPr="00260C32">
              <w:rPr>
                <w:rFonts w:ascii="Times New Roman" w:eastAsia="Times New Roman" w:hAnsi="Times New Roman" w:cs="Times New Roman"/>
                <w:color w:val="000000"/>
                <w:kern w:val="0"/>
                <w:lang w:eastAsia="ro-MD"/>
                <w14:ligatures w14:val="none"/>
              </w:rPr>
              <w:t>744.</w:t>
            </w:r>
          </w:p>
        </w:tc>
        <w:tc>
          <w:tcPr>
            <w:tcW w:w="452" w:type="pct"/>
          </w:tcPr>
          <w:p w14:paraId="37701AF9"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664A13C1" w14:textId="62C7915B" w:rsidTr="00D448C0">
        <w:trPr>
          <w:tblCellSpacing w:w="0" w:type="dxa"/>
        </w:trPr>
        <w:tc>
          <w:tcPr>
            <w:tcW w:w="260" w:type="pct"/>
            <w:hideMark/>
          </w:tcPr>
          <w:p w14:paraId="568069CF"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0750</w:t>
            </w:r>
          </w:p>
        </w:tc>
        <w:tc>
          <w:tcPr>
            <w:tcW w:w="4288" w:type="pct"/>
            <w:hideMark/>
          </w:tcPr>
          <w:p w14:paraId="17680098" w14:textId="12D5F760" w:rsidR="00D448C0" w:rsidRPr="00B603AB"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B603AB">
              <w:rPr>
                <w:rFonts w:ascii="Times New Roman" w:eastAsia="Times New Roman" w:hAnsi="Times New Roman" w:cs="Times New Roman"/>
                <w:b/>
                <w:bCs/>
                <w:color w:val="000000"/>
                <w:kern w:val="0"/>
                <w:lang w:eastAsia="ro-MD"/>
                <w14:ligatures w14:val="none"/>
              </w:rPr>
              <w:t>1.2. Fonduri proprii de nivel 2</w:t>
            </w:r>
          </w:p>
          <w:p w14:paraId="0BEB8B42" w14:textId="4BD28149"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025230">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9</w:t>
            </w:r>
            <w:r w:rsidRPr="00025230">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tc>
        <w:tc>
          <w:tcPr>
            <w:tcW w:w="452" w:type="pct"/>
          </w:tcPr>
          <w:p w14:paraId="1D20342A" w14:textId="77777777" w:rsidR="00D448C0" w:rsidRPr="00B603AB" w:rsidRDefault="00D448C0" w:rsidP="00B973D9">
            <w:pPr>
              <w:spacing w:after="0" w:line="240" w:lineRule="auto"/>
              <w:rPr>
                <w:rFonts w:ascii="Times New Roman" w:eastAsia="Times New Roman" w:hAnsi="Times New Roman" w:cs="Times New Roman"/>
                <w:b/>
                <w:bCs/>
                <w:color w:val="000000"/>
                <w:kern w:val="0"/>
                <w:lang w:eastAsia="ro-MD"/>
                <w14:ligatures w14:val="none"/>
              </w:rPr>
            </w:pPr>
          </w:p>
        </w:tc>
      </w:tr>
      <w:tr w:rsidR="00D448C0" w:rsidRPr="00260C32" w14:paraId="6BBB061D" w14:textId="777DFC81" w:rsidTr="00D448C0">
        <w:trPr>
          <w:tblCellSpacing w:w="0" w:type="dxa"/>
        </w:trPr>
        <w:tc>
          <w:tcPr>
            <w:tcW w:w="260" w:type="pct"/>
            <w:hideMark/>
          </w:tcPr>
          <w:p w14:paraId="42E4B678"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0760</w:t>
            </w:r>
          </w:p>
        </w:tc>
        <w:tc>
          <w:tcPr>
            <w:tcW w:w="4288" w:type="pct"/>
            <w:hideMark/>
          </w:tcPr>
          <w:p w14:paraId="5B38EDE3"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1.2.1. Instrumente de capital eligibile drept fonduri proprii de nivel 2</w:t>
            </w:r>
          </w:p>
          <w:p w14:paraId="320B0491" w14:textId="2BEC16B3"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9D5D45">
              <w:rPr>
                <w:rFonts w:ascii="Times New Roman" w:eastAsia="Times New Roman" w:hAnsi="Times New Roman" w:cs="Times New Roman"/>
                <w:color w:val="000000"/>
                <w:kern w:val="0"/>
                <w:lang w:eastAsia="ro-MD"/>
                <w14:ligatures w14:val="none"/>
              </w:rPr>
              <w:t xml:space="preserve">Punctul 96 subpunctul 1), punctele 97-99, punctul 100 subpunctul 1) </w:t>
            </w:r>
            <w:proofErr w:type="spellStart"/>
            <w:r w:rsidRPr="009D5D45">
              <w:rPr>
                <w:rFonts w:ascii="Times New Roman" w:eastAsia="Times New Roman" w:hAnsi="Times New Roman" w:cs="Times New Roman"/>
                <w:color w:val="000000"/>
                <w:kern w:val="0"/>
                <w:lang w:eastAsia="ro-MD"/>
                <w14:ligatures w14:val="none"/>
              </w:rPr>
              <w:t>şi</w:t>
            </w:r>
            <w:proofErr w:type="spellEnd"/>
            <w:r w:rsidRPr="009D5D45">
              <w:rPr>
                <w:rFonts w:ascii="Times New Roman" w:eastAsia="Times New Roman" w:hAnsi="Times New Roman" w:cs="Times New Roman"/>
                <w:color w:val="000000"/>
                <w:kern w:val="0"/>
                <w:lang w:eastAsia="ro-MD"/>
                <w14:ligatures w14:val="none"/>
              </w:rPr>
              <w:t xml:space="preserve"> punctul 102 din </w:t>
            </w:r>
            <w:r>
              <w:rPr>
                <w:rFonts w:ascii="Times New Roman" w:eastAsia="Times New Roman" w:hAnsi="Times New Roman" w:cs="Times New Roman"/>
                <w:color w:val="000000"/>
                <w:kern w:val="0"/>
                <w:lang w:eastAsia="ro-MD"/>
                <w14:ligatures w14:val="none"/>
              </w:rPr>
              <w:t>Regulamentul nr.109/2018</w:t>
            </w:r>
          </w:p>
        </w:tc>
        <w:tc>
          <w:tcPr>
            <w:tcW w:w="452" w:type="pct"/>
          </w:tcPr>
          <w:p w14:paraId="374CEB7B"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0E79B516" w14:textId="1CF2A906" w:rsidTr="00D448C0">
        <w:trPr>
          <w:tblCellSpacing w:w="0" w:type="dxa"/>
        </w:trPr>
        <w:tc>
          <w:tcPr>
            <w:tcW w:w="260" w:type="pct"/>
            <w:hideMark/>
          </w:tcPr>
          <w:p w14:paraId="00E685C5"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0771</w:t>
            </w:r>
          </w:p>
        </w:tc>
        <w:tc>
          <w:tcPr>
            <w:tcW w:w="4288" w:type="pct"/>
            <w:hideMark/>
          </w:tcPr>
          <w:p w14:paraId="26A6742A"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1.2.1.1. Instrumente de capital plătite integral și emise direct</w:t>
            </w:r>
          </w:p>
          <w:p w14:paraId="5499AFC4" w14:textId="6287D4ED" w:rsidR="00D448C0" w:rsidRPr="00632B7F"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632B7F">
              <w:rPr>
                <w:rFonts w:ascii="Times New Roman" w:eastAsia="Times New Roman" w:hAnsi="Times New Roman" w:cs="Times New Roman"/>
                <w:color w:val="000000"/>
                <w:kern w:val="0"/>
                <w:lang w:eastAsia="ro-MD"/>
                <w14:ligatures w14:val="none"/>
              </w:rPr>
              <w:t>Punctul 96 subpunctul 1), punct</w:t>
            </w:r>
            <w:r>
              <w:rPr>
                <w:rFonts w:ascii="Times New Roman" w:eastAsia="Times New Roman" w:hAnsi="Times New Roman" w:cs="Times New Roman"/>
                <w:color w:val="000000"/>
                <w:kern w:val="0"/>
                <w:lang w:eastAsia="ro-MD"/>
                <w14:ligatures w14:val="none"/>
              </w:rPr>
              <w:t>ele</w:t>
            </w:r>
            <w:r w:rsidRPr="00632B7F">
              <w:rPr>
                <w:rFonts w:ascii="Times New Roman" w:eastAsia="Times New Roman" w:hAnsi="Times New Roman" w:cs="Times New Roman"/>
                <w:color w:val="000000"/>
                <w:kern w:val="0"/>
                <w:lang w:eastAsia="ro-MD"/>
                <w14:ligatures w14:val="none"/>
              </w:rPr>
              <w:t xml:space="preserve"> 97</w:t>
            </w:r>
            <w:r>
              <w:rPr>
                <w:rFonts w:ascii="Times New Roman" w:eastAsia="Times New Roman" w:hAnsi="Times New Roman" w:cs="Times New Roman"/>
                <w:color w:val="000000"/>
                <w:kern w:val="0"/>
                <w:lang w:eastAsia="ro-MD"/>
                <w14:ligatures w14:val="none"/>
              </w:rPr>
              <w:t xml:space="preserve"> -</w:t>
            </w:r>
            <w:r w:rsidRPr="00632B7F">
              <w:rPr>
                <w:rFonts w:ascii="Times New Roman" w:eastAsia="Times New Roman" w:hAnsi="Times New Roman" w:cs="Times New Roman"/>
                <w:color w:val="000000"/>
                <w:kern w:val="0"/>
                <w:lang w:eastAsia="ro-MD"/>
                <w14:ligatures w14:val="none"/>
              </w:rPr>
              <w:t xml:space="preserve"> 99 din </w:t>
            </w:r>
            <w:r>
              <w:rPr>
                <w:rFonts w:ascii="Times New Roman" w:eastAsia="Times New Roman" w:hAnsi="Times New Roman" w:cs="Times New Roman"/>
                <w:color w:val="000000"/>
                <w:kern w:val="0"/>
                <w:lang w:eastAsia="ro-MD"/>
                <w14:ligatures w14:val="none"/>
              </w:rPr>
              <w:t>Regulamentul nr.109/2018</w:t>
            </w:r>
          </w:p>
          <w:p w14:paraId="0F6551F1"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care trebuie raportat nu include prima de emisiune aferentă instrumentelor.</w:t>
            </w:r>
          </w:p>
          <w:p w14:paraId="3D0546CB"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Instrumentele de capital pot fi constituite din titluri de capital sau datorii, inclusiv împrumuturi subordonate care îndeplinesc criteriile de eligibilitate.</w:t>
            </w:r>
          </w:p>
        </w:tc>
        <w:tc>
          <w:tcPr>
            <w:tcW w:w="452" w:type="pct"/>
          </w:tcPr>
          <w:p w14:paraId="244B0EC4"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4EE958C1" w14:textId="6E8248E5" w:rsidTr="00D448C0">
        <w:trPr>
          <w:tblCellSpacing w:w="0" w:type="dxa"/>
        </w:trPr>
        <w:tc>
          <w:tcPr>
            <w:tcW w:w="260" w:type="pct"/>
            <w:hideMark/>
          </w:tcPr>
          <w:p w14:paraId="6E24D093"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0780</w:t>
            </w:r>
          </w:p>
        </w:tc>
        <w:tc>
          <w:tcPr>
            <w:tcW w:w="4288" w:type="pct"/>
            <w:hideMark/>
          </w:tcPr>
          <w:p w14:paraId="15629177"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1.2.1.2 (*) Element memorandum: instrumente de capital care nu sunt eligibile</w:t>
            </w:r>
          </w:p>
          <w:p w14:paraId="0BE380F0" w14:textId="0C6DAD0A" w:rsidR="00D448C0" w:rsidRPr="00684043"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684043">
              <w:rPr>
                <w:rFonts w:ascii="Times New Roman" w:eastAsia="Times New Roman" w:hAnsi="Times New Roman" w:cs="Times New Roman"/>
                <w:color w:val="000000"/>
                <w:kern w:val="0"/>
                <w:lang w:eastAsia="ro-MD"/>
                <w14:ligatures w14:val="none"/>
              </w:rPr>
              <w:t xml:space="preserve">Punctul 97 subpunctele 3), 5) </w:t>
            </w:r>
            <w:proofErr w:type="spellStart"/>
            <w:r w:rsidRPr="00684043">
              <w:rPr>
                <w:rFonts w:ascii="Times New Roman" w:eastAsia="Times New Roman" w:hAnsi="Times New Roman" w:cs="Times New Roman"/>
                <w:color w:val="000000"/>
                <w:kern w:val="0"/>
                <w:lang w:eastAsia="ro-MD"/>
                <w14:ligatures w14:val="none"/>
              </w:rPr>
              <w:t>şi</w:t>
            </w:r>
            <w:proofErr w:type="spellEnd"/>
            <w:r w:rsidRPr="00684043">
              <w:rPr>
                <w:rFonts w:ascii="Times New Roman" w:eastAsia="Times New Roman" w:hAnsi="Times New Roman" w:cs="Times New Roman"/>
                <w:color w:val="000000"/>
                <w:kern w:val="0"/>
                <w:lang w:eastAsia="ro-MD"/>
                <w14:ligatures w14:val="none"/>
              </w:rPr>
              <w:t xml:space="preserve"> 6) </w:t>
            </w:r>
            <w:proofErr w:type="spellStart"/>
            <w:r w:rsidRPr="00684043">
              <w:rPr>
                <w:rFonts w:ascii="Times New Roman" w:eastAsia="Times New Roman" w:hAnsi="Times New Roman" w:cs="Times New Roman"/>
                <w:color w:val="000000"/>
                <w:kern w:val="0"/>
                <w:lang w:eastAsia="ro-MD"/>
                <w14:ligatures w14:val="none"/>
              </w:rPr>
              <w:t>şi</w:t>
            </w:r>
            <w:proofErr w:type="spellEnd"/>
            <w:r w:rsidRPr="00684043">
              <w:rPr>
                <w:rFonts w:ascii="Times New Roman" w:eastAsia="Times New Roman" w:hAnsi="Times New Roman" w:cs="Times New Roman"/>
                <w:color w:val="000000"/>
                <w:kern w:val="0"/>
                <w:lang w:eastAsia="ro-MD"/>
                <w14:ligatures w14:val="none"/>
              </w:rPr>
              <w:t xml:space="preserve"> punct</w:t>
            </w:r>
            <w:r>
              <w:rPr>
                <w:rFonts w:ascii="Times New Roman" w:eastAsia="Times New Roman" w:hAnsi="Times New Roman" w:cs="Times New Roman"/>
                <w:color w:val="000000"/>
                <w:kern w:val="0"/>
                <w:lang w:eastAsia="ro-MD"/>
                <w14:ligatures w14:val="none"/>
              </w:rPr>
              <w:t>ele 97</w:t>
            </w:r>
            <w:r w:rsidRPr="00684043">
              <w:rPr>
                <w:rFonts w:ascii="Times New Roman" w:eastAsia="Times New Roman" w:hAnsi="Times New Roman" w:cs="Times New Roman"/>
                <w:color w:val="000000"/>
                <w:kern w:val="0"/>
                <w:vertAlign w:val="superscript"/>
                <w:lang w:eastAsia="ro-MD"/>
                <w14:ligatures w14:val="none"/>
              </w:rPr>
              <w:t>1</w:t>
            </w:r>
            <w:r>
              <w:rPr>
                <w:rFonts w:ascii="Times New Roman" w:eastAsia="Times New Roman" w:hAnsi="Times New Roman" w:cs="Times New Roman"/>
                <w:color w:val="000000"/>
                <w:kern w:val="0"/>
                <w:lang w:eastAsia="ro-MD"/>
                <w14:ligatures w14:val="none"/>
              </w:rPr>
              <w:t xml:space="preserve"> și </w:t>
            </w:r>
            <w:r w:rsidRPr="00684043">
              <w:rPr>
                <w:rFonts w:ascii="Times New Roman" w:eastAsia="Times New Roman" w:hAnsi="Times New Roman" w:cs="Times New Roman"/>
                <w:color w:val="000000"/>
                <w:kern w:val="0"/>
                <w:lang w:eastAsia="ro-MD"/>
                <w14:ligatures w14:val="none"/>
              </w:rPr>
              <w:t xml:space="preserve"> 98 din </w:t>
            </w:r>
            <w:r>
              <w:rPr>
                <w:rFonts w:ascii="Times New Roman" w:eastAsia="Times New Roman" w:hAnsi="Times New Roman" w:cs="Times New Roman"/>
                <w:color w:val="000000"/>
                <w:kern w:val="0"/>
                <w:lang w:eastAsia="ro-MD"/>
                <w14:ligatures w14:val="none"/>
              </w:rPr>
              <w:t>Regulamentul nr.109/2018</w:t>
            </w:r>
          </w:p>
          <w:p w14:paraId="3B44F969"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Condițiile de la punctele respective reflectă diferitele situații ale capitalului care sunt reversibile și, prin urmare, cuantumul raportat aici poate fi eligibil în perioadele ulterioare.</w:t>
            </w:r>
          </w:p>
          <w:p w14:paraId="602102E4"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care trebuie raportat nu include prima de emisiune aferentă instrumentelor.</w:t>
            </w:r>
          </w:p>
          <w:p w14:paraId="6D78D0A6"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Instrumentele de capital pot fi constituite din titluri de capital sau datorii, inclusiv împrumuturi subordonate.</w:t>
            </w:r>
          </w:p>
        </w:tc>
        <w:tc>
          <w:tcPr>
            <w:tcW w:w="452" w:type="pct"/>
          </w:tcPr>
          <w:p w14:paraId="17337547"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3FAD39CB" w14:textId="2C26D07A" w:rsidTr="00D448C0">
        <w:trPr>
          <w:tblCellSpacing w:w="0" w:type="dxa"/>
        </w:trPr>
        <w:tc>
          <w:tcPr>
            <w:tcW w:w="260" w:type="pct"/>
            <w:hideMark/>
          </w:tcPr>
          <w:p w14:paraId="68FEC60B"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0791</w:t>
            </w:r>
          </w:p>
        </w:tc>
        <w:tc>
          <w:tcPr>
            <w:tcW w:w="4288" w:type="pct"/>
            <w:hideMark/>
          </w:tcPr>
          <w:p w14:paraId="11007D59"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1.2.1.3. Prima de emisiune</w:t>
            </w:r>
          </w:p>
          <w:p w14:paraId="0400BDA8" w14:textId="5F87E875" w:rsidR="00D448C0" w:rsidRPr="00684043"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684043">
              <w:rPr>
                <w:rFonts w:ascii="Times New Roman" w:eastAsia="Times New Roman" w:hAnsi="Times New Roman" w:cs="Times New Roman"/>
                <w:color w:val="000000"/>
                <w:kern w:val="0"/>
                <w:lang w:eastAsia="ro-MD"/>
                <w14:ligatures w14:val="none"/>
              </w:rPr>
              <w:t xml:space="preserve">Punctul 96 subpunctul 2) </w:t>
            </w:r>
            <w:proofErr w:type="spellStart"/>
            <w:r w:rsidRPr="00684043">
              <w:rPr>
                <w:rFonts w:ascii="Times New Roman" w:eastAsia="Times New Roman" w:hAnsi="Times New Roman" w:cs="Times New Roman"/>
                <w:color w:val="000000"/>
                <w:kern w:val="0"/>
                <w:lang w:eastAsia="ro-MD"/>
                <w14:ligatures w14:val="none"/>
              </w:rPr>
              <w:t>şi</w:t>
            </w:r>
            <w:proofErr w:type="spellEnd"/>
            <w:r w:rsidRPr="00684043">
              <w:rPr>
                <w:rFonts w:ascii="Times New Roman" w:eastAsia="Times New Roman" w:hAnsi="Times New Roman" w:cs="Times New Roman"/>
                <w:color w:val="000000"/>
                <w:kern w:val="0"/>
                <w:lang w:eastAsia="ro-MD"/>
                <w14:ligatures w14:val="none"/>
              </w:rPr>
              <w:t xml:space="preserve"> punctul 99 din </w:t>
            </w:r>
            <w:r>
              <w:rPr>
                <w:rFonts w:ascii="Times New Roman" w:eastAsia="Times New Roman" w:hAnsi="Times New Roman" w:cs="Times New Roman"/>
                <w:color w:val="000000"/>
                <w:kern w:val="0"/>
                <w:lang w:eastAsia="ro-MD"/>
                <w14:ligatures w14:val="none"/>
              </w:rPr>
              <w:t>Regulamentul nr.109/2018</w:t>
            </w:r>
          </w:p>
          <w:p w14:paraId="4BDB6744"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Prima de emisiune are același înțeles ca în standardul contabil aplicabil.</w:t>
            </w:r>
          </w:p>
          <w:p w14:paraId="3B156AC1"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care urmează să fie raportat la acest punct trebuie să fie partea referitoare la „Instrumentele de capital plătite integral și emise direct”.</w:t>
            </w:r>
          </w:p>
        </w:tc>
        <w:tc>
          <w:tcPr>
            <w:tcW w:w="452" w:type="pct"/>
          </w:tcPr>
          <w:p w14:paraId="6818AE30"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41F93D17" w14:textId="15DF476C" w:rsidTr="00D448C0">
        <w:trPr>
          <w:tblCellSpacing w:w="0" w:type="dxa"/>
        </w:trPr>
        <w:tc>
          <w:tcPr>
            <w:tcW w:w="260" w:type="pct"/>
            <w:hideMark/>
          </w:tcPr>
          <w:p w14:paraId="738EE5C1"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0800</w:t>
            </w:r>
          </w:p>
        </w:tc>
        <w:tc>
          <w:tcPr>
            <w:tcW w:w="4288" w:type="pct"/>
            <w:hideMark/>
          </w:tcPr>
          <w:p w14:paraId="4C11021E"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1.2.1.4. (-) Instrumente proprii de fonduri proprii de nivel 2</w:t>
            </w:r>
          </w:p>
          <w:p w14:paraId="48803829" w14:textId="7D37F7C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6D1122">
              <w:rPr>
                <w:rFonts w:ascii="Times New Roman" w:eastAsia="Times New Roman" w:hAnsi="Times New Roman" w:cs="Times New Roman"/>
                <w:color w:val="000000"/>
                <w:kern w:val="0"/>
                <w:lang w:eastAsia="ro-MD"/>
                <w14:ligatures w14:val="none"/>
              </w:rPr>
              <w:t xml:space="preserve">Punctul 97 subpunctul 2) litera a), punctul 100 subpunctul 1) </w:t>
            </w:r>
            <w:proofErr w:type="spellStart"/>
            <w:r w:rsidRPr="006D1122">
              <w:rPr>
                <w:rFonts w:ascii="Times New Roman" w:eastAsia="Times New Roman" w:hAnsi="Times New Roman" w:cs="Times New Roman"/>
                <w:color w:val="000000"/>
                <w:kern w:val="0"/>
                <w:lang w:eastAsia="ro-MD"/>
                <w14:ligatures w14:val="none"/>
              </w:rPr>
              <w:t>şi</w:t>
            </w:r>
            <w:proofErr w:type="spellEnd"/>
            <w:r w:rsidRPr="006D1122">
              <w:rPr>
                <w:rFonts w:ascii="Times New Roman" w:eastAsia="Times New Roman" w:hAnsi="Times New Roman" w:cs="Times New Roman"/>
                <w:color w:val="000000"/>
                <w:kern w:val="0"/>
                <w:lang w:eastAsia="ro-MD"/>
                <w14:ligatures w14:val="none"/>
              </w:rPr>
              <w:t xml:space="preserve"> punctul 102 din </w:t>
            </w:r>
            <w:r>
              <w:rPr>
                <w:rFonts w:ascii="Times New Roman" w:eastAsia="Times New Roman" w:hAnsi="Times New Roman" w:cs="Times New Roman"/>
                <w:color w:val="000000"/>
                <w:kern w:val="0"/>
                <w:lang w:eastAsia="ro-MD"/>
                <w14:ligatures w14:val="none"/>
              </w:rPr>
              <w:t>Regulamentul nr.109/2018</w:t>
            </w:r>
            <w:r w:rsidRPr="006D1122">
              <w:rPr>
                <w:rFonts w:ascii="Times New Roman" w:eastAsia="Times New Roman" w:hAnsi="Times New Roman" w:cs="Times New Roman"/>
                <w:color w:val="000000"/>
                <w:kern w:val="0"/>
                <w:lang w:eastAsia="ro-MD"/>
                <w14:ligatures w14:val="none"/>
              </w:rPr>
              <w:t>.</w:t>
            </w:r>
            <w:r>
              <w:rPr>
                <w:rFonts w:ascii="Arial" w:hAnsi="Arial" w:cs="Arial"/>
              </w:rPr>
              <w:t xml:space="preserve"> </w:t>
            </w:r>
            <w:r>
              <w:rPr>
                <w:rFonts w:ascii="Arial" w:hAnsi="Arial" w:cs="Arial"/>
              </w:rPr>
              <w:br/>
            </w:r>
            <w:r w:rsidRPr="00260C32">
              <w:rPr>
                <w:rFonts w:ascii="Times New Roman" w:eastAsia="Times New Roman" w:hAnsi="Times New Roman" w:cs="Times New Roman"/>
                <w:color w:val="000000"/>
                <w:kern w:val="0"/>
                <w:lang w:eastAsia="ro-MD"/>
                <w14:ligatures w14:val="none"/>
              </w:rPr>
              <w:t xml:space="preserve">Instrumentele proprii de fonduri proprii de nivel 2 deținute de </w:t>
            </w:r>
            <w:r>
              <w:rPr>
                <w:rFonts w:ascii="Times New Roman" w:eastAsia="Times New Roman" w:hAnsi="Times New Roman" w:cs="Times New Roman"/>
                <w:color w:val="000000"/>
                <w:kern w:val="0"/>
                <w:lang w:eastAsia="ro-MD"/>
                <w14:ligatures w14:val="none"/>
              </w:rPr>
              <w:t>bancă</w:t>
            </w:r>
            <w:r w:rsidRPr="00260C32">
              <w:rPr>
                <w:rFonts w:ascii="Times New Roman" w:eastAsia="Times New Roman" w:hAnsi="Times New Roman" w:cs="Times New Roman"/>
                <w:color w:val="000000"/>
                <w:kern w:val="0"/>
                <w:lang w:eastAsia="ro-MD"/>
                <w14:ligatures w14:val="none"/>
              </w:rPr>
              <w:t xml:space="preserve"> sau grupul raportor la data raportării. Sub rezerva excepțiilor prevăzute la </w:t>
            </w:r>
            <w:r w:rsidRPr="006D1122">
              <w:rPr>
                <w:rFonts w:ascii="Times New Roman" w:eastAsia="Times New Roman" w:hAnsi="Times New Roman" w:cs="Times New Roman"/>
                <w:color w:val="000000"/>
                <w:kern w:val="0"/>
                <w:lang w:eastAsia="ro-MD"/>
                <w14:ligatures w14:val="none"/>
              </w:rPr>
              <w:t xml:space="preserve">punctul 102 din </w:t>
            </w:r>
            <w:r>
              <w:rPr>
                <w:rFonts w:ascii="Times New Roman" w:eastAsia="Times New Roman" w:hAnsi="Times New Roman" w:cs="Times New Roman"/>
                <w:color w:val="000000"/>
                <w:kern w:val="0"/>
                <w:lang w:eastAsia="ro-MD"/>
                <w14:ligatures w14:val="none"/>
              </w:rPr>
              <w:t>Regulamentul nr.109/2018</w:t>
            </w:r>
            <w:r w:rsidRPr="00260C32">
              <w:rPr>
                <w:rFonts w:ascii="Times New Roman" w:eastAsia="Times New Roman" w:hAnsi="Times New Roman" w:cs="Times New Roman"/>
                <w:color w:val="000000"/>
                <w:kern w:val="0"/>
                <w:lang w:eastAsia="ro-MD"/>
                <w14:ligatures w14:val="none"/>
              </w:rPr>
              <w:t>.</w:t>
            </w:r>
          </w:p>
          <w:p w14:paraId="79F75C93"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lastRenderedPageBreak/>
              <w:t>Deținerile de acțiuni incluse ca „instrumente de capital care nu sunt eligibile” nu trebuie raportate pe acest rând.</w:t>
            </w:r>
          </w:p>
          <w:p w14:paraId="21A771E2"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care trebuie raportat include prima de emisiune aferentă acțiunilor proprii.</w:t>
            </w:r>
          </w:p>
          <w:p w14:paraId="2FC8B5F5"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Punctele 1.2.1.4-1.2.1.4.3 nu includ obligațiile reale sau contingente de a cumpăra instrumente proprii de fonduri proprii de nivel 2. Obligațiile reale sau contingente de a cumpăra instrumente proprii de fonduri proprii de nivel 2 se raportează separat la elementul 1.2.1.5.</w:t>
            </w:r>
          </w:p>
        </w:tc>
        <w:tc>
          <w:tcPr>
            <w:tcW w:w="452" w:type="pct"/>
          </w:tcPr>
          <w:p w14:paraId="31C3C7DC"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2B70F50A" w14:textId="3ED723A8" w:rsidTr="00D448C0">
        <w:trPr>
          <w:tblCellSpacing w:w="0" w:type="dxa"/>
        </w:trPr>
        <w:tc>
          <w:tcPr>
            <w:tcW w:w="260" w:type="pct"/>
            <w:hideMark/>
          </w:tcPr>
          <w:p w14:paraId="11A960F8"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0810</w:t>
            </w:r>
          </w:p>
        </w:tc>
        <w:tc>
          <w:tcPr>
            <w:tcW w:w="4288" w:type="pct"/>
            <w:hideMark/>
          </w:tcPr>
          <w:p w14:paraId="29F9B3C1" w14:textId="77777777" w:rsidR="00D448C0" w:rsidRPr="00212C16"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212C16">
              <w:rPr>
                <w:rFonts w:ascii="Times New Roman" w:eastAsia="Times New Roman" w:hAnsi="Times New Roman" w:cs="Times New Roman"/>
                <w:b/>
                <w:bCs/>
                <w:color w:val="000000"/>
                <w:kern w:val="0"/>
                <w:lang w:eastAsia="ro-MD"/>
                <w14:ligatures w14:val="none"/>
              </w:rPr>
              <w:t>1.2.1.4.1. (-) Dețineri directe de instrumente de fonduri proprii de nivel 2</w:t>
            </w:r>
          </w:p>
          <w:p w14:paraId="71D4A2E2" w14:textId="6C4BF453" w:rsidR="00D448C0" w:rsidRPr="006D112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6D1122">
              <w:rPr>
                <w:rFonts w:ascii="Times New Roman" w:eastAsia="Times New Roman" w:hAnsi="Times New Roman" w:cs="Times New Roman"/>
                <w:color w:val="000000"/>
                <w:kern w:val="0"/>
                <w:lang w:eastAsia="ro-MD"/>
                <w14:ligatures w14:val="none"/>
              </w:rPr>
              <w:t xml:space="preserve">Punctul 97 subpunctul 2), punctul 100 subpunctul 1) </w:t>
            </w:r>
            <w:proofErr w:type="spellStart"/>
            <w:r w:rsidRPr="006D1122">
              <w:rPr>
                <w:rFonts w:ascii="Times New Roman" w:eastAsia="Times New Roman" w:hAnsi="Times New Roman" w:cs="Times New Roman"/>
                <w:color w:val="000000"/>
                <w:kern w:val="0"/>
                <w:lang w:eastAsia="ro-MD"/>
                <w14:ligatures w14:val="none"/>
              </w:rPr>
              <w:t>şi</w:t>
            </w:r>
            <w:proofErr w:type="spellEnd"/>
            <w:r w:rsidRPr="006D1122">
              <w:rPr>
                <w:rFonts w:ascii="Times New Roman" w:eastAsia="Times New Roman" w:hAnsi="Times New Roman" w:cs="Times New Roman"/>
                <w:color w:val="000000"/>
                <w:kern w:val="0"/>
                <w:lang w:eastAsia="ro-MD"/>
                <w14:ligatures w14:val="none"/>
              </w:rPr>
              <w:t xml:space="preserve"> punctul 102 din </w:t>
            </w:r>
            <w:r>
              <w:rPr>
                <w:rFonts w:ascii="Times New Roman" w:eastAsia="Times New Roman" w:hAnsi="Times New Roman" w:cs="Times New Roman"/>
                <w:color w:val="000000"/>
                <w:kern w:val="0"/>
                <w:lang w:eastAsia="ro-MD"/>
                <w14:ligatures w14:val="none"/>
              </w:rPr>
              <w:t>Regulamentul nr.109/2018</w:t>
            </w:r>
            <w:r w:rsidRPr="006D1122">
              <w:rPr>
                <w:rFonts w:ascii="Times New Roman" w:eastAsia="Times New Roman" w:hAnsi="Times New Roman" w:cs="Times New Roman"/>
                <w:color w:val="000000"/>
                <w:kern w:val="0"/>
                <w:lang w:eastAsia="ro-MD"/>
                <w14:ligatures w14:val="none"/>
              </w:rPr>
              <w:t>.</w:t>
            </w:r>
          </w:p>
          <w:p w14:paraId="07C4FED5" w14:textId="32776DBD"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Instrumentele de fonduri proprii de nivel 2 incluse la p</w:t>
            </w:r>
            <w:r>
              <w:rPr>
                <w:rFonts w:ascii="Times New Roman" w:eastAsia="Times New Roman" w:hAnsi="Times New Roman" w:cs="Times New Roman"/>
                <w:color w:val="000000"/>
                <w:kern w:val="0"/>
                <w:lang w:eastAsia="ro-MD"/>
                <w14:ligatures w14:val="none"/>
              </w:rPr>
              <w:t>ostu</w:t>
            </w:r>
            <w:r w:rsidRPr="00260C32">
              <w:rPr>
                <w:rFonts w:ascii="Times New Roman" w:eastAsia="Times New Roman" w:hAnsi="Times New Roman" w:cs="Times New Roman"/>
                <w:color w:val="000000"/>
                <w:kern w:val="0"/>
                <w:lang w:eastAsia="ro-MD"/>
                <w14:ligatures w14:val="none"/>
              </w:rPr>
              <w:t xml:space="preserve">l 1.2.1.1 deținute de </w:t>
            </w:r>
            <w:r>
              <w:rPr>
                <w:rFonts w:ascii="Times New Roman" w:eastAsia="Times New Roman" w:hAnsi="Times New Roman" w:cs="Times New Roman"/>
                <w:color w:val="000000"/>
                <w:kern w:val="0"/>
                <w:lang w:eastAsia="ro-MD"/>
                <w14:ligatures w14:val="none"/>
              </w:rPr>
              <w:t>bănci</w:t>
            </w:r>
            <w:r w:rsidRPr="00260C32">
              <w:rPr>
                <w:rFonts w:ascii="Times New Roman" w:eastAsia="Times New Roman" w:hAnsi="Times New Roman" w:cs="Times New Roman"/>
                <w:color w:val="000000"/>
                <w:kern w:val="0"/>
                <w:lang w:eastAsia="ro-MD"/>
                <w14:ligatures w14:val="none"/>
              </w:rPr>
              <w:t>le grupului consolidat.</w:t>
            </w:r>
          </w:p>
        </w:tc>
        <w:tc>
          <w:tcPr>
            <w:tcW w:w="452" w:type="pct"/>
          </w:tcPr>
          <w:p w14:paraId="5E7FAA9D"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2C28FA32" w14:textId="62C126EB" w:rsidTr="00D448C0">
        <w:trPr>
          <w:tblCellSpacing w:w="0" w:type="dxa"/>
        </w:trPr>
        <w:tc>
          <w:tcPr>
            <w:tcW w:w="260" w:type="pct"/>
            <w:hideMark/>
          </w:tcPr>
          <w:p w14:paraId="27755B4C"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0840</w:t>
            </w:r>
          </w:p>
        </w:tc>
        <w:tc>
          <w:tcPr>
            <w:tcW w:w="4288" w:type="pct"/>
            <w:hideMark/>
          </w:tcPr>
          <w:p w14:paraId="5C3C4434" w14:textId="77777777" w:rsidR="00D448C0" w:rsidRPr="009F37FB" w:rsidRDefault="00D448C0" w:rsidP="00B973D9">
            <w:pPr>
              <w:spacing w:after="0" w:line="240" w:lineRule="auto"/>
              <w:rPr>
                <w:rFonts w:ascii="Times New Roman" w:eastAsia="Times New Roman" w:hAnsi="Times New Roman" w:cs="Times New Roman"/>
                <w:b/>
                <w:bCs/>
                <w:color w:val="000000"/>
                <w:kern w:val="0"/>
                <w:lang w:eastAsia="ro-MD"/>
                <w14:ligatures w14:val="none"/>
              </w:rPr>
            </w:pPr>
            <w:r w:rsidRPr="009F37FB">
              <w:rPr>
                <w:rFonts w:ascii="Times New Roman" w:eastAsia="Times New Roman" w:hAnsi="Times New Roman" w:cs="Times New Roman"/>
                <w:b/>
                <w:bCs/>
                <w:color w:val="000000"/>
                <w:kern w:val="0"/>
                <w:lang w:eastAsia="ro-MD"/>
                <w14:ligatures w14:val="none"/>
              </w:rPr>
              <w:t>1.2.1.4.2. (-) Dețineri indirecte de instrumente de fonduri proprii de nivel 2</w:t>
            </w:r>
          </w:p>
          <w:p w14:paraId="0F1177AE" w14:textId="6D7AACAF"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r w:rsidRPr="006D1122">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 xml:space="preserve">4, punctul </w:t>
            </w:r>
            <w:r w:rsidRPr="006D1122">
              <w:rPr>
                <w:rFonts w:ascii="Times New Roman" w:eastAsia="Times New Roman" w:hAnsi="Times New Roman" w:cs="Times New Roman"/>
                <w:color w:val="000000"/>
                <w:kern w:val="0"/>
                <w:lang w:eastAsia="ro-MD"/>
                <w14:ligatures w14:val="none"/>
              </w:rPr>
              <w:t xml:space="preserve">97 subpunctul 2), punctul 100 subpunctul 1) </w:t>
            </w:r>
            <w:proofErr w:type="spellStart"/>
            <w:r w:rsidRPr="006D1122">
              <w:rPr>
                <w:rFonts w:ascii="Times New Roman" w:eastAsia="Times New Roman" w:hAnsi="Times New Roman" w:cs="Times New Roman"/>
                <w:color w:val="000000"/>
                <w:kern w:val="0"/>
                <w:lang w:eastAsia="ro-MD"/>
                <w14:ligatures w14:val="none"/>
              </w:rPr>
              <w:t>şi</w:t>
            </w:r>
            <w:proofErr w:type="spellEnd"/>
            <w:r w:rsidRPr="006D1122">
              <w:rPr>
                <w:rFonts w:ascii="Times New Roman" w:eastAsia="Times New Roman" w:hAnsi="Times New Roman" w:cs="Times New Roman"/>
                <w:color w:val="000000"/>
                <w:kern w:val="0"/>
                <w:lang w:eastAsia="ro-MD"/>
                <w14:ligatures w14:val="none"/>
              </w:rPr>
              <w:t xml:space="preserve"> punctul 102 din </w:t>
            </w:r>
            <w:r>
              <w:rPr>
                <w:rFonts w:ascii="Times New Roman" w:eastAsia="Times New Roman" w:hAnsi="Times New Roman" w:cs="Times New Roman"/>
                <w:color w:val="000000"/>
                <w:kern w:val="0"/>
                <w:lang w:eastAsia="ro-MD"/>
                <w14:ligatures w14:val="none"/>
              </w:rPr>
              <w:t>Regulamentul nr.109/2018</w:t>
            </w:r>
            <w:r w:rsidRPr="006D1122">
              <w:rPr>
                <w:rFonts w:ascii="Times New Roman" w:eastAsia="Times New Roman" w:hAnsi="Times New Roman" w:cs="Times New Roman"/>
                <w:color w:val="000000"/>
                <w:kern w:val="0"/>
                <w:lang w:eastAsia="ro-MD"/>
                <w14:ligatures w14:val="none"/>
              </w:rPr>
              <w:t>.</w:t>
            </w:r>
          </w:p>
        </w:tc>
        <w:tc>
          <w:tcPr>
            <w:tcW w:w="452" w:type="pct"/>
          </w:tcPr>
          <w:p w14:paraId="26FEF611" w14:textId="77777777" w:rsidR="00D448C0" w:rsidRPr="00260C32" w:rsidRDefault="00D448C0" w:rsidP="00B973D9">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24A85E7D" w14:textId="1E32A4D9" w:rsidTr="00D448C0">
        <w:trPr>
          <w:tblCellSpacing w:w="0" w:type="dxa"/>
        </w:trPr>
        <w:tc>
          <w:tcPr>
            <w:tcW w:w="260" w:type="pct"/>
            <w:hideMark/>
          </w:tcPr>
          <w:p w14:paraId="3B131B8B"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0841</w:t>
            </w:r>
          </w:p>
        </w:tc>
        <w:tc>
          <w:tcPr>
            <w:tcW w:w="4288" w:type="pct"/>
            <w:hideMark/>
          </w:tcPr>
          <w:p w14:paraId="671472FE" w14:textId="77777777" w:rsidR="00D448C0" w:rsidRPr="009F37FB" w:rsidRDefault="00D448C0" w:rsidP="009F37FB">
            <w:pPr>
              <w:spacing w:after="0" w:line="240" w:lineRule="auto"/>
              <w:rPr>
                <w:rFonts w:ascii="Times New Roman" w:eastAsia="Times New Roman" w:hAnsi="Times New Roman" w:cs="Times New Roman"/>
                <w:b/>
                <w:bCs/>
                <w:color w:val="000000"/>
                <w:kern w:val="0"/>
                <w:lang w:eastAsia="ro-MD"/>
                <w14:ligatures w14:val="none"/>
              </w:rPr>
            </w:pPr>
            <w:r w:rsidRPr="009F37FB">
              <w:rPr>
                <w:rFonts w:ascii="Times New Roman" w:eastAsia="Times New Roman" w:hAnsi="Times New Roman" w:cs="Times New Roman"/>
                <w:b/>
                <w:bCs/>
                <w:color w:val="000000"/>
                <w:kern w:val="0"/>
                <w:lang w:eastAsia="ro-MD"/>
                <w14:ligatures w14:val="none"/>
              </w:rPr>
              <w:t>1.2.1.4.3. (-) Dețineri sintetice de instrumente de fonduri proprii de nivel 2</w:t>
            </w:r>
          </w:p>
          <w:p w14:paraId="168C6FC4" w14:textId="0FD029BC"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6D1122">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4, p</w:t>
            </w:r>
            <w:r w:rsidRPr="00055BF1">
              <w:rPr>
                <w:rFonts w:ascii="Times New Roman" w:eastAsia="Times New Roman" w:hAnsi="Times New Roman" w:cs="Times New Roman"/>
                <w:color w:val="000000"/>
                <w:kern w:val="0"/>
                <w:lang w:eastAsia="ro-MD"/>
                <w14:ligatures w14:val="none"/>
              </w:rPr>
              <w:t xml:space="preserve">unctul 97 subpunctul 2), punctul 100 subpunctul 1) </w:t>
            </w:r>
            <w:proofErr w:type="spellStart"/>
            <w:r w:rsidRPr="00055BF1">
              <w:rPr>
                <w:rFonts w:ascii="Times New Roman" w:eastAsia="Times New Roman" w:hAnsi="Times New Roman" w:cs="Times New Roman"/>
                <w:color w:val="000000"/>
                <w:kern w:val="0"/>
                <w:lang w:eastAsia="ro-MD"/>
                <w14:ligatures w14:val="none"/>
              </w:rPr>
              <w:t>şi</w:t>
            </w:r>
            <w:proofErr w:type="spellEnd"/>
            <w:r w:rsidRPr="00055BF1">
              <w:rPr>
                <w:rFonts w:ascii="Times New Roman" w:eastAsia="Times New Roman" w:hAnsi="Times New Roman" w:cs="Times New Roman"/>
                <w:color w:val="000000"/>
                <w:kern w:val="0"/>
                <w:lang w:eastAsia="ro-MD"/>
                <w14:ligatures w14:val="none"/>
              </w:rPr>
              <w:t xml:space="preserve"> punctul 102 din </w:t>
            </w:r>
            <w:r>
              <w:rPr>
                <w:rFonts w:ascii="Times New Roman" w:eastAsia="Times New Roman" w:hAnsi="Times New Roman" w:cs="Times New Roman"/>
                <w:color w:val="000000"/>
                <w:kern w:val="0"/>
                <w:lang w:eastAsia="ro-MD"/>
                <w14:ligatures w14:val="none"/>
              </w:rPr>
              <w:t>Regulamentul nr.109/2018</w:t>
            </w:r>
            <w:r w:rsidRPr="00055BF1">
              <w:rPr>
                <w:rFonts w:ascii="Times New Roman" w:eastAsia="Times New Roman" w:hAnsi="Times New Roman" w:cs="Times New Roman"/>
                <w:color w:val="000000"/>
                <w:kern w:val="0"/>
                <w:lang w:eastAsia="ro-MD"/>
                <w14:ligatures w14:val="none"/>
              </w:rPr>
              <w:t>.</w:t>
            </w:r>
          </w:p>
        </w:tc>
        <w:tc>
          <w:tcPr>
            <w:tcW w:w="452" w:type="pct"/>
          </w:tcPr>
          <w:p w14:paraId="17EAD4ED"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1BD8C813" w14:textId="26F75580" w:rsidTr="00D448C0">
        <w:trPr>
          <w:tblCellSpacing w:w="0" w:type="dxa"/>
        </w:trPr>
        <w:tc>
          <w:tcPr>
            <w:tcW w:w="260" w:type="pct"/>
            <w:hideMark/>
          </w:tcPr>
          <w:p w14:paraId="6A3DA24C"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0842</w:t>
            </w:r>
          </w:p>
        </w:tc>
        <w:tc>
          <w:tcPr>
            <w:tcW w:w="4288" w:type="pct"/>
            <w:hideMark/>
          </w:tcPr>
          <w:p w14:paraId="598822FC" w14:textId="77777777" w:rsidR="00D448C0" w:rsidRPr="009F37FB" w:rsidRDefault="00D448C0" w:rsidP="009F37FB">
            <w:pPr>
              <w:spacing w:after="0" w:line="240" w:lineRule="auto"/>
              <w:rPr>
                <w:rFonts w:ascii="Times New Roman" w:eastAsia="Times New Roman" w:hAnsi="Times New Roman" w:cs="Times New Roman"/>
                <w:b/>
                <w:bCs/>
                <w:color w:val="000000"/>
                <w:kern w:val="0"/>
                <w:lang w:eastAsia="ro-MD"/>
                <w14:ligatures w14:val="none"/>
              </w:rPr>
            </w:pPr>
            <w:r w:rsidRPr="009F37FB">
              <w:rPr>
                <w:rFonts w:ascii="Times New Roman" w:eastAsia="Times New Roman" w:hAnsi="Times New Roman" w:cs="Times New Roman"/>
                <w:b/>
                <w:bCs/>
                <w:color w:val="000000"/>
                <w:kern w:val="0"/>
                <w:lang w:eastAsia="ro-MD"/>
                <w14:ligatures w14:val="none"/>
              </w:rPr>
              <w:t>1.2.1.5. (-) Obligații reale sau contingente de a cumpăra instrumente proprii de fonduri proprii de nivel 2</w:t>
            </w:r>
          </w:p>
          <w:p w14:paraId="07F5FC94" w14:textId="5F32D188" w:rsidR="00D448C0" w:rsidRPr="00055BF1"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055BF1">
              <w:rPr>
                <w:rFonts w:ascii="Times New Roman" w:eastAsia="Times New Roman" w:hAnsi="Times New Roman" w:cs="Times New Roman"/>
                <w:color w:val="000000"/>
                <w:kern w:val="0"/>
                <w:lang w:eastAsia="ro-MD"/>
                <w14:ligatures w14:val="none"/>
              </w:rPr>
              <w:t xml:space="preserve">Punctul 100 subpunctul 1) </w:t>
            </w:r>
            <w:proofErr w:type="spellStart"/>
            <w:r w:rsidRPr="00055BF1">
              <w:rPr>
                <w:rFonts w:ascii="Times New Roman" w:eastAsia="Times New Roman" w:hAnsi="Times New Roman" w:cs="Times New Roman"/>
                <w:color w:val="000000"/>
                <w:kern w:val="0"/>
                <w:lang w:eastAsia="ro-MD"/>
                <w14:ligatures w14:val="none"/>
              </w:rPr>
              <w:t>şi</w:t>
            </w:r>
            <w:proofErr w:type="spellEnd"/>
            <w:r w:rsidRPr="00055BF1">
              <w:rPr>
                <w:rFonts w:ascii="Times New Roman" w:eastAsia="Times New Roman" w:hAnsi="Times New Roman" w:cs="Times New Roman"/>
                <w:color w:val="000000"/>
                <w:kern w:val="0"/>
                <w:lang w:eastAsia="ro-MD"/>
                <w14:ligatures w14:val="none"/>
              </w:rPr>
              <w:t xml:space="preserve"> punctul 102 din </w:t>
            </w:r>
            <w:r>
              <w:rPr>
                <w:rFonts w:ascii="Times New Roman" w:eastAsia="Times New Roman" w:hAnsi="Times New Roman" w:cs="Times New Roman"/>
                <w:color w:val="000000"/>
                <w:kern w:val="0"/>
                <w:lang w:eastAsia="ro-MD"/>
                <w14:ligatures w14:val="none"/>
              </w:rPr>
              <w:t>Regulamentul nr.109/2018</w:t>
            </w:r>
          </w:p>
          <w:p w14:paraId="2F279055" w14:textId="412009D9"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5F2325">
              <w:rPr>
                <w:rFonts w:ascii="Times New Roman" w:eastAsia="Times New Roman" w:hAnsi="Times New Roman" w:cs="Times New Roman"/>
                <w:color w:val="000000"/>
                <w:kern w:val="0"/>
                <w:lang w:eastAsia="ro-MD"/>
                <w14:ligatures w14:val="none"/>
              </w:rPr>
              <w:t xml:space="preserve">În conformitate cu </w:t>
            </w:r>
            <w:r>
              <w:rPr>
                <w:rFonts w:ascii="Times New Roman" w:eastAsia="Times New Roman" w:hAnsi="Times New Roman" w:cs="Times New Roman"/>
                <w:color w:val="000000"/>
                <w:kern w:val="0"/>
                <w:lang w:eastAsia="ro-MD"/>
                <w14:ligatures w14:val="none"/>
              </w:rPr>
              <w:t>p</w:t>
            </w:r>
            <w:r w:rsidRPr="005F2325">
              <w:rPr>
                <w:rFonts w:ascii="Times New Roman" w:eastAsia="Times New Roman" w:hAnsi="Times New Roman" w:cs="Times New Roman"/>
                <w:color w:val="000000"/>
                <w:kern w:val="0"/>
                <w:lang w:eastAsia="ro-MD"/>
                <w14:ligatures w14:val="none"/>
              </w:rPr>
              <w:t>unctul 100 subpunctul 1) din Regulamentul nr.109/2018, „instrumentele proprii de fonduri proprii de nivel 2 pe care o bancă ar putea fi obligată să le achiziționeze ca rezultat al unor obligații contractuale existente” se deduc.</w:t>
            </w:r>
          </w:p>
        </w:tc>
        <w:tc>
          <w:tcPr>
            <w:tcW w:w="452" w:type="pct"/>
          </w:tcPr>
          <w:p w14:paraId="7997DB53"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4C47C89D" w14:textId="51C5F876" w:rsidTr="00D448C0">
        <w:trPr>
          <w:tblCellSpacing w:w="0" w:type="dxa"/>
        </w:trPr>
        <w:tc>
          <w:tcPr>
            <w:tcW w:w="260" w:type="pct"/>
            <w:hideMark/>
          </w:tcPr>
          <w:p w14:paraId="66804768" w14:textId="77777777" w:rsidR="00D448C0" w:rsidRPr="00766E0E"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766E0E">
              <w:rPr>
                <w:rFonts w:ascii="Times New Roman" w:eastAsia="Times New Roman" w:hAnsi="Times New Roman" w:cs="Times New Roman"/>
                <w:color w:val="000000"/>
                <w:kern w:val="0"/>
                <w:lang w:eastAsia="ro-MD"/>
                <w14:ligatures w14:val="none"/>
              </w:rPr>
              <w:t>0880</w:t>
            </w:r>
          </w:p>
        </w:tc>
        <w:tc>
          <w:tcPr>
            <w:tcW w:w="4288" w:type="pct"/>
            <w:hideMark/>
          </w:tcPr>
          <w:p w14:paraId="62405E0F" w14:textId="77777777" w:rsidR="00D448C0" w:rsidRPr="009F37FB" w:rsidRDefault="00D448C0" w:rsidP="009F37FB">
            <w:pPr>
              <w:spacing w:after="0" w:line="240" w:lineRule="auto"/>
              <w:rPr>
                <w:rFonts w:ascii="Times New Roman" w:eastAsia="Times New Roman" w:hAnsi="Times New Roman" w:cs="Times New Roman"/>
                <w:b/>
                <w:bCs/>
                <w:color w:val="000000"/>
                <w:kern w:val="0"/>
                <w:lang w:eastAsia="ro-MD"/>
                <w14:ligatures w14:val="none"/>
              </w:rPr>
            </w:pPr>
            <w:r w:rsidRPr="009F37FB">
              <w:rPr>
                <w:rFonts w:ascii="Times New Roman" w:eastAsia="Times New Roman" w:hAnsi="Times New Roman" w:cs="Times New Roman"/>
                <w:b/>
                <w:bCs/>
                <w:color w:val="000000"/>
                <w:kern w:val="0"/>
                <w:lang w:eastAsia="ro-MD"/>
                <w14:ligatures w14:val="none"/>
              </w:rPr>
              <w:t>1.2.2. Ajustări tranzitorii datorate instrumentelor de fonduri proprii de nivel 2 care își păstrează drepturile obținute</w:t>
            </w:r>
          </w:p>
          <w:p w14:paraId="7D449CFE" w14:textId="79F70F9A" w:rsidR="00D448C0" w:rsidRPr="00766E0E" w:rsidRDefault="00D448C0" w:rsidP="009F37FB">
            <w:pPr>
              <w:spacing w:after="0" w:line="240" w:lineRule="auto"/>
              <w:rPr>
                <w:rFonts w:ascii="Times New Roman" w:eastAsia="Times New Roman" w:hAnsi="Times New Roman" w:cs="Times New Roman"/>
                <w:color w:val="000000"/>
                <w:kern w:val="0"/>
                <w:lang w:eastAsia="ro-MD"/>
                <w14:ligatures w14:val="none"/>
              </w:rPr>
            </w:pPr>
          </w:p>
        </w:tc>
        <w:tc>
          <w:tcPr>
            <w:tcW w:w="452" w:type="pct"/>
          </w:tcPr>
          <w:p w14:paraId="32D9A3B4" w14:textId="5F223561" w:rsidR="00D448C0" w:rsidRPr="005F2325" w:rsidRDefault="00F659A0" w:rsidP="009F37FB">
            <w:pPr>
              <w:spacing w:after="0"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blocat</w:t>
            </w:r>
          </w:p>
        </w:tc>
      </w:tr>
      <w:tr w:rsidR="00D448C0" w:rsidRPr="00260C32" w14:paraId="252AB5DA" w14:textId="626A0C40" w:rsidTr="00D448C0">
        <w:trPr>
          <w:tblCellSpacing w:w="0" w:type="dxa"/>
        </w:trPr>
        <w:tc>
          <w:tcPr>
            <w:tcW w:w="260" w:type="pct"/>
            <w:hideMark/>
          </w:tcPr>
          <w:p w14:paraId="78E8111D"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0890</w:t>
            </w:r>
          </w:p>
        </w:tc>
        <w:tc>
          <w:tcPr>
            <w:tcW w:w="4288" w:type="pct"/>
            <w:hideMark/>
          </w:tcPr>
          <w:p w14:paraId="79E57CD1" w14:textId="77777777" w:rsidR="00D448C0" w:rsidRPr="009F37FB" w:rsidRDefault="00D448C0" w:rsidP="009F37FB">
            <w:pPr>
              <w:spacing w:after="0" w:line="240" w:lineRule="auto"/>
              <w:rPr>
                <w:rFonts w:ascii="Times New Roman" w:eastAsia="Times New Roman" w:hAnsi="Times New Roman" w:cs="Times New Roman"/>
                <w:b/>
                <w:bCs/>
                <w:color w:val="000000"/>
                <w:kern w:val="0"/>
                <w:lang w:eastAsia="ro-MD"/>
                <w14:ligatures w14:val="none"/>
              </w:rPr>
            </w:pPr>
            <w:r w:rsidRPr="009F37FB">
              <w:rPr>
                <w:rFonts w:ascii="Times New Roman" w:eastAsia="Times New Roman" w:hAnsi="Times New Roman" w:cs="Times New Roman"/>
                <w:b/>
                <w:bCs/>
                <w:color w:val="000000"/>
                <w:kern w:val="0"/>
                <w:lang w:eastAsia="ro-MD"/>
                <w14:ligatures w14:val="none"/>
              </w:rPr>
              <w:t>1.2.3. Instrumente emise de filiale care sunt recunoscute în fondurile proprii de nivel 2</w:t>
            </w:r>
          </w:p>
          <w:p w14:paraId="664867DE" w14:textId="77777777" w:rsidR="008F2835"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055BF1">
              <w:rPr>
                <w:rFonts w:ascii="Times New Roman" w:eastAsia="Times New Roman" w:hAnsi="Times New Roman" w:cs="Times New Roman"/>
                <w:color w:val="000000"/>
                <w:kern w:val="0"/>
                <w:lang w:eastAsia="ro-MD"/>
                <w14:ligatures w14:val="none"/>
              </w:rPr>
              <w:t>Punct</w:t>
            </w:r>
            <w:r>
              <w:rPr>
                <w:rFonts w:ascii="Times New Roman" w:eastAsia="Times New Roman" w:hAnsi="Times New Roman" w:cs="Times New Roman"/>
                <w:color w:val="000000"/>
                <w:kern w:val="0"/>
                <w:lang w:eastAsia="ro-MD"/>
                <w14:ligatures w14:val="none"/>
              </w:rPr>
              <w:t>ele</w:t>
            </w:r>
            <w:r w:rsidRPr="00055BF1">
              <w:rPr>
                <w:rFonts w:ascii="Times New Roman" w:eastAsia="Times New Roman" w:hAnsi="Times New Roman" w:cs="Times New Roman"/>
                <w:color w:val="000000"/>
                <w:kern w:val="0"/>
                <w:lang w:eastAsia="ro-MD"/>
                <w14:ligatures w14:val="none"/>
              </w:rPr>
              <w:t xml:space="preserve"> 1</w:t>
            </w:r>
            <w:r>
              <w:rPr>
                <w:rFonts w:ascii="Times New Roman" w:eastAsia="Times New Roman" w:hAnsi="Times New Roman" w:cs="Times New Roman"/>
                <w:color w:val="000000"/>
                <w:kern w:val="0"/>
                <w:lang w:eastAsia="ro-MD"/>
                <w14:ligatures w14:val="none"/>
              </w:rPr>
              <w:t>29</w:t>
            </w:r>
            <w:r w:rsidRPr="00C24410">
              <w:rPr>
                <w:rFonts w:ascii="Times New Roman" w:eastAsia="Times New Roman" w:hAnsi="Times New Roman" w:cs="Times New Roman"/>
                <w:color w:val="000000"/>
                <w:kern w:val="0"/>
                <w:vertAlign w:val="superscript"/>
                <w:lang w:eastAsia="ro-MD"/>
                <w14:ligatures w14:val="none"/>
              </w:rPr>
              <w:t>13</w:t>
            </w:r>
            <w:r>
              <w:rPr>
                <w:rFonts w:ascii="Times New Roman" w:eastAsia="Times New Roman" w:hAnsi="Times New Roman" w:cs="Times New Roman"/>
                <w:color w:val="000000"/>
                <w:kern w:val="0"/>
                <w:lang w:eastAsia="ro-MD"/>
                <w14:ligatures w14:val="none"/>
              </w:rPr>
              <w:t xml:space="preserve"> - 129</w:t>
            </w:r>
            <w:r w:rsidRPr="00C24410">
              <w:rPr>
                <w:rFonts w:ascii="Times New Roman" w:eastAsia="Times New Roman" w:hAnsi="Times New Roman" w:cs="Times New Roman"/>
                <w:color w:val="000000"/>
                <w:kern w:val="0"/>
                <w:vertAlign w:val="superscript"/>
                <w:lang w:eastAsia="ro-MD"/>
                <w14:ligatures w14:val="none"/>
              </w:rPr>
              <w:t>1</w:t>
            </w:r>
            <w:r>
              <w:rPr>
                <w:rFonts w:ascii="Times New Roman" w:eastAsia="Times New Roman" w:hAnsi="Times New Roman" w:cs="Times New Roman"/>
                <w:color w:val="000000"/>
                <w:kern w:val="0"/>
                <w:vertAlign w:val="superscript"/>
                <w:lang w:eastAsia="ro-MD"/>
                <w14:ligatures w14:val="none"/>
              </w:rPr>
              <w:t>5</w:t>
            </w:r>
            <w:r w:rsidRPr="00055BF1">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p w14:paraId="1675181C" w14:textId="3A3D27F6"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5F2325">
              <w:rPr>
                <w:rFonts w:ascii="Times New Roman" w:eastAsia="Times New Roman" w:hAnsi="Times New Roman" w:cs="Times New Roman"/>
                <w:color w:val="000000"/>
                <w:kern w:val="0"/>
                <w:lang w:eastAsia="ro-MD"/>
                <w14:ligatures w14:val="none"/>
              </w:rPr>
              <w:t>Suma tuturor cuantumurilor fondurilor proprii eligibile ale filialelor care este inclusă în fondurile proprii de nivel 2 consolidate.</w:t>
            </w:r>
          </w:p>
        </w:tc>
        <w:tc>
          <w:tcPr>
            <w:tcW w:w="452" w:type="pct"/>
          </w:tcPr>
          <w:p w14:paraId="1964E79E"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37731A56" w14:textId="4F164F3F" w:rsidTr="00D448C0">
        <w:trPr>
          <w:tblCellSpacing w:w="0" w:type="dxa"/>
        </w:trPr>
        <w:tc>
          <w:tcPr>
            <w:tcW w:w="260" w:type="pct"/>
            <w:hideMark/>
          </w:tcPr>
          <w:p w14:paraId="728F3134"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0900</w:t>
            </w:r>
          </w:p>
        </w:tc>
        <w:tc>
          <w:tcPr>
            <w:tcW w:w="4288" w:type="pct"/>
            <w:hideMark/>
          </w:tcPr>
          <w:p w14:paraId="123C897C" w14:textId="113B917B" w:rsidR="00D448C0" w:rsidRPr="009F37FB" w:rsidRDefault="00D448C0" w:rsidP="009F37FB">
            <w:pPr>
              <w:spacing w:after="0" w:line="240" w:lineRule="auto"/>
              <w:rPr>
                <w:rFonts w:ascii="Times New Roman" w:eastAsia="Times New Roman" w:hAnsi="Times New Roman" w:cs="Times New Roman"/>
                <w:b/>
                <w:bCs/>
                <w:color w:val="000000"/>
                <w:kern w:val="0"/>
                <w:lang w:eastAsia="ro-MD"/>
                <w14:ligatures w14:val="none"/>
              </w:rPr>
            </w:pPr>
            <w:r w:rsidRPr="009F37FB">
              <w:rPr>
                <w:rFonts w:ascii="Times New Roman" w:eastAsia="Times New Roman" w:hAnsi="Times New Roman" w:cs="Times New Roman"/>
                <w:b/>
                <w:bCs/>
                <w:color w:val="000000"/>
                <w:kern w:val="0"/>
                <w:lang w:eastAsia="ro-MD"/>
                <w14:ligatures w14:val="none"/>
              </w:rPr>
              <w:t>1.2.4. Ajustările tranzitorii datorate recunoașterii suplimentare în fondurile proprii de nivel 2 a instrumentelor emise de filiale</w:t>
            </w:r>
          </w:p>
        </w:tc>
        <w:tc>
          <w:tcPr>
            <w:tcW w:w="452" w:type="pct"/>
          </w:tcPr>
          <w:p w14:paraId="25EAFC3B" w14:textId="44C6F728" w:rsidR="00D448C0" w:rsidRPr="00260C32" w:rsidRDefault="00F659A0" w:rsidP="009F37FB">
            <w:pPr>
              <w:spacing w:after="0"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blocat</w:t>
            </w:r>
          </w:p>
        </w:tc>
      </w:tr>
      <w:tr w:rsidR="00D448C0" w:rsidRPr="00260C32" w14:paraId="44309336" w14:textId="42DB1CD4" w:rsidTr="00D448C0">
        <w:trPr>
          <w:tblCellSpacing w:w="0" w:type="dxa"/>
        </w:trPr>
        <w:tc>
          <w:tcPr>
            <w:tcW w:w="260" w:type="pct"/>
            <w:hideMark/>
          </w:tcPr>
          <w:p w14:paraId="55C6293C"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0910</w:t>
            </w:r>
          </w:p>
        </w:tc>
        <w:tc>
          <w:tcPr>
            <w:tcW w:w="4288" w:type="pct"/>
            <w:hideMark/>
          </w:tcPr>
          <w:p w14:paraId="2E28D464" w14:textId="5BD2A3C8" w:rsidR="00D448C0" w:rsidRPr="009F37FB" w:rsidRDefault="00D448C0" w:rsidP="009F37FB">
            <w:pPr>
              <w:spacing w:after="0" w:line="240" w:lineRule="auto"/>
              <w:rPr>
                <w:rFonts w:ascii="Times New Roman" w:eastAsia="Times New Roman" w:hAnsi="Times New Roman" w:cs="Times New Roman"/>
                <w:b/>
                <w:bCs/>
                <w:color w:val="000000"/>
                <w:kern w:val="0"/>
                <w:lang w:eastAsia="ro-MD"/>
                <w14:ligatures w14:val="none"/>
              </w:rPr>
            </w:pPr>
            <w:r w:rsidRPr="009F37FB">
              <w:rPr>
                <w:rFonts w:ascii="Times New Roman" w:eastAsia="Times New Roman" w:hAnsi="Times New Roman" w:cs="Times New Roman"/>
                <w:b/>
                <w:bCs/>
                <w:color w:val="000000"/>
                <w:kern w:val="0"/>
                <w:lang w:eastAsia="ro-MD"/>
                <w14:ligatures w14:val="none"/>
              </w:rPr>
              <w:t>1.2.5. Valoarea provizioanelor, conform abordării IRB, care depășește pierderile eligibile așteptate</w:t>
            </w:r>
          </w:p>
          <w:p w14:paraId="67663368" w14:textId="040CA57B" w:rsidR="00D448C0" w:rsidRPr="00055BF1"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055BF1">
              <w:rPr>
                <w:rFonts w:ascii="Times New Roman" w:eastAsia="Times New Roman" w:hAnsi="Times New Roman" w:cs="Times New Roman"/>
                <w:color w:val="000000"/>
                <w:kern w:val="0"/>
                <w:lang w:eastAsia="ro-MD"/>
                <w14:ligatures w14:val="none"/>
              </w:rPr>
              <w:t>Punctul 9</w:t>
            </w:r>
            <w:r>
              <w:rPr>
                <w:rFonts w:ascii="Times New Roman" w:eastAsia="Times New Roman" w:hAnsi="Times New Roman" w:cs="Times New Roman"/>
                <w:color w:val="000000"/>
                <w:kern w:val="0"/>
                <w:lang w:eastAsia="ro-MD"/>
                <w14:ligatures w14:val="none"/>
              </w:rPr>
              <w:t>6</w:t>
            </w:r>
            <w:r w:rsidRPr="00055BF1">
              <w:rPr>
                <w:rFonts w:ascii="Times New Roman" w:eastAsia="Times New Roman" w:hAnsi="Times New Roman" w:cs="Times New Roman"/>
                <w:color w:val="000000"/>
                <w:kern w:val="0"/>
                <w:lang w:eastAsia="ro-MD"/>
                <w14:ligatures w14:val="none"/>
              </w:rPr>
              <w:t xml:space="preserve"> subpunctul </w:t>
            </w:r>
            <w:r>
              <w:rPr>
                <w:rFonts w:ascii="Times New Roman" w:eastAsia="Times New Roman" w:hAnsi="Times New Roman" w:cs="Times New Roman"/>
                <w:color w:val="000000"/>
                <w:kern w:val="0"/>
                <w:lang w:eastAsia="ro-MD"/>
                <w14:ligatures w14:val="none"/>
              </w:rPr>
              <w:t>4</w:t>
            </w:r>
            <w:r w:rsidRPr="00055BF1">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p w14:paraId="20E31F32" w14:textId="36438163"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B0B6D">
              <w:rPr>
                <w:rFonts w:ascii="Times New Roman" w:eastAsia="Times New Roman" w:hAnsi="Times New Roman" w:cs="Times New Roman"/>
                <w:color w:val="000000"/>
                <w:kern w:val="0"/>
                <w:lang w:eastAsia="ro-MD"/>
                <w14:ligatures w14:val="none"/>
              </w:rPr>
              <w:t>Pentru băncile care calculează cuantumurile ponderate la risc ale expunerilor în conformitate cu abordarea IRB, acest element trebuie să cuprindă cuantumurile pozitive care rezultă din compararea provizioanelor și a pierderilor așteptate care sunt eligibile drept fonduri proprii de nivel 2.</w:t>
            </w:r>
          </w:p>
        </w:tc>
        <w:tc>
          <w:tcPr>
            <w:tcW w:w="452" w:type="pct"/>
          </w:tcPr>
          <w:p w14:paraId="6AEDD019"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625302A9" w14:textId="40553C2E" w:rsidTr="00D448C0">
        <w:trPr>
          <w:tblCellSpacing w:w="0" w:type="dxa"/>
        </w:trPr>
        <w:tc>
          <w:tcPr>
            <w:tcW w:w="260" w:type="pct"/>
            <w:hideMark/>
          </w:tcPr>
          <w:p w14:paraId="168C547D"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0920</w:t>
            </w:r>
          </w:p>
        </w:tc>
        <w:tc>
          <w:tcPr>
            <w:tcW w:w="4288" w:type="pct"/>
            <w:hideMark/>
          </w:tcPr>
          <w:p w14:paraId="2091F908" w14:textId="77777777" w:rsidR="00D448C0" w:rsidRPr="009F37FB" w:rsidRDefault="00D448C0" w:rsidP="009F37FB">
            <w:pPr>
              <w:spacing w:after="0" w:line="240" w:lineRule="auto"/>
              <w:rPr>
                <w:rFonts w:ascii="Times New Roman" w:eastAsia="Times New Roman" w:hAnsi="Times New Roman" w:cs="Times New Roman"/>
                <w:b/>
                <w:bCs/>
                <w:color w:val="000000"/>
                <w:kern w:val="0"/>
                <w:lang w:eastAsia="ro-MD"/>
                <w14:ligatures w14:val="none"/>
              </w:rPr>
            </w:pPr>
            <w:r w:rsidRPr="009F37FB">
              <w:rPr>
                <w:rFonts w:ascii="Times New Roman" w:eastAsia="Times New Roman" w:hAnsi="Times New Roman" w:cs="Times New Roman"/>
                <w:b/>
                <w:bCs/>
                <w:color w:val="000000"/>
                <w:kern w:val="0"/>
                <w:lang w:eastAsia="ro-MD"/>
                <w14:ligatures w14:val="none"/>
              </w:rPr>
              <w:t>1.2.6. Ajustările generale pentru riscul de credit prevăzute de abordarea standard</w:t>
            </w:r>
          </w:p>
          <w:p w14:paraId="5AB4A90B" w14:textId="0684CDD3" w:rsidR="00D448C0" w:rsidRPr="00055BF1"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055BF1">
              <w:rPr>
                <w:rFonts w:ascii="Times New Roman" w:eastAsia="Times New Roman" w:hAnsi="Times New Roman" w:cs="Times New Roman"/>
                <w:color w:val="000000"/>
                <w:kern w:val="0"/>
                <w:lang w:eastAsia="ro-MD"/>
                <w14:ligatures w14:val="none"/>
              </w:rPr>
              <w:t>Punctul 9</w:t>
            </w:r>
            <w:r>
              <w:rPr>
                <w:rFonts w:ascii="Times New Roman" w:eastAsia="Times New Roman" w:hAnsi="Times New Roman" w:cs="Times New Roman"/>
                <w:color w:val="000000"/>
                <w:kern w:val="0"/>
                <w:lang w:eastAsia="ro-MD"/>
                <w14:ligatures w14:val="none"/>
              </w:rPr>
              <w:t>6</w:t>
            </w:r>
            <w:r w:rsidRPr="00055BF1">
              <w:rPr>
                <w:rFonts w:ascii="Times New Roman" w:eastAsia="Times New Roman" w:hAnsi="Times New Roman" w:cs="Times New Roman"/>
                <w:color w:val="000000"/>
                <w:kern w:val="0"/>
                <w:lang w:eastAsia="ro-MD"/>
                <w14:ligatures w14:val="none"/>
              </w:rPr>
              <w:t xml:space="preserve"> subpunctul </w:t>
            </w:r>
            <w:r>
              <w:rPr>
                <w:rFonts w:ascii="Times New Roman" w:eastAsia="Times New Roman" w:hAnsi="Times New Roman" w:cs="Times New Roman"/>
                <w:color w:val="000000"/>
                <w:kern w:val="0"/>
                <w:lang w:eastAsia="ro-MD"/>
                <w14:ligatures w14:val="none"/>
              </w:rPr>
              <w:t>3</w:t>
            </w:r>
            <w:r w:rsidRPr="00055BF1">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p w14:paraId="21A8C324" w14:textId="2FCE686D"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Pentru </w:t>
            </w:r>
            <w:r>
              <w:rPr>
                <w:rFonts w:ascii="Times New Roman" w:eastAsia="Times New Roman" w:hAnsi="Times New Roman" w:cs="Times New Roman"/>
                <w:color w:val="000000"/>
                <w:kern w:val="0"/>
                <w:lang w:eastAsia="ro-MD"/>
                <w14:ligatures w14:val="none"/>
              </w:rPr>
              <w:t>bănci</w:t>
            </w:r>
            <w:r w:rsidRPr="00260C32">
              <w:rPr>
                <w:rFonts w:ascii="Times New Roman" w:eastAsia="Times New Roman" w:hAnsi="Times New Roman" w:cs="Times New Roman"/>
                <w:color w:val="000000"/>
                <w:kern w:val="0"/>
                <w:lang w:eastAsia="ro-MD"/>
                <w14:ligatures w14:val="none"/>
              </w:rPr>
              <w:t>le care calculează cuantumurile ponderate la risc ale expunerilor în conformitate cu abordarea standard, acest element trebuie să cuprindă ajustările generale pentru riscul de credit eligibile drept fonduri proprii de nivel 2.</w:t>
            </w:r>
          </w:p>
        </w:tc>
        <w:tc>
          <w:tcPr>
            <w:tcW w:w="452" w:type="pct"/>
          </w:tcPr>
          <w:p w14:paraId="20F2762C"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5F06F43D" w14:textId="10AC3813" w:rsidTr="00D448C0">
        <w:trPr>
          <w:tblCellSpacing w:w="0" w:type="dxa"/>
        </w:trPr>
        <w:tc>
          <w:tcPr>
            <w:tcW w:w="260" w:type="pct"/>
            <w:hideMark/>
          </w:tcPr>
          <w:p w14:paraId="2599EB48"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0930</w:t>
            </w:r>
          </w:p>
        </w:tc>
        <w:tc>
          <w:tcPr>
            <w:tcW w:w="4288" w:type="pct"/>
            <w:hideMark/>
          </w:tcPr>
          <w:p w14:paraId="1CE3F37D" w14:textId="77777777" w:rsidR="00D448C0" w:rsidRPr="009F37FB" w:rsidRDefault="00D448C0" w:rsidP="009F37FB">
            <w:pPr>
              <w:spacing w:after="0" w:line="240" w:lineRule="auto"/>
              <w:rPr>
                <w:rFonts w:ascii="Times New Roman" w:eastAsia="Times New Roman" w:hAnsi="Times New Roman" w:cs="Times New Roman"/>
                <w:b/>
                <w:bCs/>
                <w:color w:val="000000"/>
                <w:kern w:val="0"/>
                <w:lang w:eastAsia="ro-MD"/>
                <w14:ligatures w14:val="none"/>
              </w:rPr>
            </w:pPr>
            <w:r w:rsidRPr="009F37FB">
              <w:rPr>
                <w:rFonts w:ascii="Times New Roman" w:eastAsia="Times New Roman" w:hAnsi="Times New Roman" w:cs="Times New Roman"/>
                <w:b/>
                <w:bCs/>
                <w:color w:val="000000"/>
                <w:kern w:val="0"/>
                <w:lang w:eastAsia="ro-MD"/>
                <w14:ligatures w14:val="none"/>
              </w:rPr>
              <w:t>1.2.7. (-) Dețineri reciproce de fonduri proprii de nivel 2</w:t>
            </w:r>
          </w:p>
          <w:p w14:paraId="63829E49" w14:textId="698A581A" w:rsidR="00D448C0" w:rsidRPr="00055BF1"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055BF1">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4, punctul 100</w:t>
            </w:r>
            <w:r w:rsidRPr="00055BF1">
              <w:rPr>
                <w:rFonts w:ascii="Times New Roman" w:eastAsia="Times New Roman" w:hAnsi="Times New Roman" w:cs="Times New Roman"/>
                <w:color w:val="000000"/>
                <w:kern w:val="0"/>
                <w:lang w:eastAsia="ro-MD"/>
                <w14:ligatures w14:val="none"/>
              </w:rPr>
              <w:t xml:space="preserve"> subpunctul </w:t>
            </w:r>
            <w:r>
              <w:rPr>
                <w:rFonts w:ascii="Times New Roman" w:eastAsia="Times New Roman" w:hAnsi="Times New Roman" w:cs="Times New Roman"/>
                <w:color w:val="000000"/>
                <w:kern w:val="0"/>
                <w:lang w:eastAsia="ro-MD"/>
                <w14:ligatures w14:val="none"/>
              </w:rPr>
              <w:t>2</w:t>
            </w:r>
            <w:r w:rsidRPr="00055BF1">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 xml:space="preserve">și punctul 103 </w:t>
            </w:r>
            <w:r w:rsidRPr="00055BF1">
              <w:rPr>
                <w:rFonts w:ascii="Times New Roman" w:eastAsia="Times New Roman" w:hAnsi="Times New Roman" w:cs="Times New Roman"/>
                <w:color w:val="000000"/>
                <w:kern w:val="0"/>
                <w:lang w:eastAsia="ro-MD"/>
                <w14:ligatures w14:val="none"/>
              </w:rPr>
              <w:t xml:space="preserve">din </w:t>
            </w:r>
            <w:r>
              <w:rPr>
                <w:rFonts w:ascii="Times New Roman" w:eastAsia="Times New Roman" w:hAnsi="Times New Roman" w:cs="Times New Roman"/>
                <w:color w:val="000000"/>
                <w:kern w:val="0"/>
                <w:lang w:eastAsia="ro-MD"/>
                <w14:ligatures w14:val="none"/>
              </w:rPr>
              <w:t>Regulamentul nr.109/2018</w:t>
            </w:r>
            <w:r w:rsidRPr="00055BF1">
              <w:rPr>
                <w:rFonts w:ascii="Times New Roman" w:eastAsia="Times New Roman" w:hAnsi="Times New Roman" w:cs="Times New Roman"/>
                <w:color w:val="000000"/>
                <w:kern w:val="0"/>
                <w:lang w:eastAsia="ro-MD"/>
                <w14:ligatures w14:val="none"/>
              </w:rPr>
              <w:t>.</w:t>
            </w:r>
          </w:p>
          <w:p w14:paraId="67628AB8" w14:textId="31FE5223"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Deținerile în fonduri proprii de nivel 2 ale entităților din sectorul financiar în cazul în care există dețineri reciproce care, în opinia </w:t>
            </w:r>
            <w:r>
              <w:rPr>
                <w:rFonts w:ascii="Times New Roman" w:eastAsia="Times New Roman" w:hAnsi="Times New Roman" w:cs="Times New Roman"/>
                <w:color w:val="000000"/>
                <w:kern w:val="0"/>
                <w:lang w:eastAsia="ro-MD"/>
                <w14:ligatures w14:val="none"/>
              </w:rPr>
              <w:t>Băncii Naționale a Moldovei</w:t>
            </w:r>
            <w:r w:rsidRPr="00260C32">
              <w:rPr>
                <w:rFonts w:ascii="Times New Roman" w:eastAsia="Times New Roman" w:hAnsi="Times New Roman" w:cs="Times New Roman"/>
                <w:color w:val="000000"/>
                <w:kern w:val="0"/>
                <w:lang w:eastAsia="ro-MD"/>
                <w14:ligatures w14:val="none"/>
              </w:rPr>
              <w:t xml:space="preserve">, au fost concepute pentru a crește în mod artificial fondurile proprii ale </w:t>
            </w:r>
            <w:proofErr w:type="spellStart"/>
            <w:r>
              <w:rPr>
                <w:rFonts w:ascii="Times New Roman" w:eastAsia="Times New Roman" w:hAnsi="Times New Roman" w:cs="Times New Roman"/>
                <w:color w:val="000000"/>
                <w:kern w:val="0"/>
                <w:lang w:eastAsia="ro-MD"/>
                <w14:ligatures w14:val="none"/>
              </w:rPr>
              <w:t>banci</w:t>
            </w:r>
            <w:r w:rsidRPr="00260C32">
              <w:rPr>
                <w:rFonts w:ascii="Times New Roman" w:eastAsia="Times New Roman" w:hAnsi="Times New Roman" w:cs="Times New Roman"/>
                <w:color w:val="000000"/>
                <w:kern w:val="0"/>
                <w:lang w:eastAsia="ro-MD"/>
                <w14:ligatures w14:val="none"/>
              </w:rPr>
              <w:t>i</w:t>
            </w:r>
            <w:proofErr w:type="spellEnd"/>
            <w:r w:rsidRPr="00260C32">
              <w:rPr>
                <w:rFonts w:ascii="Times New Roman" w:eastAsia="Times New Roman" w:hAnsi="Times New Roman" w:cs="Times New Roman"/>
                <w:color w:val="000000"/>
                <w:kern w:val="0"/>
                <w:lang w:eastAsia="ro-MD"/>
                <w14:ligatures w14:val="none"/>
              </w:rPr>
              <w:t>.</w:t>
            </w:r>
          </w:p>
          <w:p w14:paraId="4A70A8C2" w14:textId="25E8641F"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Cuantumul care trebuie raportat se calculează pe baza pozițiilor brute lungi și include elementele de fonduri proprii de nivel 2 și 3 specifice </w:t>
            </w:r>
            <w:r>
              <w:rPr>
                <w:rFonts w:ascii="Times New Roman" w:eastAsia="Times New Roman" w:hAnsi="Times New Roman" w:cs="Times New Roman"/>
                <w:color w:val="000000"/>
                <w:kern w:val="0"/>
                <w:lang w:eastAsia="ro-MD"/>
                <w14:ligatures w14:val="none"/>
              </w:rPr>
              <w:t>societăților</w:t>
            </w:r>
            <w:r w:rsidRPr="00260C32">
              <w:rPr>
                <w:rFonts w:ascii="Times New Roman" w:eastAsia="Times New Roman" w:hAnsi="Times New Roman" w:cs="Times New Roman"/>
                <w:color w:val="000000"/>
                <w:kern w:val="0"/>
                <w:lang w:eastAsia="ro-MD"/>
                <w14:ligatures w14:val="none"/>
              </w:rPr>
              <w:t xml:space="preserve"> de asigurare.</w:t>
            </w:r>
          </w:p>
        </w:tc>
        <w:tc>
          <w:tcPr>
            <w:tcW w:w="452" w:type="pct"/>
          </w:tcPr>
          <w:p w14:paraId="39EFEC52"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49DF5D16" w14:textId="4449E134" w:rsidTr="00D448C0">
        <w:trPr>
          <w:tblCellSpacing w:w="0" w:type="dxa"/>
        </w:trPr>
        <w:tc>
          <w:tcPr>
            <w:tcW w:w="260" w:type="pct"/>
            <w:hideMark/>
          </w:tcPr>
          <w:p w14:paraId="28D4B93B"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0940</w:t>
            </w:r>
          </w:p>
        </w:tc>
        <w:tc>
          <w:tcPr>
            <w:tcW w:w="4288" w:type="pct"/>
            <w:hideMark/>
          </w:tcPr>
          <w:p w14:paraId="03D2C396" w14:textId="4E34201E" w:rsidR="00D448C0" w:rsidRPr="009F37FB" w:rsidRDefault="00D448C0" w:rsidP="009F37FB">
            <w:pPr>
              <w:spacing w:after="0" w:line="240" w:lineRule="auto"/>
              <w:rPr>
                <w:rFonts w:ascii="Times New Roman" w:eastAsia="Times New Roman" w:hAnsi="Times New Roman" w:cs="Times New Roman"/>
                <w:b/>
                <w:bCs/>
                <w:color w:val="000000"/>
                <w:kern w:val="0"/>
                <w:lang w:eastAsia="ro-MD"/>
                <w14:ligatures w14:val="none"/>
              </w:rPr>
            </w:pPr>
            <w:r w:rsidRPr="009F37FB">
              <w:rPr>
                <w:rFonts w:ascii="Times New Roman" w:eastAsia="Times New Roman" w:hAnsi="Times New Roman" w:cs="Times New Roman"/>
                <w:b/>
                <w:bCs/>
                <w:color w:val="000000"/>
                <w:kern w:val="0"/>
                <w:lang w:eastAsia="ro-MD"/>
                <w14:ligatures w14:val="none"/>
              </w:rPr>
              <w:t>1.2.8. (-) Instrumente de fonduri proprii de nivel 2 ale entităților din sectorul financiar în care banca nu deține o investiție semnificativă</w:t>
            </w:r>
          </w:p>
          <w:p w14:paraId="0842F779" w14:textId="6C66C712" w:rsidR="00D448C0" w:rsidRPr="00055BF1"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055BF1">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100</w:t>
            </w:r>
            <w:r w:rsidRPr="00055BF1">
              <w:rPr>
                <w:rFonts w:ascii="Times New Roman" w:eastAsia="Times New Roman" w:hAnsi="Times New Roman" w:cs="Times New Roman"/>
                <w:color w:val="000000"/>
                <w:kern w:val="0"/>
                <w:lang w:eastAsia="ro-MD"/>
                <w14:ligatures w14:val="none"/>
              </w:rPr>
              <w:t xml:space="preserve"> subpunctul </w:t>
            </w:r>
            <w:r>
              <w:rPr>
                <w:rFonts w:ascii="Times New Roman" w:eastAsia="Times New Roman" w:hAnsi="Times New Roman" w:cs="Times New Roman"/>
                <w:color w:val="000000"/>
                <w:kern w:val="0"/>
                <w:lang w:eastAsia="ro-MD"/>
                <w14:ligatures w14:val="none"/>
              </w:rPr>
              <w:t>3</w:t>
            </w:r>
            <w:r w:rsidRPr="00055BF1">
              <w:rPr>
                <w:rFonts w:ascii="Times New Roman" w:eastAsia="Times New Roman" w:hAnsi="Times New Roman" w:cs="Times New Roman"/>
                <w:color w:val="000000"/>
                <w:kern w:val="0"/>
                <w:lang w:eastAsia="ro-MD"/>
                <w14:ligatures w14:val="none"/>
              </w:rPr>
              <w:t>)</w:t>
            </w:r>
            <w:r>
              <w:rPr>
                <w:rFonts w:ascii="Times New Roman" w:eastAsia="Times New Roman" w:hAnsi="Times New Roman" w:cs="Times New Roman"/>
                <w:color w:val="000000"/>
                <w:kern w:val="0"/>
                <w:lang w:eastAsia="ro-MD"/>
                <w14:ligatures w14:val="none"/>
              </w:rPr>
              <w:t>, punctele 103-109</w:t>
            </w:r>
            <w:r w:rsidRPr="00055BF1">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 xml:space="preserve">și punctul 126 </w:t>
            </w:r>
            <w:r w:rsidRPr="00055BF1">
              <w:rPr>
                <w:rFonts w:ascii="Times New Roman" w:eastAsia="Times New Roman" w:hAnsi="Times New Roman" w:cs="Times New Roman"/>
                <w:color w:val="000000"/>
                <w:kern w:val="0"/>
                <w:lang w:eastAsia="ro-MD"/>
                <w14:ligatures w14:val="none"/>
              </w:rPr>
              <w:t xml:space="preserve">din </w:t>
            </w:r>
            <w:r>
              <w:rPr>
                <w:rFonts w:ascii="Times New Roman" w:eastAsia="Times New Roman" w:hAnsi="Times New Roman" w:cs="Times New Roman"/>
                <w:color w:val="000000"/>
                <w:kern w:val="0"/>
                <w:lang w:eastAsia="ro-MD"/>
                <w14:ligatures w14:val="none"/>
              </w:rPr>
              <w:t>Regulamentul nr.109/2018</w:t>
            </w:r>
            <w:r w:rsidRPr="00055BF1">
              <w:rPr>
                <w:rFonts w:ascii="Times New Roman" w:eastAsia="Times New Roman" w:hAnsi="Times New Roman" w:cs="Times New Roman"/>
                <w:color w:val="000000"/>
                <w:kern w:val="0"/>
                <w:lang w:eastAsia="ro-MD"/>
                <w14:ligatures w14:val="none"/>
              </w:rPr>
              <w:t>.</w:t>
            </w:r>
          </w:p>
          <w:p w14:paraId="454D8475" w14:textId="5BC809BE"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lastRenderedPageBreak/>
              <w:t xml:space="preserve">Acea parte a deținerilor, de către </w:t>
            </w:r>
            <w:r>
              <w:rPr>
                <w:rFonts w:ascii="Times New Roman" w:eastAsia="Times New Roman" w:hAnsi="Times New Roman" w:cs="Times New Roman"/>
                <w:color w:val="000000"/>
                <w:kern w:val="0"/>
                <w:lang w:eastAsia="ro-MD"/>
                <w14:ligatures w14:val="none"/>
              </w:rPr>
              <w:t>bancă</w:t>
            </w:r>
            <w:r w:rsidRPr="00260C32">
              <w:rPr>
                <w:rFonts w:ascii="Times New Roman" w:eastAsia="Times New Roman" w:hAnsi="Times New Roman" w:cs="Times New Roman"/>
                <w:color w:val="000000"/>
                <w:kern w:val="0"/>
                <w:lang w:eastAsia="ro-MD"/>
                <w14:ligatures w14:val="none"/>
              </w:rPr>
              <w:t xml:space="preserve">, ale unor instrumente ale entităților din sectorul </w:t>
            </w:r>
            <w:r w:rsidRPr="002B0B6D">
              <w:rPr>
                <w:rFonts w:ascii="Times New Roman" w:eastAsia="Times New Roman" w:hAnsi="Times New Roman" w:cs="Times New Roman"/>
                <w:color w:val="000000"/>
                <w:kern w:val="0"/>
                <w:lang w:eastAsia="ro-MD"/>
                <w14:ligatures w14:val="none"/>
              </w:rPr>
              <w:t xml:space="preserve">financiar </w:t>
            </w:r>
            <w:r w:rsidRPr="00260C32">
              <w:rPr>
                <w:rFonts w:ascii="Times New Roman" w:eastAsia="Times New Roman" w:hAnsi="Times New Roman" w:cs="Times New Roman"/>
                <w:color w:val="000000"/>
                <w:kern w:val="0"/>
                <w:lang w:eastAsia="ro-MD"/>
                <w14:ligatures w14:val="none"/>
              </w:rPr>
              <w:t xml:space="preserve">în care </w:t>
            </w:r>
            <w:r>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 care trebuie dedusă din fondurile proprii de nivel 2.</w:t>
            </w:r>
          </w:p>
        </w:tc>
        <w:tc>
          <w:tcPr>
            <w:tcW w:w="452" w:type="pct"/>
          </w:tcPr>
          <w:p w14:paraId="61515271"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404B0A0E" w14:textId="07D4AEFE" w:rsidTr="00D448C0">
        <w:trPr>
          <w:tblCellSpacing w:w="0" w:type="dxa"/>
        </w:trPr>
        <w:tc>
          <w:tcPr>
            <w:tcW w:w="260" w:type="pct"/>
            <w:hideMark/>
          </w:tcPr>
          <w:p w14:paraId="1902F401"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0950</w:t>
            </w:r>
          </w:p>
        </w:tc>
        <w:tc>
          <w:tcPr>
            <w:tcW w:w="4288" w:type="pct"/>
            <w:hideMark/>
          </w:tcPr>
          <w:p w14:paraId="21578A21" w14:textId="4B9F867A" w:rsidR="00D448C0" w:rsidRPr="009F37FB" w:rsidRDefault="00D448C0" w:rsidP="009F37FB">
            <w:pPr>
              <w:spacing w:after="0" w:line="240" w:lineRule="auto"/>
              <w:rPr>
                <w:rFonts w:ascii="Times New Roman" w:eastAsia="Times New Roman" w:hAnsi="Times New Roman" w:cs="Times New Roman"/>
                <w:b/>
                <w:bCs/>
                <w:color w:val="000000"/>
                <w:kern w:val="0"/>
                <w:lang w:eastAsia="ro-MD"/>
                <w14:ligatures w14:val="none"/>
              </w:rPr>
            </w:pPr>
            <w:r w:rsidRPr="009F37FB">
              <w:rPr>
                <w:rFonts w:ascii="Times New Roman" w:eastAsia="Times New Roman" w:hAnsi="Times New Roman" w:cs="Times New Roman"/>
                <w:b/>
                <w:bCs/>
                <w:color w:val="000000"/>
                <w:kern w:val="0"/>
                <w:lang w:eastAsia="ro-MD"/>
                <w14:ligatures w14:val="none"/>
              </w:rPr>
              <w:t>1.2.9. (-) Instrumente de fonduri proprii de nivel 2 ale entităților din sectorul financiar în care banca deține o investiție semnificativă</w:t>
            </w:r>
          </w:p>
          <w:p w14:paraId="4F3D88E6" w14:textId="0C3DDA73" w:rsidR="00D448C0" w:rsidRPr="00055BF1"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055BF1">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100</w:t>
            </w:r>
            <w:r w:rsidRPr="00055BF1">
              <w:rPr>
                <w:rFonts w:ascii="Times New Roman" w:eastAsia="Times New Roman" w:hAnsi="Times New Roman" w:cs="Times New Roman"/>
                <w:color w:val="000000"/>
                <w:kern w:val="0"/>
                <w:lang w:eastAsia="ro-MD"/>
                <w14:ligatures w14:val="none"/>
              </w:rPr>
              <w:t xml:space="preserve"> subpunctul </w:t>
            </w:r>
            <w:r>
              <w:rPr>
                <w:rFonts w:ascii="Times New Roman" w:eastAsia="Times New Roman" w:hAnsi="Times New Roman" w:cs="Times New Roman"/>
                <w:color w:val="000000"/>
                <w:kern w:val="0"/>
                <w:lang w:eastAsia="ro-MD"/>
                <w14:ligatures w14:val="none"/>
              </w:rPr>
              <w:t>4</w:t>
            </w:r>
            <w:r w:rsidRPr="00055BF1">
              <w:rPr>
                <w:rFonts w:ascii="Times New Roman" w:eastAsia="Times New Roman" w:hAnsi="Times New Roman" w:cs="Times New Roman"/>
                <w:color w:val="000000"/>
                <w:kern w:val="0"/>
                <w:lang w:eastAsia="ro-MD"/>
                <w14:ligatures w14:val="none"/>
              </w:rPr>
              <w:t>)</w:t>
            </w:r>
            <w:r>
              <w:rPr>
                <w:rFonts w:ascii="Times New Roman" w:eastAsia="Times New Roman" w:hAnsi="Times New Roman" w:cs="Times New Roman"/>
                <w:color w:val="000000"/>
                <w:kern w:val="0"/>
                <w:lang w:eastAsia="ro-MD"/>
                <w14:ligatures w14:val="none"/>
              </w:rPr>
              <w:t xml:space="preserve">, punctele 103, 104 și 126 </w:t>
            </w:r>
            <w:r w:rsidRPr="00055BF1">
              <w:rPr>
                <w:rFonts w:ascii="Times New Roman" w:eastAsia="Times New Roman" w:hAnsi="Times New Roman" w:cs="Times New Roman"/>
                <w:color w:val="000000"/>
                <w:kern w:val="0"/>
                <w:lang w:eastAsia="ro-MD"/>
                <w14:ligatures w14:val="none"/>
              </w:rPr>
              <w:t xml:space="preserve">din </w:t>
            </w:r>
            <w:r>
              <w:rPr>
                <w:rFonts w:ascii="Times New Roman" w:eastAsia="Times New Roman" w:hAnsi="Times New Roman" w:cs="Times New Roman"/>
                <w:color w:val="000000"/>
                <w:kern w:val="0"/>
                <w:lang w:eastAsia="ro-MD"/>
                <w14:ligatures w14:val="none"/>
              </w:rPr>
              <w:t>Regulamentul nr.109/2018</w:t>
            </w:r>
            <w:r w:rsidRPr="00055BF1">
              <w:rPr>
                <w:rFonts w:ascii="Times New Roman" w:eastAsia="Times New Roman" w:hAnsi="Times New Roman" w:cs="Times New Roman"/>
                <w:color w:val="000000"/>
                <w:kern w:val="0"/>
                <w:lang w:eastAsia="ro-MD"/>
                <w14:ligatures w14:val="none"/>
              </w:rPr>
              <w:t>.</w:t>
            </w:r>
          </w:p>
          <w:p w14:paraId="56F2EBC0" w14:textId="5F3DBC88"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Deținerile de către </w:t>
            </w:r>
            <w:r>
              <w:rPr>
                <w:rFonts w:ascii="Times New Roman" w:eastAsia="Times New Roman" w:hAnsi="Times New Roman" w:cs="Times New Roman"/>
                <w:color w:val="000000"/>
                <w:kern w:val="0"/>
                <w:lang w:eastAsia="ro-MD"/>
                <w14:ligatures w14:val="none"/>
              </w:rPr>
              <w:t>bancă</w:t>
            </w:r>
            <w:r w:rsidRPr="00260C32">
              <w:rPr>
                <w:rFonts w:ascii="Times New Roman" w:eastAsia="Times New Roman" w:hAnsi="Times New Roman" w:cs="Times New Roman"/>
                <w:color w:val="000000"/>
                <w:kern w:val="0"/>
                <w:lang w:eastAsia="ro-MD"/>
                <w14:ligatures w14:val="none"/>
              </w:rPr>
              <w:t xml:space="preserve"> ale unor instrumente de fonduri proprii de nivel 2 ale entităților din </w:t>
            </w:r>
            <w:r w:rsidRPr="002B0B6D">
              <w:rPr>
                <w:rFonts w:ascii="Times New Roman" w:eastAsia="Times New Roman" w:hAnsi="Times New Roman" w:cs="Times New Roman"/>
                <w:color w:val="000000"/>
                <w:kern w:val="0"/>
                <w:lang w:eastAsia="ro-MD"/>
                <w14:ligatures w14:val="none"/>
              </w:rPr>
              <w:t>sectorul financiar în</w:t>
            </w:r>
            <w:r w:rsidRPr="00260C32">
              <w:rPr>
                <w:rFonts w:ascii="Times New Roman" w:eastAsia="Times New Roman" w:hAnsi="Times New Roman" w:cs="Times New Roman"/>
                <w:color w:val="000000"/>
                <w:kern w:val="0"/>
                <w:lang w:eastAsia="ro-MD"/>
                <w14:ligatures w14:val="none"/>
              </w:rPr>
              <w:t xml:space="preserve"> care </w:t>
            </w:r>
            <w:r>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 trebuie deduse în totalitate.</w:t>
            </w:r>
          </w:p>
        </w:tc>
        <w:tc>
          <w:tcPr>
            <w:tcW w:w="452" w:type="pct"/>
          </w:tcPr>
          <w:p w14:paraId="0549F602"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067DA083" w14:textId="016F52E4" w:rsidTr="00D448C0">
        <w:trPr>
          <w:tblCellSpacing w:w="0" w:type="dxa"/>
        </w:trPr>
        <w:tc>
          <w:tcPr>
            <w:tcW w:w="260" w:type="pct"/>
            <w:hideMark/>
          </w:tcPr>
          <w:p w14:paraId="19CD84BE"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0955</w:t>
            </w:r>
          </w:p>
        </w:tc>
        <w:tc>
          <w:tcPr>
            <w:tcW w:w="4288" w:type="pct"/>
            <w:hideMark/>
          </w:tcPr>
          <w:p w14:paraId="7C6A35B3" w14:textId="5233D15E" w:rsidR="00D448C0" w:rsidRPr="009F37FB" w:rsidRDefault="00D448C0" w:rsidP="009F37FB">
            <w:pPr>
              <w:spacing w:after="0" w:line="240" w:lineRule="auto"/>
              <w:rPr>
                <w:rFonts w:ascii="Times New Roman" w:eastAsia="Times New Roman" w:hAnsi="Times New Roman" w:cs="Times New Roman"/>
                <w:b/>
                <w:bCs/>
                <w:color w:val="000000"/>
                <w:kern w:val="0"/>
                <w:lang w:eastAsia="ro-MD"/>
                <w14:ligatures w14:val="none"/>
              </w:rPr>
            </w:pPr>
            <w:r w:rsidRPr="009F37FB">
              <w:rPr>
                <w:rFonts w:ascii="Times New Roman" w:eastAsia="Times New Roman" w:hAnsi="Times New Roman" w:cs="Times New Roman"/>
                <w:b/>
                <w:bCs/>
                <w:color w:val="000000"/>
                <w:kern w:val="0"/>
                <w:lang w:eastAsia="ro-MD"/>
                <w14:ligatures w14:val="none"/>
              </w:rPr>
              <w:t>1.2.9A (-) Valoarea deducerilor din datoriile eligibile care depășește datoriile eligibile</w:t>
            </w:r>
          </w:p>
          <w:p w14:paraId="119B1B93" w14:textId="1A9BB00E"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055BF1">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100</w:t>
            </w:r>
            <w:r w:rsidRPr="00055BF1">
              <w:rPr>
                <w:rFonts w:ascii="Times New Roman" w:eastAsia="Times New Roman" w:hAnsi="Times New Roman" w:cs="Times New Roman"/>
                <w:color w:val="000000"/>
                <w:kern w:val="0"/>
                <w:lang w:eastAsia="ro-MD"/>
                <w14:ligatures w14:val="none"/>
              </w:rPr>
              <w:t xml:space="preserve"> subpunctul </w:t>
            </w:r>
            <w:r>
              <w:rPr>
                <w:rFonts w:ascii="Times New Roman" w:eastAsia="Times New Roman" w:hAnsi="Times New Roman" w:cs="Times New Roman"/>
                <w:color w:val="000000"/>
                <w:kern w:val="0"/>
                <w:lang w:eastAsia="ro-MD"/>
                <w14:ligatures w14:val="none"/>
              </w:rPr>
              <w:t>5</w:t>
            </w:r>
            <w:r w:rsidRPr="00055BF1">
              <w:rPr>
                <w:rFonts w:ascii="Times New Roman" w:eastAsia="Times New Roman" w:hAnsi="Times New Roman" w:cs="Times New Roman"/>
                <w:color w:val="000000"/>
                <w:kern w:val="0"/>
                <w:lang w:eastAsia="ro-MD"/>
                <w14:ligatures w14:val="none"/>
              </w:rPr>
              <w:t>)</w:t>
            </w:r>
            <w:r>
              <w:rPr>
                <w:rFonts w:ascii="Times New Roman" w:eastAsia="Times New Roman" w:hAnsi="Times New Roman" w:cs="Times New Roman"/>
                <w:color w:val="000000"/>
                <w:kern w:val="0"/>
                <w:lang w:eastAsia="ro-MD"/>
                <w14:ligatures w14:val="none"/>
              </w:rPr>
              <w:t xml:space="preserve"> </w:t>
            </w:r>
            <w:r w:rsidRPr="00055BF1">
              <w:rPr>
                <w:rFonts w:ascii="Times New Roman" w:eastAsia="Times New Roman" w:hAnsi="Times New Roman" w:cs="Times New Roman"/>
                <w:color w:val="000000"/>
                <w:kern w:val="0"/>
                <w:lang w:eastAsia="ro-MD"/>
                <w14:ligatures w14:val="none"/>
              </w:rPr>
              <w:t xml:space="preserve">din </w:t>
            </w:r>
            <w:r>
              <w:rPr>
                <w:rFonts w:ascii="Times New Roman" w:eastAsia="Times New Roman" w:hAnsi="Times New Roman" w:cs="Times New Roman"/>
                <w:color w:val="000000"/>
                <w:kern w:val="0"/>
                <w:lang w:eastAsia="ro-MD"/>
                <w14:ligatures w14:val="none"/>
              </w:rPr>
              <w:t>Regulamentul nr.109/2018</w:t>
            </w:r>
            <w:r w:rsidRPr="00055BF1">
              <w:rPr>
                <w:rFonts w:ascii="Times New Roman" w:eastAsia="Times New Roman" w:hAnsi="Times New Roman" w:cs="Times New Roman"/>
                <w:color w:val="000000"/>
                <w:kern w:val="0"/>
                <w:lang w:eastAsia="ro-MD"/>
                <w14:ligatures w14:val="none"/>
              </w:rPr>
              <w:t>.</w:t>
            </w:r>
          </w:p>
        </w:tc>
        <w:tc>
          <w:tcPr>
            <w:tcW w:w="452" w:type="pct"/>
          </w:tcPr>
          <w:p w14:paraId="26CBB618"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516C83CB" w14:textId="70157236" w:rsidTr="00D448C0">
        <w:trPr>
          <w:tblCellSpacing w:w="0" w:type="dxa"/>
        </w:trPr>
        <w:tc>
          <w:tcPr>
            <w:tcW w:w="260" w:type="pct"/>
            <w:hideMark/>
          </w:tcPr>
          <w:p w14:paraId="1C83675B"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0960</w:t>
            </w:r>
          </w:p>
        </w:tc>
        <w:tc>
          <w:tcPr>
            <w:tcW w:w="4288" w:type="pct"/>
            <w:hideMark/>
          </w:tcPr>
          <w:p w14:paraId="7820D683" w14:textId="77777777" w:rsidR="00D448C0" w:rsidRPr="009F37FB" w:rsidRDefault="00D448C0" w:rsidP="009F37FB">
            <w:pPr>
              <w:spacing w:after="0" w:line="240" w:lineRule="auto"/>
              <w:rPr>
                <w:rFonts w:ascii="Times New Roman" w:eastAsia="Times New Roman" w:hAnsi="Times New Roman" w:cs="Times New Roman"/>
                <w:b/>
                <w:bCs/>
                <w:color w:val="000000"/>
                <w:kern w:val="0"/>
                <w:lang w:eastAsia="ro-MD"/>
                <w14:ligatures w14:val="none"/>
              </w:rPr>
            </w:pPr>
            <w:r w:rsidRPr="009F37FB">
              <w:rPr>
                <w:rFonts w:ascii="Times New Roman" w:eastAsia="Times New Roman" w:hAnsi="Times New Roman" w:cs="Times New Roman"/>
                <w:b/>
                <w:bCs/>
                <w:color w:val="000000"/>
                <w:kern w:val="0"/>
                <w:lang w:eastAsia="ro-MD"/>
                <w14:ligatures w14:val="none"/>
              </w:rPr>
              <w:t>1.2.10. Alte ajustări tranzitorii aferente fondurilor proprii de nivel 2</w:t>
            </w:r>
          </w:p>
          <w:p w14:paraId="05A977FB" w14:textId="2019250A"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p>
        </w:tc>
        <w:tc>
          <w:tcPr>
            <w:tcW w:w="452" w:type="pct"/>
          </w:tcPr>
          <w:p w14:paraId="01CB6F81" w14:textId="21DE5702" w:rsidR="00D448C0" w:rsidRPr="00260C32" w:rsidRDefault="00F659A0" w:rsidP="009F37FB">
            <w:pPr>
              <w:spacing w:after="0"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blocat</w:t>
            </w:r>
          </w:p>
        </w:tc>
      </w:tr>
      <w:tr w:rsidR="00D448C0" w:rsidRPr="00260C32" w14:paraId="10302B89" w14:textId="748156B1" w:rsidTr="00D448C0">
        <w:trPr>
          <w:tblCellSpacing w:w="0" w:type="dxa"/>
        </w:trPr>
        <w:tc>
          <w:tcPr>
            <w:tcW w:w="260" w:type="pct"/>
            <w:hideMark/>
          </w:tcPr>
          <w:p w14:paraId="4B08D1A5"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0970</w:t>
            </w:r>
          </w:p>
        </w:tc>
        <w:tc>
          <w:tcPr>
            <w:tcW w:w="4288" w:type="pct"/>
            <w:hideMark/>
          </w:tcPr>
          <w:p w14:paraId="2C5F8B0C" w14:textId="3B7EEAED" w:rsidR="00D448C0" w:rsidRPr="009F37FB" w:rsidRDefault="00D448C0" w:rsidP="009F37FB">
            <w:pPr>
              <w:spacing w:after="0" w:line="240" w:lineRule="auto"/>
              <w:rPr>
                <w:rFonts w:ascii="Times New Roman" w:eastAsia="Times New Roman" w:hAnsi="Times New Roman" w:cs="Times New Roman"/>
                <w:b/>
                <w:bCs/>
                <w:color w:val="000000"/>
                <w:kern w:val="0"/>
                <w:lang w:eastAsia="ro-MD"/>
                <w14:ligatures w14:val="none"/>
              </w:rPr>
            </w:pPr>
            <w:r w:rsidRPr="009F37FB">
              <w:rPr>
                <w:rFonts w:ascii="Times New Roman" w:eastAsia="Times New Roman" w:hAnsi="Times New Roman" w:cs="Times New Roman"/>
                <w:b/>
                <w:bCs/>
                <w:color w:val="000000"/>
                <w:kern w:val="0"/>
                <w:lang w:eastAsia="ro-MD"/>
                <w14:ligatures w14:val="none"/>
              </w:rPr>
              <w:t>1.2.11. Valoarea deducerilor din elementele de fonduri proprii de nivel 2 care depășește fondurile proprii de nivel 2 (deduse din fondurile proprii de nivel 1 suplimentar)</w:t>
            </w:r>
          </w:p>
          <w:p w14:paraId="738CA7A7" w14:textId="018CD698" w:rsidR="00D448C0" w:rsidRPr="00055BF1"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055BF1">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87</w:t>
            </w:r>
            <w:r w:rsidRPr="00055BF1">
              <w:rPr>
                <w:rFonts w:ascii="Times New Roman" w:eastAsia="Times New Roman" w:hAnsi="Times New Roman" w:cs="Times New Roman"/>
                <w:color w:val="000000"/>
                <w:kern w:val="0"/>
                <w:lang w:eastAsia="ro-MD"/>
                <w14:ligatures w14:val="none"/>
              </w:rPr>
              <w:t xml:space="preserve"> subpunctul </w:t>
            </w:r>
            <w:r>
              <w:rPr>
                <w:rFonts w:ascii="Times New Roman" w:eastAsia="Times New Roman" w:hAnsi="Times New Roman" w:cs="Times New Roman"/>
                <w:color w:val="000000"/>
                <w:kern w:val="0"/>
                <w:lang w:eastAsia="ro-MD"/>
                <w14:ligatures w14:val="none"/>
              </w:rPr>
              <w:t>5</w:t>
            </w:r>
            <w:r w:rsidRPr="00055BF1">
              <w:rPr>
                <w:rFonts w:ascii="Times New Roman" w:eastAsia="Times New Roman" w:hAnsi="Times New Roman" w:cs="Times New Roman"/>
                <w:color w:val="000000"/>
                <w:kern w:val="0"/>
                <w:lang w:eastAsia="ro-MD"/>
                <w14:ligatures w14:val="none"/>
              </w:rPr>
              <w:t>)</w:t>
            </w:r>
            <w:r>
              <w:rPr>
                <w:rFonts w:ascii="Times New Roman" w:eastAsia="Times New Roman" w:hAnsi="Times New Roman" w:cs="Times New Roman"/>
                <w:color w:val="000000"/>
                <w:kern w:val="0"/>
                <w:lang w:eastAsia="ro-MD"/>
                <w14:ligatures w14:val="none"/>
              </w:rPr>
              <w:t xml:space="preserve"> </w:t>
            </w:r>
            <w:r w:rsidRPr="00055BF1">
              <w:rPr>
                <w:rFonts w:ascii="Times New Roman" w:eastAsia="Times New Roman" w:hAnsi="Times New Roman" w:cs="Times New Roman"/>
                <w:color w:val="000000"/>
                <w:kern w:val="0"/>
                <w:lang w:eastAsia="ro-MD"/>
                <w14:ligatures w14:val="none"/>
              </w:rPr>
              <w:t xml:space="preserve">din </w:t>
            </w:r>
            <w:r>
              <w:rPr>
                <w:rFonts w:ascii="Times New Roman" w:eastAsia="Times New Roman" w:hAnsi="Times New Roman" w:cs="Times New Roman"/>
                <w:color w:val="000000"/>
                <w:kern w:val="0"/>
                <w:lang w:eastAsia="ro-MD"/>
                <w14:ligatures w14:val="none"/>
              </w:rPr>
              <w:t>Regulamentul nr.109/2018</w:t>
            </w:r>
            <w:r w:rsidRPr="00055BF1">
              <w:rPr>
                <w:rFonts w:ascii="Times New Roman" w:eastAsia="Times New Roman" w:hAnsi="Times New Roman" w:cs="Times New Roman"/>
                <w:color w:val="000000"/>
                <w:kern w:val="0"/>
                <w:lang w:eastAsia="ro-MD"/>
                <w14:ligatures w14:val="none"/>
              </w:rPr>
              <w:t>.</w:t>
            </w:r>
          </w:p>
          <w:p w14:paraId="2FCAFCED"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Fondurile proprii de nivel 2 nu pot fi negative, însă este posibil ca deducerile din fondurile proprii de nivel 2 să fie mai mari decât fondurile proprii de nivel 2 plus primele de emisiune aferente. Atunci când se întâmplă acest lucru, fondurile proprii de nivel 2 trebuie să fie egale cu zero, iar surplusul deducerilor din fondurile proprii de nivel 2 se deduce din fondurile proprii de nivel 1 suplimentar.</w:t>
            </w:r>
          </w:p>
          <w:p w14:paraId="1955EB4A" w14:textId="4C9C364C"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 acest element se asigură faptul că suma p</w:t>
            </w:r>
            <w:r w:rsidR="008F2835">
              <w:rPr>
                <w:rFonts w:ascii="Times New Roman" w:eastAsia="Times New Roman" w:hAnsi="Times New Roman" w:cs="Times New Roman"/>
                <w:color w:val="000000"/>
                <w:kern w:val="0"/>
                <w:lang w:eastAsia="ro-MD"/>
                <w14:ligatures w14:val="none"/>
              </w:rPr>
              <w:t>osturilor</w:t>
            </w:r>
            <w:r w:rsidRPr="00260C32">
              <w:rPr>
                <w:rFonts w:ascii="Times New Roman" w:eastAsia="Times New Roman" w:hAnsi="Times New Roman" w:cs="Times New Roman"/>
                <w:color w:val="000000"/>
                <w:kern w:val="0"/>
                <w:lang w:eastAsia="ro-MD"/>
                <w14:ligatures w14:val="none"/>
              </w:rPr>
              <w:t xml:space="preserve"> 1.2.1-1.2.13 nu este niciodată mai mică decât zero. Atunci când la acest punct apare o cifră pozitivă, p</w:t>
            </w:r>
            <w:r w:rsidR="008F2835">
              <w:rPr>
                <w:rFonts w:ascii="Times New Roman" w:eastAsia="Times New Roman" w:hAnsi="Times New Roman" w:cs="Times New Roman"/>
                <w:color w:val="000000"/>
                <w:kern w:val="0"/>
                <w:lang w:eastAsia="ro-MD"/>
                <w14:ligatures w14:val="none"/>
              </w:rPr>
              <w:t>ostul</w:t>
            </w:r>
            <w:r w:rsidRPr="00260C32">
              <w:rPr>
                <w:rFonts w:ascii="Times New Roman" w:eastAsia="Times New Roman" w:hAnsi="Times New Roman" w:cs="Times New Roman"/>
                <w:color w:val="000000"/>
                <w:kern w:val="0"/>
                <w:lang w:eastAsia="ro-MD"/>
                <w14:ligatures w14:val="none"/>
              </w:rPr>
              <w:t xml:space="preserve"> 1.1.2.8 reprezintă inversul acelei cifre.</w:t>
            </w:r>
          </w:p>
        </w:tc>
        <w:tc>
          <w:tcPr>
            <w:tcW w:w="452" w:type="pct"/>
          </w:tcPr>
          <w:p w14:paraId="20E7B24D"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72027C81" w14:textId="73AFF109" w:rsidTr="00D448C0">
        <w:trPr>
          <w:tblCellSpacing w:w="0" w:type="dxa"/>
        </w:trPr>
        <w:tc>
          <w:tcPr>
            <w:tcW w:w="260" w:type="pct"/>
            <w:hideMark/>
          </w:tcPr>
          <w:p w14:paraId="2302DC58"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0974</w:t>
            </w:r>
          </w:p>
        </w:tc>
        <w:tc>
          <w:tcPr>
            <w:tcW w:w="4288" w:type="pct"/>
            <w:hideMark/>
          </w:tcPr>
          <w:p w14:paraId="538A0E46" w14:textId="77777777" w:rsidR="002B024E"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9F37FB">
              <w:rPr>
                <w:rFonts w:ascii="Times New Roman" w:eastAsia="Times New Roman" w:hAnsi="Times New Roman" w:cs="Times New Roman"/>
                <w:b/>
                <w:bCs/>
                <w:color w:val="000000"/>
                <w:kern w:val="0"/>
                <w:lang w:eastAsia="ro-MD"/>
                <w14:ligatures w14:val="none"/>
              </w:rPr>
              <w:t>1.2.12. (-) Deduceri suplimentare din fondurile proprii de nivel 2 efectuate în temeiul punctului 3 din Regulamentul nr.109/2018</w:t>
            </w:r>
            <w:r w:rsidRPr="000A48B6">
              <w:rPr>
                <w:rFonts w:ascii="Times New Roman" w:eastAsia="Times New Roman" w:hAnsi="Times New Roman" w:cs="Times New Roman"/>
                <w:color w:val="000000"/>
                <w:kern w:val="0"/>
                <w:lang w:eastAsia="ro-MD"/>
                <w14:ligatures w14:val="none"/>
              </w:rPr>
              <w:t>.</w:t>
            </w:r>
          </w:p>
          <w:p w14:paraId="0DE70048" w14:textId="771DB201"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P</w:t>
            </w:r>
            <w:r w:rsidRPr="000A48B6">
              <w:rPr>
                <w:rFonts w:ascii="Times New Roman" w:eastAsia="Times New Roman" w:hAnsi="Times New Roman" w:cs="Times New Roman"/>
                <w:color w:val="000000"/>
                <w:kern w:val="0"/>
                <w:lang w:eastAsia="ro-MD"/>
                <w14:ligatures w14:val="none"/>
              </w:rPr>
              <w:t xml:space="preserve">unctul 3 din </w:t>
            </w:r>
            <w:r>
              <w:rPr>
                <w:rFonts w:ascii="Times New Roman" w:eastAsia="Times New Roman" w:hAnsi="Times New Roman" w:cs="Times New Roman"/>
                <w:color w:val="000000"/>
                <w:kern w:val="0"/>
                <w:lang w:eastAsia="ro-MD"/>
                <w14:ligatures w14:val="none"/>
              </w:rPr>
              <w:t>Regulamentul nr.109/2018</w:t>
            </w:r>
          </w:p>
        </w:tc>
        <w:tc>
          <w:tcPr>
            <w:tcW w:w="452" w:type="pct"/>
          </w:tcPr>
          <w:p w14:paraId="3FBEE7E5"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p>
        </w:tc>
      </w:tr>
      <w:tr w:rsidR="00D448C0" w:rsidRPr="00260C32" w14:paraId="0957A0AA" w14:textId="19D31F53" w:rsidTr="00D448C0">
        <w:trPr>
          <w:tblCellSpacing w:w="0" w:type="dxa"/>
        </w:trPr>
        <w:tc>
          <w:tcPr>
            <w:tcW w:w="260" w:type="pct"/>
            <w:hideMark/>
          </w:tcPr>
          <w:p w14:paraId="646F6376"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0978</w:t>
            </w:r>
          </w:p>
        </w:tc>
        <w:tc>
          <w:tcPr>
            <w:tcW w:w="4288" w:type="pct"/>
            <w:hideMark/>
          </w:tcPr>
          <w:p w14:paraId="204796C9" w14:textId="77777777" w:rsidR="00D448C0" w:rsidRPr="009F37FB" w:rsidRDefault="00D448C0" w:rsidP="009F37FB">
            <w:pPr>
              <w:spacing w:after="0" w:line="240" w:lineRule="auto"/>
              <w:rPr>
                <w:rFonts w:ascii="Times New Roman" w:eastAsia="Times New Roman" w:hAnsi="Times New Roman" w:cs="Times New Roman"/>
                <w:b/>
                <w:bCs/>
                <w:color w:val="000000"/>
                <w:kern w:val="0"/>
                <w:lang w:eastAsia="ro-MD"/>
                <w14:ligatures w14:val="none"/>
              </w:rPr>
            </w:pPr>
            <w:r w:rsidRPr="009F37FB">
              <w:rPr>
                <w:rFonts w:ascii="Times New Roman" w:eastAsia="Times New Roman" w:hAnsi="Times New Roman" w:cs="Times New Roman"/>
                <w:b/>
                <w:bCs/>
                <w:color w:val="000000"/>
                <w:kern w:val="0"/>
                <w:lang w:eastAsia="ro-MD"/>
                <w14:ligatures w14:val="none"/>
              </w:rPr>
              <w:t>1.2.13. Elemente ale fondurilor proprii de nivel 2 sau deduceri din acestea – altele</w:t>
            </w:r>
          </w:p>
          <w:p w14:paraId="75706C97"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Acest rând oferă flexibilitate exclusiv în scopul raportării. Acesta trebuie completat numai în cazurile rare în care nu există nicio decizie finală cu privire la raportarea unor elemente specifice de capital/deduceri din capital în actualul formular CA1. Prin urmare, acest rând nu se completează decât în cazul în care un element de fonduri proprii de nivel 2 sau o deducere dintr-un element de fonduri proprii de nivel 2 nu se poate înscrie </w:t>
            </w:r>
            <w:proofErr w:type="spellStart"/>
            <w:r w:rsidRPr="00260C32">
              <w:rPr>
                <w:rFonts w:ascii="Times New Roman" w:eastAsia="Times New Roman" w:hAnsi="Times New Roman" w:cs="Times New Roman"/>
                <w:color w:val="000000"/>
                <w:kern w:val="0"/>
                <w:lang w:eastAsia="ro-MD"/>
                <w14:ligatures w14:val="none"/>
              </w:rPr>
              <w:t>într</w:t>
            </w:r>
            <w:proofErr w:type="spellEnd"/>
            <w:r w:rsidRPr="00260C32">
              <w:rPr>
                <w:rFonts w:ascii="Times New Roman" w:eastAsia="Times New Roman" w:hAnsi="Times New Roman" w:cs="Times New Roman"/>
                <w:color w:val="000000"/>
                <w:kern w:val="0"/>
                <w:lang w:eastAsia="ro-MD"/>
                <w14:ligatures w14:val="none"/>
              </w:rPr>
              <w:t>-unul din rândurile 750-974.</w:t>
            </w:r>
          </w:p>
          <w:p w14:paraId="7502D94F" w14:textId="066D66E3"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r w:rsidRPr="00AE4BB3">
              <w:rPr>
                <w:rFonts w:ascii="Times New Roman" w:eastAsia="Times New Roman" w:hAnsi="Times New Roman" w:cs="Times New Roman"/>
                <w:color w:val="000000"/>
                <w:kern w:val="0"/>
                <w:lang w:eastAsia="ro-MD"/>
                <w14:ligatures w14:val="none"/>
              </w:rPr>
              <w:t xml:space="preserve">Acest rând nu se utilizează pentru a aloca elemente de capital/deduceri care nu intră sub </w:t>
            </w:r>
            <w:r w:rsidRPr="00512160">
              <w:rPr>
                <w:rFonts w:ascii="Times New Roman" w:eastAsia="Times New Roman" w:hAnsi="Times New Roman" w:cs="Times New Roman"/>
                <w:color w:val="000000"/>
                <w:kern w:val="0"/>
                <w:lang w:eastAsia="ro-MD"/>
                <w14:ligatures w14:val="none"/>
              </w:rPr>
              <w:t xml:space="preserve">incidența </w:t>
            </w:r>
            <w:r w:rsidR="00512160" w:rsidRPr="00512160">
              <w:rPr>
                <w:rFonts w:ascii="Times New Roman" w:eastAsia="Times New Roman" w:hAnsi="Times New Roman" w:cs="Times New Roman"/>
                <w:color w:val="000000"/>
                <w:kern w:val="0"/>
                <w:lang w:eastAsia="ro-MD"/>
                <w14:ligatures w14:val="none"/>
              </w:rPr>
              <w:t>Regulamentului nr.109/2018</w:t>
            </w:r>
            <w:r w:rsidRPr="00512160">
              <w:rPr>
                <w:rFonts w:ascii="Times New Roman" w:eastAsia="Times New Roman" w:hAnsi="Times New Roman" w:cs="Times New Roman"/>
                <w:color w:val="000000"/>
                <w:kern w:val="0"/>
                <w:lang w:eastAsia="ro-MD"/>
                <w14:ligatures w14:val="none"/>
              </w:rPr>
              <w:t>.</w:t>
            </w:r>
          </w:p>
        </w:tc>
        <w:tc>
          <w:tcPr>
            <w:tcW w:w="452" w:type="pct"/>
          </w:tcPr>
          <w:p w14:paraId="5365728A" w14:textId="77777777" w:rsidR="00D448C0" w:rsidRPr="00260C32" w:rsidRDefault="00D448C0" w:rsidP="009F37FB">
            <w:pPr>
              <w:spacing w:after="0" w:line="240" w:lineRule="auto"/>
              <w:rPr>
                <w:rFonts w:ascii="Times New Roman" w:eastAsia="Times New Roman" w:hAnsi="Times New Roman" w:cs="Times New Roman"/>
                <w:color w:val="000000"/>
                <w:kern w:val="0"/>
                <w:lang w:eastAsia="ro-MD"/>
                <w14:ligatures w14:val="none"/>
              </w:rPr>
            </w:pPr>
          </w:p>
        </w:tc>
      </w:tr>
    </w:tbl>
    <w:p w14:paraId="09AAD684" w14:textId="77777777" w:rsidR="0015486B" w:rsidRPr="006B1CE5" w:rsidRDefault="0015486B" w:rsidP="006B1CE5">
      <w:pPr>
        <w:pStyle w:val="InstructionsText2"/>
        <w:numPr>
          <w:ilvl w:val="0"/>
          <w:numId w:val="0"/>
        </w:numPr>
        <w:ind w:left="1353"/>
        <w:rPr>
          <w:lang w:val="ro-MD"/>
        </w:rPr>
      </w:pPr>
    </w:p>
    <w:p w14:paraId="7FAE63B1" w14:textId="5938525D" w:rsidR="00766E0E" w:rsidRPr="002B024E" w:rsidRDefault="00766E0E" w:rsidP="002B024E">
      <w:pPr>
        <w:jc w:val="center"/>
        <w:rPr>
          <w:rFonts w:ascii="Times New Roman" w:hAnsi="Times New Roman" w:cs="Times New Roman"/>
          <w:b/>
          <w:bCs/>
        </w:rPr>
      </w:pPr>
      <w:r w:rsidRPr="002B024E">
        <w:rPr>
          <w:rFonts w:ascii="Times New Roman" w:hAnsi="Times New Roman" w:cs="Times New Roman"/>
          <w:b/>
          <w:bCs/>
        </w:rPr>
        <w:t>Form</w:t>
      </w:r>
      <w:r w:rsidR="008619D0">
        <w:rPr>
          <w:rFonts w:ascii="Times New Roman" w:hAnsi="Times New Roman" w:cs="Times New Roman"/>
          <w:b/>
          <w:bCs/>
        </w:rPr>
        <w:t>ularul</w:t>
      </w:r>
      <w:r w:rsidRPr="002B024E">
        <w:rPr>
          <w:rFonts w:ascii="Times New Roman" w:hAnsi="Times New Roman" w:cs="Times New Roman"/>
          <w:b/>
          <w:bCs/>
        </w:rPr>
        <w:t xml:space="preserve"> raportului C 02.00</w:t>
      </w:r>
    </w:p>
    <w:p w14:paraId="60338718" w14:textId="77777777" w:rsidR="00766E0E" w:rsidRPr="002B024E" w:rsidRDefault="00766E0E" w:rsidP="002B024E">
      <w:pPr>
        <w:spacing w:after="0"/>
        <w:rPr>
          <w:rFonts w:ascii="Times New Roman" w:hAnsi="Times New Roman" w:cs="Times New Roman"/>
          <w:b/>
          <w:bCs/>
        </w:rPr>
      </w:pPr>
    </w:p>
    <w:p w14:paraId="79F62EDD" w14:textId="303C9CB8" w:rsidR="00492074" w:rsidRPr="002B024E" w:rsidRDefault="00766E0E" w:rsidP="002B024E">
      <w:pPr>
        <w:spacing w:after="0"/>
        <w:rPr>
          <w:rFonts w:ascii="Times New Roman" w:hAnsi="Times New Roman" w:cs="Times New Roman"/>
          <w:b/>
          <w:bCs/>
        </w:rPr>
      </w:pPr>
      <w:r w:rsidRPr="002B024E">
        <w:rPr>
          <w:rFonts w:ascii="Times New Roman" w:hAnsi="Times New Roman" w:cs="Times New Roman"/>
          <w:b/>
          <w:bCs/>
        </w:rPr>
        <w:t>Codul băncii ____________________</w:t>
      </w:r>
    </w:p>
    <w:p w14:paraId="2D612609" w14:textId="2EF5B7D5" w:rsidR="00766E0E" w:rsidRPr="002B024E" w:rsidRDefault="00766E0E" w:rsidP="002B024E">
      <w:pPr>
        <w:spacing w:after="0"/>
        <w:rPr>
          <w:rFonts w:ascii="Times New Roman" w:hAnsi="Times New Roman" w:cs="Times New Roman"/>
          <w:b/>
          <w:bCs/>
        </w:rPr>
      </w:pPr>
      <w:r w:rsidRPr="002B024E">
        <w:rPr>
          <w:rFonts w:ascii="Times New Roman" w:hAnsi="Times New Roman" w:cs="Times New Roman"/>
          <w:b/>
          <w:bCs/>
        </w:rPr>
        <w:t>Perioada de raportare_____________                                                Formular C02.00</w:t>
      </w:r>
    </w:p>
    <w:p w14:paraId="1F932E94" w14:textId="02FCFAF8" w:rsidR="00260C32" w:rsidRPr="00260C32" w:rsidRDefault="00260C32" w:rsidP="002B024E">
      <w:pPr>
        <w:rPr>
          <w:rFonts w:ascii="Times New Roman" w:eastAsia="Times New Roman" w:hAnsi="Times New Roman" w:cs="Times New Roman"/>
          <w:color w:val="000000"/>
          <w:kern w:val="0"/>
          <w:lang w:eastAsia="ro-MD"/>
          <w14:ligatures w14:val="none"/>
        </w:rPr>
      </w:pPr>
    </w:p>
    <w:p w14:paraId="6C6E99B6" w14:textId="77777777" w:rsidR="00260C32" w:rsidRPr="00E22B81" w:rsidRDefault="00260C32" w:rsidP="002B024E">
      <w:pPr>
        <w:jc w:val="center"/>
        <w:rPr>
          <w:rFonts w:ascii="Times New Roman" w:eastAsia="Times New Roman" w:hAnsi="Times New Roman" w:cs="Times New Roman"/>
          <w:b/>
          <w:bCs/>
          <w:kern w:val="0"/>
          <w:sz w:val="24"/>
          <w:szCs w:val="24"/>
          <w:lang w:val="ro-RO" w:eastAsia="de-DE"/>
          <w14:ligatures w14:val="none"/>
        </w:rPr>
      </w:pPr>
      <w:r w:rsidRPr="00E22B81">
        <w:rPr>
          <w:rFonts w:ascii="Times New Roman" w:eastAsia="Times New Roman" w:hAnsi="Times New Roman" w:cs="Times New Roman"/>
          <w:b/>
          <w:bCs/>
          <w:kern w:val="0"/>
          <w:sz w:val="24"/>
          <w:szCs w:val="24"/>
          <w:lang w:val="ro-RO" w:eastAsia="de-DE"/>
          <w14:ligatures w14:val="none"/>
        </w:rPr>
        <w:t>C 02.00 – CERINȚE DE FONDURI PROPRII (CA2)</w:t>
      </w:r>
    </w:p>
    <w:p w14:paraId="260DFBF2" w14:textId="77777777" w:rsidR="007874EE" w:rsidRPr="007874EE" w:rsidRDefault="007874EE" w:rsidP="007874EE">
      <w:pPr>
        <w:rPr>
          <w:lang w:eastAsia="ro-MD"/>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1360"/>
        <w:gridCol w:w="4883"/>
        <w:gridCol w:w="842"/>
        <w:gridCol w:w="1585"/>
      </w:tblGrid>
      <w:tr w:rsidR="00183777" w:rsidRPr="00825F64" w14:paraId="596E7184" w14:textId="77777777" w:rsidTr="006F6C14">
        <w:trPr>
          <w:tblCellSpacing w:w="0" w:type="dxa"/>
        </w:trPr>
        <w:tc>
          <w:tcPr>
            <w:tcW w:w="0" w:type="auto"/>
            <w:shd w:val="clear" w:color="auto" w:fill="E7E6E6" w:themeFill="background2"/>
            <w:hideMark/>
          </w:tcPr>
          <w:p w14:paraId="6A0BD2ED" w14:textId="77777777" w:rsidR="00183777" w:rsidRPr="00825F64" w:rsidRDefault="00183777"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Rânduri</w:t>
            </w:r>
          </w:p>
        </w:tc>
        <w:tc>
          <w:tcPr>
            <w:tcW w:w="717" w:type="pct"/>
            <w:shd w:val="clear" w:color="auto" w:fill="E7E6E6" w:themeFill="background2"/>
            <w:hideMark/>
          </w:tcPr>
          <w:p w14:paraId="62A7B905" w14:textId="0F8E1431" w:rsidR="00183777" w:rsidRPr="00825F64" w:rsidRDefault="00183777"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ID</w:t>
            </w:r>
          </w:p>
        </w:tc>
        <w:tc>
          <w:tcPr>
            <w:tcW w:w="2574" w:type="pct"/>
            <w:shd w:val="clear" w:color="auto" w:fill="E7E6E6" w:themeFill="background2"/>
            <w:hideMark/>
          </w:tcPr>
          <w:p w14:paraId="5771D65F" w14:textId="77777777" w:rsidR="00183777" w:rsidRPr="00825F64" w:rsidRDefault="00183777"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Denumire</w:t>
            </w:r>
          </w:p>
        </w:tc>
        <w:tc>
          <w:tcPr>
            <w:tcW w:w="444" w:type="pct"/>
            <w:shd w:val="clear" w:color="auto" w:fill="E7E6E6" w:themeFill="background2"/>
          </w:tcPr>
          <w:p w14:paraId="238D8922" w14:textId="2D0110EF" w:rsidR="00183777" w:rsidRPr="00825F64" w:rsidRDefault="00183777" w:rsidP="00D12131">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TREA</w:t>
            </w:r>
          </w:p>
        </w:tc>
        <w:tc>
          <w:tcPr>
            <w:tcW w:w="0" w:type="auto"/>
            <w:shd w:val="clear" w:color="auto" w:fill="E7E6E6" w:themeFill="background2"/>
            <w:hideMark/>
          </w:tcPr>
          <w:p w14:paraId="4539E762" w14:textId="3E873475" w:rsidR="00183777" w:rsidRPr="00825F64" w:rsidRDefault="00183777" w:rsidP="00D12131">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Pragul minim privind cerințele de capital S-TREA</w:t>
            </w:r>
          </w:p>
        </w:tc>
      </w:tr>
      <w:tr w:rsidR="00183777" w:rsidRPr="00825F64" w14:paraId="44E8D380" w14:textId="77777777" w:rsidTr="006F6C14">
        <w:trPr>
          <w:tblCellSpacing w:w="0" w:type="dxa"/>
        </w:trPr>
        <w:tc>
          <w:tcPr>
            <w:tcW w:w="0" w:type="auto"/>
            <w:shd w:val="clear" w:color="auto" w:fill="E7E6E6" w:themeFill="background2"/>
          </w:tcPr>
          <w:p w14:paraId="0BC949D0" w14:textId="77777777" w:rsidR="00183777" w:rsidRPr="00825F64" w:rsidRDefault="00183777"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p>
        </w:tc>
        <w:tc>
          <w:tcPr>
            <w:tcW w:w="717" w:type="pct"/>
            <w:shd w:val="clear" w:color="auto" w:fill="E7E6E6" w:themeFill="background2"/>
          </w:tcPr>
          <w:p w14:paraId="44215760" w14:textId="77777777" w:rsidR="00183777" w:rsidRPr="00825F64" w:rsidRDefault="00183777"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p>
        </w:tc>
        <w:tc>
          <w:tcPr>
            <w:tcW w:w="2574" w:type="pct"/>
            <w:shd w:val="clear" w:color="auto" w:fill="E7E6E6" w:themeFill="background2"/>
          </w:tcPr>
          <w:p w14:paraId="4E21DB29" w14:textId="77777777" w:rsidR="00183777" w:rsidRPr="00825F64" w:rsidRDefault="00183777"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p>
        </w:tc>
        <w:tc>
          <w:tcPr>
            <w:tcW w:w="444" w:type="pct"/>
            <w:shd w:val="clear" w:color="auto" w:fill="E7E6E6" w:themeFill="background2"/>
          </w:tcPr>
          <w:p w14:paraId="03E19335" w14:textId="2B199FE8" w:rsidR="00183777" w:rsidRPr="00825F64" w:rsidRDefault="00183777" w:rsidP="00D12131">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0010</w:t>
            </w:r>
          </w:p>
        </w:tc>
        <w:tc>
          <w:tcPr>
            <w:tcW w:w="0" w:type="auto"/>
            <w:shd w:val="clear" w:color="auto" w:fill="E7E6E6" w:themeFill="background2"/>
          </w:tcPr>
          <w:p w14:paraId="7FD90D86" w14:textId="07B20CF8" w:rsidR="00183777" w:rsidRPr="00825F64" w:rsidDel="00183777" w:rsidRDefault="00183777" w:rsidP="00D12131">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0020</w:t>
            </w:r>
          </w:p>
        </w:tc>
      </w:tr>
      <w:tr w:rsidR="00183777" w:rsidRPr="00825F64" w14:paraId="70E7600C" w14:textId="77777777" w:rsidTr="006F6C14">
        <w:trPr>
          <w:tblCellSpacing w:w="0" w:type="dxa"/>
        </w:trPr>
        <w:tc>
          <w:tcPr>
            <w:tcW w:w="0" w:type="auto"/>
            <w:hideMark/>
          </w:tcPr>
          <w:p w14:paraId="7D05C9C3" w14:textId="77777777" w:rsidR="00183777" w:rsidRPr="00825F64" w:rsidRDefault="00183777"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0010</w:t>
            </w:r>
          </w:p>
        </w:tc>
        <w:tc>
          <w:tcPr>
            <w:tcW w:w="717" w:type="pct"/>
            <w:hideMark/>
          </w:tcPr>
          <w:p w14:paraId="621A44DC" w14:textId="77777777" w:rsidR="00183777" w:rsidRPr="00825F64" w:rsidRDefault="00183777"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w:t>
            </w:r>
          </w:p>
        </w:tc>
        <w:tc>
          <w:tcPr>
            <w:tcW w:w="2574" w:type="pct"/>
            <w:hideMark/>
          </w:tcPr>
          <w:p w14:paraId="24D0920D" w14:textId="77777777" w:rsidR="00183777" w:rsidRPr="00825F64" w:rsidRDefault="00183777"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CUANTUMUL TOTAL AL EXPUNERII LA RISC</w:t>
            </w:r>
          </w:p>
        </w:tc>
        <w:tc>
          <w:tcPr>
            <w:tcW w:w="444" w:type="pct"/>
          </w:tcPr>
          <w:p w14:paraId="353B98FB" w14:textId="77777777" w:rsidR="00183777" w:rsidRPr="00825F64" w:rsidRDefault="00183777" w:rsidP="00D12131">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hideMark/>
          </w:tcPr>
          <w:p w14:paraId="707FC64D" w14:textId="56526AFD" w:rsidR="00183777" w:rsidRPr="00825F64" w:rsidRDefault="00183777" w:rsidP="00D12131">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183777" w:rsidRPr="006F6C14" w14:paraId="6310AC40" w14:textId="77777777" w:rsidTr="006F6C14">
        <w:trPr>
          <w:tblCellSpacing w:w="0" w:type="dxa"/>
        </w:trPr>
        <w:tc>
          <w:tcPr>
            <w:tcW w:w="0" w:type="auto"/>
            <w:hideMark/>
          </w:tcPr>
          <w:p w14:paraId="775C91BC" w14:textId="77777777" w:rsidR="00183777" w:rsidRPr="00825F64" w:rsidRDefault="00183777"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lastRenderedPageBreak/>
              <w:t>0020</w:t>
            </w:r>
          </w:p>
        </w:tc>
        <w:tc>
          <w:tcPr>
            <w:tcW w:w="717" w:type="pct"/>
            <w:hideMark/>
          </w:tcPr>
          <w:p w14:paraId="354FD05C" w14:textId="77777777" w:rsidR="00183777" w:rsidRPr="00825F64" w:rsidRDefault="00183777"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w:t>
            </w:r>
          </w:p>
        </w:tc>
        <w:tc>
          <w:tcPr>
            <w:tcW w:w="2574" w:type="pct"/>
            <w:hideMark/>
          </w:tcPr>
          <w:p w14:paraId="51F92506" w14:textId="2E10BA2E" w:rsidR="00183777" w:rsidRPr="00825F64" w:rsidRDefault="00183777"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 xml:space="preserve">Din care: firme de investiții </w:t>
            </w:r>
          </w:p>
        </w:tc>
        <w:tc>
          <w:tcPr>
            <w:tcW w:w="444" w:type="pct"/>
          </w:tcPr>
          <w:p w14:paraId="2AC4E53C" w14:textId="0BFD3916" w:rsidR="00183777" w:rsidRPr="00825F64" w:rsidRDefault="00BA708E" w:rsidP="00D12131">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x</w:t>
            </w:r>
          </w:p>
        </w:tc>
        <w:tc>
          <w:tcPr>
            <w:tcW w:w="0" w:type="auto"/>
            <w:hideMark/>
          </w:tcPr>
          <w:p w14:paraId="5E0E3B95" w14:textId="77841BB9" w:rsidR="00183777" w:rsidRPr="00825F64" w:rsidRDefault="00183777" w:rsidP="00D12131">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x</w:t>
            </w:r>
          </w:p>
        </w:tc>
      </w:tr>
      <w:tr w:rsidR="00183777" w:rsidRPr="006F6C14" w14:paraId="2110B784" w14:textId="77777777" w:rsidTr="006F6C14">
        <w:trPr>
          <w:tblCellSpacing w:w="0" w:type="dxa"/>
        </w:trPr>
        <w:tc>
          <w:tcPr>
            <w:tcW w:w="0" w:type="auto"/>
            <w:hideMark/>
          </w:tcPr>
          <w:p w14:paraId="11AD0D63" w14:textId="77777777" w:rsidR="00183777" w:rsidRPr="00825F64" w:rsidRDefault="00183777"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0030</w:t>
            </w:r>
          </w:p>
        </w:tc>
        <w:tc>
          <w:tcPr>
            <w:tcW w:w="717" w:type="pct"/>
            <w:hideMark/>
          </w:tcPr>
          <w:p w14:paraId="36E7454A" w14:textId="77777777" w:rsidR="00183777" w:rsidRPr="00825F64" w:rsidRDefault="00183777"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w:t>
            </w:r>
          </w:p>
        </w:tc>
        <w:tc>
          <w:tcPr>
            <w:tcW w:w="2574" w:type="pct"/>
            <w:hideMark/>
          </w:tcPr>
          <w:p w14:paraId="6159F5CE" w14:textId="52C33487" w:rsidR="00183777" w:rsidRPr="00825F64" w:rsidRDefault="00183777"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 xml:space="preserve">Din care: firme de investiții </w:t>
            </w:r>
          </w:p>
        </w:tc>
        <w:tc>
          <w:tcPr>
            <w:tcW w:w="444" w:type="pct"/>
          </w:tcPr>
          <w:p w14:paraId="7C176D5A" w14:textId="56740487" w:rsidR="00183777" w:rsidRPr="00825F64" w:rsidRDefault="00BA708E" w:rsidP="00D12131">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x</w:t>
            </w:r>
          </w:p>
        </w:tc>
        <w:tc>
          <w:tcPr>
            <w:tcW w:w="0" w:type="auto"/>
            <w:hideMark/>
          </w:tcPr>
          <w:p w14:paraId="5337DC71" w14:textId="45865719" w:rsidR="00183777" w:rsidRPr="00825F64" w:rsidRDefault="00183777" w:rsidP="00D12131">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x</w:t>
            </w:r>
          </w:p>
        </w:tc>
      </w:tr>
      <w:tr w:rsidR="00183777" w:rsidRPr="00825F64" w14:paraId="01AC5351" w14:textId="77777777" w:rsidTr="006F6C14">
        <w:trPr>
          <w:tblCellSpacing w:w="0" w:type="dxa"/>
        </w:trPr>
        <w:tc>
          <w:tcPr>
            <w:tcW w:w="0" w:type="auto"/>
          </w:tcPr>
          <w:p w14:paraId="7B3457E0" w14:textId="4E7AB5DC" w:rsidR="00183777" w:rsidRPr="00825F64" w:rsidRDefault="00183777" w:rsidP="00515B58">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0035</w:t>
            </w:r>
          </w:p>
        </w:tc>
        <w:tc>
          <w:tcPr>
            <w:tcW w:w="717" w:type="pct"/>
          </w:tcPr>
          <w:p w14:paraId="221C1A72" w14:textId="30E35B92" w:rsidR="00183777" w:rsidRPr="00825F64" w:rsidRDefault="00183777" w:rsidP="00515B58">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w:t>
            </w:r>
          </w:p>
        </w:tc>
        <w:tc>
          <w:tcPr>
            <w:tcW w:w="2574" w:type="pct"/>
          </w:tcPr>
          <w:p w14:paraId="2B2F5AD0" w14:textId="42CAB04E" w:rsidR="00183777" w:rsidRPr="00512160" w:rsidRDefault="00183777" w:rsidP="00515B58">
            <w:pPr>
              <w:spacing w:before="100" w:beforeAutospacing="1" w:after="100" w:afterAutospacing="1" w:line="240" w:lineRule="auto"/>
              <w:rPr>
                <w:rFonts w:ascii="Times New Roman" w:eastAsia="Times New Roman" w:hAnsi="Times New Roman" w:cs="Times New Roman"/>
                <w:b/>
                <w:color w:val="000000"/>
                <w:kern w:val="0"/>
                <w:lang w:eastAsia="ro-MD"/>
                <w14:ligatures w14:val="none"/>
              </w:rPr>
            </w:pPr>
            <w:r w:rsidRPr="00512160">
              <w:rPr>
                <w:rStyle w:val="InstructionsTabelleberschrift"/>
                <w:rFonts w:ascii="Times New Roman" w:hAnsi="Times New Roman"/>
                <w:b w:val="0"/>
                <w:bCs w:val="0"/>
                <w:sz w:val="22"/>
                <w:u w:val="none"/>
              </w:rPr>
              <w:t>Din care: ajustarea la pragul minim</w:t>
            </w:r>
          </w:p>
        </w:tc>
        <w:tc>
          <w:tcPr>
            <w:tcW w:w="444" w:type="pct"/>
          </w:tcPr>
          <w:p w14:paraId="6B6514B8" w14:textId="5B1C5FE2" w:rsidR="00183777" w:rsidRPr="00825F64" w:rsidRDefault="00183777" w:rsidP="00515B58">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52BB9768" w14:textId="6159260C" w:rsidR="00183777" w:rsidRPr="00825F64" w:rsidRDefault="00183777" w:rsidP="00515B58">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x</w:t>
            </w:r>
          </w:p>
        </w:tc>
      </w:tr>
      <w:tr w:rsidR="00183777" w:rsidRPr="00825F64" w14:paraId="3936FD0E" w14:textId="77777777" w:rsidTr="006F6C14">
        <w:trPr>
          <w:tblCellSpacing w:w="0" w:type="dxa"/>
        </w:trPr>
        <w:tc>
          <w:tcPr>
            <w:tcW w:w="0" w:type="auto"/>
          </w:tcPr>
          <w:p w14:paraId="6F0BD77B" w14:textId="7D4AD325" w:rsidR="00183777" w:rsidRPr="00825F64" w:rsidRDefault="00183777" w:rsidP="00515B58">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0036</w:t>
            </w:r>
          </w:p>
        </w:tc>
        <w:tc>
          <w:tcPr>
            <w:tcW w:w="717" w:type="pct"/>
          </w:tcPr>
          <w:p w14:paraId="345680F8" w14:textId="5D17F1DE" w:rsidR="00183777" w:rsidRPr="00825F64" w:rsidRDefault="00183777" w:rsidP="00515B58">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1a</w:t>
            </w:r>
          </w:p>
        </w:tc>
        <w:tc>
          <w:tcPr>
            <w:tcW w:w="2574" w:type="pct"/>
          </w:tcPr>
          <w:p w14:paraId="759E8A86" w14:textId="286C309B" w:rsidR="00183777" w:rsidRPr="00825F64" w:rsidRDefault="00C21575" w:rsidP="00515B58">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C</w:t>
            </w:r>
            <w:r w:rsidRPr="00C21575">
              <w:rPr>
                <w:rFonts w:ascii="Times New Roman" w:eastAsia="Times New Roman" w:hAnsi="Times New Roman" w:cs="Times New Roman"/>
                <w:color w:val="000000"/>
                <w:kern w:val="0"/>
                <w:lang w:eastAsia="ro-MD"/>
                <w14:ligatures w14:val="none"/>
              </w:rPr>
              <w:t>uantumul total al expunerii la risc înainte de aplicarea pragului minim</w:t>
            </w:r>
          </w:p>
        </w:tc>
        <w:tc>
          <w:tcPr>
            <w:tcW w:w="444" w:type="pct"/>
          </w:tcPr>
          <w:p w14:paraId="595200A0" w14:textId="77777777" w:rsidR="00183777" w:rsidRPr="00825F64" w:rsidRDefault="00183777" w:rsidP="00515B58">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5E352E1D" w14:textId="442B416C" w:rsidR="00183777" w:rsidRPr="00825F64" w:rsidRDefault="00183777" w:rsidP="00515B58">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x</w:t>
            </w:r>
          </w:p>
        </w:tc>
      </w:tr>
      <w:tr w:rsidR="00BA708E" w:rsidRPr="00825F64" w14:paraId="7B9E01CE" w14:textId="77777777" w:rsidTr="002B024E">
        <w:trPr>
          <w:tblCellSpacing w:w="0" w:type="dxa"/>
        </w:trPr>
        <w:tc>
          <w:tcPr>
            <w:tcW w:w="0" w:type="auto"/>
            <w:hideMark/>
          </w:tcPr>
          <w:p w14:paraId="195CFBFA"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0040</w:t>
            </w:r>
          </w:p>
        </w:tc>
        <w:tc>
          <w:tcPr>
            <w:tcW w:w="717" w:type="pct"/>
            <w:hideMark/>
          </w:tcPr>
          <w:p w14:paraId="1F3B6211"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1.1</w:t>
            </w:r>
          </w:p>
        </w:tc>
        <w:tc>
          <w:tcPr>
            <w:tcW w:w="2574" w:type="pct"/>
            <w:hideMark/>
          </w:tcPr>
          <w:p w14:paraId="442DDB26"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CUANTUMURILE PONDERATE LA RISC ALE EXPUNERILOR PENTRU RISCUL DE CREDIT, RISCUL DE CREDIT AL CONTRAPĂRȚII, RISCUL DE DIMINUARE A VALORII CREANȚEI ȘI TRANZACȚIILE INCOMPLETE</w:t>
            </w:r>
          </w:p>
        </w:tc>
        <w:tc>
          <w:tcPr>
            <w:tcW w:w="444" w:type="pct"/>
          </w:tcPr>
          <w:p w14:paraId="1AF014C6"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2E3D2AC1" w14:textId="1395E75A"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75E05D53" w14:textId="77777777" w:rsidTr="002B024E">
        <w:trPr>
          <w:tblCellSpacing w:w="0" w:type="dxa"/>
        </w:trPr>
        <w:tc>
          <w:tcPr>
            <w:tcW w:w="0" w:type="auto"/>
            <w:hideMark/>
          </w:tcPr>
          <w:p w14:paraId="77B837EA"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0050</w:t>
            </w:r>
          </w:p>
        </w:tc>
        <w:tc>
          <w:tcPr>
            <w:tcW w:w="717" w:type="pct"/>
            <w:hideMark/>
          </w:tcPr>
          <w:p w14:paraId="7146046A"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1.1.1</w:t>
            </w:r>
          </w:p>
        </w:tc>
        <w:tc>
          <w:tcPr>
            <w:tcW w:w="2574" w:type="pct"/>
            <w:hideMark/>
          </w:tcPr>
          <w:p w14:paraId="262452D1"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Abordarea standardizată (SA)</w:t>
            </w:r>
          </w:p>
        </w:tc>
        <w:tc>
          <w:tcPr>
            <w:tcW w:w="444" w:type="pct"/>
          </w:tcPr>
          <w:p w14:paraId="189BD364"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5A89DC96" w14:textId="78D93039"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71DF64B0" w14:textId="77777777" w:rsidTr="006F6C14">
        <w:trPr>
          <w:tblCellSpacing w:w="0" w:type="dxa"/>
        </w:trPr>
        <w:tc>
          <w:tcPr>
            <w:tcW w:w="0" w:type="auto"/>
            <w:hideMark/>
          </w:tcPr>
          <w:p w14:paraId="3B693C81"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0051</w:t>
            </w:r>
          </w:p>
        </w:tc>
        <w:tc>
          <w:tcPr>
            <w:tcW w:w="717" w:type="pct"/>
            <w:hideMark/>
          </w:tcPr>
          <w:p w14:paraId="4F42E460"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w:t>
            </w:r>
          </w:p>
        </w:tc>
        <w:tc>
          <w:tcPr>
            <w:tcW w:w="2574" w:type="pct"/>
            <w:hideMark/>
          </w:tcPr>
          <w:p w14:paraId="5440039A" w14:textId="66E2477C" w:rsidR="00BA708E" w:rsidRPr="00517985"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517985">
              <w:rPr>
                <w:rFonts w:ascii="Times New Roman" w:eastAsia="Times New Roman" w:hAnsi="Times New Roman" w:cs="Times New Roman"/>
                <w:color w:val="000000"/>
                <w:kern w:val="0"/>
                <w:lang w:eastAsia="ro-MD"/>
                <w14:ligatures w14:val="none"/>
              </w:rPr>
              <w:t xml:space="preserve">Din care: cerințe prudențiale suplimentare mai stricte </w:t>
            </w:r>
            <w:r w:rsidR="00517985" w:rsidRPr="00EA59DC">
              <w:rPr>
                <w:rStyle w:val="InstructionsTabelleberschrift"/>
                <w:rFonts w:ascii="Times New Roman" w:hAnsi="Times New Roman"/>
                <w:b w:val="0"/>
                <w:bCs w:val="0"/>
                <w:sz w:val="22"/>
                <w:u w:val="none"/>
              </w:rPr>
              <w:t>în baza punctelor 68</w:t>
            </w:r>
            <w:r w:rsidR="00517985" w:rsidRPr="00EA59DC">
              <w:rPr>
                <w:rStyle w:val="InstructionsTabelleberschrift"/>
                <w:rFonts w:ascii="Times New Roman" w:hAnsi="Times New Roman"/>
                <w:b w:val="0"/>
                <w:bCs w:val="0"/>
                <w:sz w:val="22"/>
                <w:u w:val="none"/>
                <w:vertAlign w:val="superscript"/>
              </w:rPr>
              <w:t>4</w:t>
            </w:r>
            <w:r w:rsidR="00517985" w:rsidRPr="00EA59DC">
              <w:rPr>
                <w:rStyle w:val="InstructionsTabelleberschrift"/>
                <w:rFonts w:ascii="Times New Roman" w:hAnsi="Times New Roman"/>
                <w:b w:val="0"/>
                <w:bCs w:val="0"/>
                <w:sz w:val="22"/>
                <w:u w:val="none"/>
              </w:rPr>
              <w:t xml:space="preserve"> – 68</w:t>
            </w:r>
            <w:r w:rsidR="00517985" w:rsidRPr="00EA59DC">
              <w:rPr>
                <w:rStyle w:val="InstructionsTabelleberschrift"/>
                <w:rFonts w:ascii="Times New Roman" w:hAnsi="Times New Roman"/>
                <w:b w:val="0"/>
                <w:bCs w:val="0"/>
                <w:sz w:val="22"/>
                <w:u w:val="none"/>
                <w:vertAlign w:val="superscript"/>
              </w:rPr>
              <w:t>9</w:t>
            </w:r>
            <w:r w:rsidR="00517985" w:rsidRPr="00EA59DC">
              <w:rPr>
                <w:rStyle w:val="InstructionsTabelleberschrift"/>
                <w:rFonts w:ascii="Times New Roman" w:hAnsi="Times New Roman"/>
                <w:b w:val="0"/>
                <w:bCs w:val="0"/>
                <w:sz w:val="22"/>
                <w:u w:val="none"/>
              </w:rPr>
              <w:t xml:space="preserve"> </w:t>
            </w:r>
            <w:r w:rsidR="00517985" w:rsidRPr="00EA59DC">
              <w:rPr>
                <w:rFonts w:ascii="Times New Roman" w:eastAsia="Times New Roman" w:hAnsi="Times New Roman" w:cs="Times New Roman"/>
                <w:color w:val="000000"/>
                <w:kern w:val="0"/>
                <w:lang w:eastAsia="ro-MD"/>
                <w14:ligatures w14:val="none"/>
              </w:rPr>
              <w:t>din Regulamentul nr. 111/2018</w:t>
            </w:r>
          </w:p>
        </w:tc>
        <w:tc>
          <w:tcPr>
            <w:tcW w:w="444" w:type="pct"/>
          </w:tcPr>
          <w:p w14:paraId="5B930027" w14:textId="3A1A3EBB" w:rsidR="00BA708E" w:rsidRPr="00825F64" w:rsidRDefault="00AA48A4"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x</w:t>
            </w:r>
          </w:p>
        </w:tc>
        <w:tc>
          <w:tcPr>
            <w:tcW w:w="0" w:type="auto"/>
            <w:hideMark/>
          </w:tcPr>
          <w:p w14:paraId="36D704C9" w14:textId="6475FDF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DC746A">
              <w:rPr>
                <w:rFonts w:ascii="Times New Roman" w:eastAsia="Times New Roman" w:hAnsi="Times New Roman" w:cs="Times New Roman"/>
                <w:color w:val="000000"/>
                <w:kern w:val="0"/>
                <w:lang w:eastAsia="ro-MD"/>
                <w14:ligatures w14:val="none"/>
              </w:rPr>
              <w:t>x</w:t>
            </w:r>
          </w:p>
        </w:tc>
      </w:tr>
      <w:tr w:rsidR="00BA708E" w:rsidRPr="00825F64" w14:paraId="666F2013" w14:textId="77777777" w:rsidTr="002B024E">
        <w:trPr>
          <w:tblCellSpacing w:w="0" w:type="dxa"/>
        </w:trPr>
        <w:tc>
          <w:tcPr>
            <w:tcW w:w="0" w:type="auto"/>
            <w:hideMark/>
          </w:tcPr>
          <w:p w14:paraId="2226B3B1"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0060</w:t>
            </w:r>
          </w:p>
        </w:tc>
        <w:tc>
          <w:tcPr>
            <w:tcW w:w="717" w:type="pct"/>
            <w:hideMark/>
          </w:tcPr>
          <w:p w14:paraId="41C85B9A"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w:t>
            </w:r>
          </w:p>
        </w:tc>
        <w:tc>
          <w:tcPr>
            <w:tcW w:w="2574" w:type="pct"/>
            <w:hideMark/>
          </w:tcPr>
          <w:p w14:paraId="3E6EF5AB"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Clasele de expuneri SA excluzând pozițiile din securitizare</w:t>
            </w:r>
          </w:p>
        </w:tc>
        <w:tc>
          <w:tcPr>
            <w:tcW w:w="444" w:type="pct"/>
          </w:tcPr>
          <w:p w14:paraId="250DA422"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41D368FA" w14:textId="102E89AC"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73BBC532" w14:textId="77777777" w:rsidTr="002B024E">
        <w:trPr>
          <w:tblCellSpacing w:w="0" w:type="dxa"/>
        </w:trPr>
        <w:tc>
          <w:tcPr>
            <w:tcW w:w="0" w:type="auto"/>
            <w:hideMark/>
          </w:tcPr>
          <w:p w14:paraId="502E7043"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0070</w:t>
            </w:r>
          </w:p>
        </w:tc>
        <w:tc>
          <w:tcPr>
            <w:tcW w:w="717" w:type="pct"/>
            <w:hideMark/>
          </w:tcPr>
          <w:p w14:paraId="2095A1BE"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1.1.1.1.01</w:t>
            </w:r>
          </w:p>
        </w:tc>
        <w:tc>
          <w:tcPr>
            <w:tcW w:w="2574" w:type="pct"/>
            <w:hideMark/>
          </w:tcPr>
          <w:p w14:paraId="276AC2FA"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Administrații centrale sau bănci centrale</w:t>
            </w:r>
          </w:p>
        </w:tc>
        <w:tc>
          <w:tcPr>
            <w:tcW w:w="444" w:type="pct"/>
          </w:tcPr>
          <w:p w14:paraId="1D1B9C55"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45C6B933" w14:textId="646443AE"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70D5FE80" w14:textId="77777777" w:rsidTr="002B024E">
        <w:trPr>
          <w:tblCellSpacing w:w="0" w:type="dxa"/>
        </w:trPr>
        <w:tc>
          <w:tcPr>
            <w:tcW w:w="0" w:type="auto"/>
            <w:hideMark/>
          </w:tcPr>
          <w:p w14:paraId="0589100B"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0080</w:t>
            </w:r>
          </w:p>
        </w:tc>
        <w:tc>
          <w:tcPr>
            <w:tcW w:w="717" w:type="pct"/>
            <w:hideMark/>
          </w:tcPr>
          <w:p w14:paraId="763939A7"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1.1.1.1.02</w:t>
            </w:r>
          </w:p>
        </w:tc>
        <w:tc>
          <w:tcPr>
            <w:tcW w:w="2574" w:type="pct"/>
            <w:hideMark/>
          </w:tcPr>
          <w:p w14:paraId="0C65BCB3"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Administrații regionale sau autorități locale</w:t>
            </w:r>
          </w:p>
        </w:tc>
        <w:tc>
          <w:tcPr>
            <w:tcW w:w="444" w:type="pct"/>
          </w:tcPr>
          <w:p w14:paraId="5E49D8C4"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3604CA69" w14:textId="75854CE3"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1CE4A65E" w14:textId="77777777" w:rsidTr="002B024E">
        <w:trPr>
          <w:tblCellSpacing w:w="0" w:type="dxa"/>
        </w:trPr>
        <w:tc>
          <w:tcPr>
            <w:tcW w:w="0" w:type="auto"/>
            <w:hideMark/>
          </w:tcPr>
          <w:p w14:paraId="5C9164F7"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0090</w:t>
            </w:r>
          </w:p>
        </w:tc>
        <w:tc>
          <w:tcPr>
            <w:tcW w:w="717" w:type="pct"/>
            <w:hideMark/>
          </w:tcPr>
          <w:p w14:paraId="50DB4A4C"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1.1.1.1.03</w:t>
            </w:r>
          </w:p>
        </w:tc>
        <w:tc>
          <w:tcPr>
            <w:tcW w:w="2574" w:type="pct"/>
            <w:hideMark/>
          </w:tcPr>
          <w:p w14:paraId="07BE150A"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Entități din sectorul public</w:t>
            </w:r>
          </w:p>
        </w:tc>
        <w:tc>
          <w:tcPr>
            <w:tcW w:w="444" w:type="pct"/>
          </w:tcPr>
          <w:p w14:paraId="76DFB007"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2239C26D" w14:textId="15E3A923"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0B3A5AAE" w14:textId="77777777" w:rsidTr="002B024E">
        <w:trPr>
          <w:tblCellSpacing w:w="0" w:type="dxa"/>
        </w:trPr>
        <w:tc>
          <w:tcPr>
            <w:tcW w:w="0" w:type="auto"/>
            <w:hideMark/>
          </w:tcPr>
          <w:p w14:paraId="0ACF24AA"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0100</w:t>
            </w:r>
          </w:p>
        </w:tc>
        <w:tc>
          <w:tcPr>
            <w:tcW w:w="717" w:type="pct"/>
            <w:hideMark/>
          </w:tcPr>
          <w:p w14:paraId="47BE504B"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1.1.1.1.04</w:t>
            </w:r>
          </w:p>
        </w:tc>
        <w:tc>
          <w:tcPr>
            <w:tcW w:w="2574" w:type="pct"/>
            <w:hideMark/>
          </w:tcPr>
          <w:p w14:paraId="6B1B3279"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Bănci multilaterale de dezvoltare</w:t>
            </w:r>
          </w:p>
        </w:tc>
        <w:tc>
          <w:tcPr>
            <w:tcW w:w="444" w:type="pct"/>
          </w:tcPr>
          <w:p w14:paraId="5126CB57"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0D6C3503" w14:textId="59DC632E"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37555E56" w14:textId="77777777" w:rsidTr="002B024E">
        <w:trPr>
          <w:tblCellSpacing w:w="0" w:type="dxa"/>
        </w:trPr>
        <w:tc>
          <w:tcPr>
            <w:tcW w:w="0" w:type="auto"/>
            <w:hideMark/>
          </w:tcPr>
          <w:p w14:paraId="58B58D97"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0110</w:t>
            </w:r>
          </w:p>
        </w:tc>
        <w:tc>
          <w:tcPr>
            <w:tcW w:w="717" w:type="pct"/>
            <w:hideMark/>
          </w:tcPr>
          <w:p w14:paraId="4805C587"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1.1.1.1.05</w:t>
            </w:r>
          </w:p>
        </w:tc>
        <w:tc>
          <w:tcPr>
            <w:tcW w:w="2574" w:type="pct"/>
            <w:hideMark/>
          </w:tcPr>
          <w:p w14:paraId="2077A68F"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Organizații internaționale</w:t>
            </w:r>
          </w:p>
        </w:tc>
        <w:tc>
          <w:tcPr>
            <w:tcW w:w="444" w:type="pct"/>
          </w:tcPr>
          <w:p w14:paraId="1D1E2EFC"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293D7F9C" w14:textId="76D5AFC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367E9B67" w14:textId="77777777" w:rsidTr="002B024E">
        <w:trPr>
          <w:tblCellSpacing w:w="0" w:type="dxa"/>
        </w:trPr>
        <w:tc>
          <w:tcPr>
            <w:tcW w:w="0" w:type="auto"/>
            <w:hideMark/>
          </w:tcPr>
          <w:p w14:paraId="6110DAD6"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0120</w:t>
            </w:r>
          </w:p>
        </w:tc>
        <w:tc>
          <w:tcPr>
            <w:tcW w:w="717" w:type="pct"/>
            <w:hideMark/>
          </w:tcPr>
          <w:p w14:paraId="5EA83C86"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1.1.1.1.06</w:t>
            </w:r>
          </w:p>
        </w:tc>
        <w:tc>
          <w:tcPr>
            <w:tcW w:w="2574" w:type="pct"/>
            <w:hideMark/>
          </w:tcPr>
          <w:p w14:paraId="7726D963" w14:textId="3B2893BA"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Bănci</w:t>
            </w:r>
          </w:p>
        </w:tc>
        <w:tc>
          <w:tcPr>
            <w:tcW w:w="444" w:type="pct"/>
          </w:tcPr>
          <w:p w14:paraId="706A5436"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286E9CB5" w14:textId="7EC55DD9"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6F6C14" w14:paraId="0AE7AB23" w14:textId="77777777" w:rsidTr="006F6C14">
        <w:trPr>
          <w:tblCellSpacing w:w="0" w:type="dxa"/>
        </w:trPr>
        <w:tc>
          <w:tcPr>
            <w:tcW w:w="0" w:type="auto"/>
          </w:tcPr>
          <w:p w14:paraId="1B52ADEB" w14:textId="1BA60FEC"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0125</w:t>
            </w:r>
          </w:p>
        </w:tc>
        <w:tc>
          <w:tcPr>
            <w:tcW w:w="717" w:type="pct"/>
          </w:tcPr>
          <w:p w14:paraId="4DE6D142" w14:textId="2E1EA5A4" w:rsidR="00BA708E" w:rsidRPr="006F6C14" w:rsidRDefault="00BA708E" w:rsidP="00BA708E">
            <w:pPr>
              <w:spacing w:before="100" w:beforeAutospacing="1" w:after="100" w:afterAutospacing="1" w:line="240" w:lineRule="auto"/>
              <w:rPr>
                <w:rFonts w:ascii="Times New Roman" w:eastAsia="Times New Roman" w:hAnsi="Times New Roman" w:cs="Times New Roman"/>
                <w:b/>
                <w:color w:val="000000"/>
                <w:kern w:val="0"/>
                <w:lang w:eastAsia="ro-MD"/>
                <w14:ligatures w14:val="none"/>
              </w:rPr>
            </w:pPr>
            <w:r w:rsidRPr="006F6C14">
              <w:rPr>
                <w:rStyle w:val="InstructionsTabelleberschrift"/>
                <w:rFonts w:ascii="Times New Roman" w:hAnsi="Times New Roman"/>
                <w:b w:val="0"/>
                <w:bCs w:val="0"/>
                <w:sz w:val="22"/>
                <w:u w:val="none"/>
              </w:rPr>
              <w:t>1.1.1.1.07a</w:t>
            </w:r>
          </w:p>
        </w:tc>
        <w:tc>
          <w:tcPr>
            <w:tcW w:w="2574" w:type="pct"/>
          </w:tcPr>
          <w:p w14:paraId="2AF6B65B" w14:textId="68C56010" w:rsidR="00BA708E" w:rsidRPr="006F6C14" w:rsidDel="00541213" w:rsidRDefault="00BA708E" w:rsidP="00BA708E">
            <w:pPr>
              <w:spacing w:before="100" w:beforeAutospacing="1" w:after="100" w:afterAutospacing="1" w:line="240" w:lineRule="auto"/>
              <w:rPr>
                <w:rFonts w:ascii="Times New Roman" w:eastAsia="Times New Roman" w:hAnsi="Times New Roman" w:cs="Times New Roman"/>
                <w:b/>
                <w:color w:val="000000"/>
                <w:kern w:val="0"/>
                <w:lang w:eastAsia="ro-MD"/>
                <w14:ligatures w14:val="none"/>
              </w:rPr>
            </w:pPr>
            <w:r w:rsidRPr="006F6C14">
              <w:rPr>
                <w:rStyle w:val="InstructionsTabelleberschrift"/>
                <w:rFonts w:ascii="Times New Roman" w:hAnsi="Times New Roman"/>
                <w:b w:val="0"/>
                <w:bCs w:val="0"/>
                <w:sz w:val="22"/>
                <w:u w:val="none"/>
              </w:rPr>
              <w:t>Societăți – Altele</w:t>
            </w:r>
          </w:p>
        </w:tc>
        <w:tc>
          <w:tcPr>
            <w:tcW w:w="444" w:type="pct"/>
          </w:tcPr>
          <w:p w14:paraId="017DA786"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55BE91AE" w14:textId="74AE5812"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01335774" w14:textId="77777777" w:rsidTr="002B024E">
        <w:trPr>
          <w:tblCellSpacing w:w="0" w:type="dxa"/>
        </w:trPr>
        <w:tc>
          <w:tcPr>
            <w:tcW w:w="0" w:type="auto"/>
            <w:hideMark/>
          </w:tcPr>
          <w:p w14:paraId="321C9B7B" w14:textId="73082D05"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0131</w:t>
            </w:r>
          </w:p>
        </w:tc>
        <w:tc>
          <w:tcPr>
            <w:tcW w:w="717" w:type="pct"/>
            <w:hideMark/>
          </w:tcPr>
          <w:p w14:paraId="0E858817" w14:textId="2C7C044C"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1.1.1.1.07b</w:t>
            </w:r>
          </w:p>
        </w:tc>
        <w:tc>
          <w:tcPr>
            <w:tcW w:w="2574" w:type="pct"/>
            <w:hideMark/>
          </w:tcPr>
          <w:p w14:paraId="33C29BFE" w14:textId="7EB153E4"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Societăți – Finanțări specializate</w:t>
            </w:r>
          </w:p>
        </w:tc>
        <w:tc>
          <w:tcPr>
            <w:tcW w:w="444" w:type="pct"/>
          </w:tcPr>
          <w:p w14:paraId="5DC6A9E2"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4BE73D9C" w14:textId="5F75AFAF"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33F5B390" w14:textId="77777777" w:rsidTr="002B024E">
        <w:trPr>
          <w:tblCellSpacing w:w="0" w:type="dxa"/>
        </w:trPr>
        <w:tc>
          <w:tcPr>
            <w:tcW w:w="0" w:type="auto"/>
            <w:hideMark/>
          </w:tcPr>
          <w:p w14:paraId="29AE9F16"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0140</w:t>
            </w:r>
          </w:p>
        </w:tc>
        <w:tc>
          <w:tcPr>
            <w:tcW w:w="717" w:type="pct"/>
            <w:hideMark/>
          </w:tcPr>
          <w:p w14:paraId="2B19CD56"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1.1.1.1.08</w:t>
            </w:r>
          </w:p>
        </w:tc>
        <w:tc>
          <w:tcPr>
            <w:tcW w:w="2574" w:type="pct"/>
            <w:hideMark/>
          </w:tcPr>
          <w:p w14:paraId="17E72005"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Retail</w:t>
            </w:r>
          </w:p>
        </w:tc>
        <w:tc>
          <w:tcPr>
            <w:tcW w:w="444" w:type="pct"/>
          </w:tcPr>
          <w:p w14:paraId="4E5ACC7B"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18C40B64" w14:textId="40E1C43C"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1CF9491D" w14:textId="77777777" w:rsidTr="002B024E">
        <w:trPr>
          <w:tblCellSpacing w:w="0" w:type="dxa"/>
        </w:trPr>
        <w:tc>
          <w:tcPr>
            <w:tcW w:w="0" w:type="auto"/>
            <w:hideMark/>
          </w:tcPr>
          <w:p w14:paraId="73F66E4B"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0150</w:t>
            </w:r>
          </w:p>
        </w:tc>
        <w:tc>
          <w:tcPr>
            <w:tcW w:w="717" w:type="pct"/>
            <w:hideMark/>
          </w:tcPr>
          <w:p w14:paraId="4FF226AC"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1.1.1.1.09</w:t>
            </w:r>
          </w:p>
        </w:tc>
        <w:tc>
          <w:tcPr>
            <w:tcW w:w="2574" w:type="pct"/>
            <w:hideMark/>
          </w:tcPr>
          <w:p w14:paraId="17C27A9D" w14:textId="6ADC500D"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 xml:space="preserve">Expuneri garantate cu ipoteci asupra bunurilor imobile și </w:t>
            </w:r>
            <w:r w:rsidR="00DD6689" w:rsidRPr="00EA59DC">
              <w:rPr>
                <w:rFonts w:ascii="Times New Roman" w:eastAsia="Times New Roman" w:hAnsi="Times New Roman" w:cs="Times New Roman"/>
                <w:color w:val="000000"/>
                <w:kern w:val="0"/>
                <w:lang w:eastAsia="ro-MD"/>
                <w14:ligatures w14:val="none"/>
              </w:rPr>
              <w:t>expuneri aferente achizițiilor de terenuri, dezvoltării și construcțiilor</w:t>
            </w:r>
            <w:r w:rsidR="00DD6689" w:rsidRPr="00EA59DC">
              <w:rPr>
                <w:rFonts w:ascii="Times New Roman" w:hAnsi="Times New Roman" w:cs="Times New Roman"/>
              </w:rPr>
              <w:t xml:space="preserve"> (în continuare  - </w:t>
            </w:r>
            <w:r w:rsidRPr="00517985">
              <w:rPr>
                <w:rFonts w:ascii="Times New Roman" w:eastAsia="Times New Roman" w:hAnsi="Times New Roman" w:cs="Times New Roman"/>
                <w:color w:val="000000"/>
                <w:kern w:val="0"/>
                <w:lang w:eastAsia="ro-MD"/>
                <w14:ligatures w14:val="none"/>
              </w:rPr>
              <w:t>expuneri ADC</w:t>
            </w:r>
            <w:r w:rsidR="00DD6689" w:rsidRPr="00517985">
              <w:rPr>
                <w:rFonts w:ascii="Times New Roman" w:eastAsia="Times New Roman" w:hAnsi="Times New Roman" w:cs="Times New Roman"/>
                <w:color w:val="000000"/>
                <w:kern w:val="0"/>
                <w:lang w:eastAsia="ro-MD"/>
                <w14:ligatures w14:val="none"/>
              </w:rPr>
              <w:t>)</w:t>
            </w:r>
          </w:p>
        </w:tc>
        <w:tc>
          <w:tcPr>
            <w:tcW w:w="444" w:type="pct"/>
          </w:tcPr>
          <w:p w14:paraId="5A98CB6C"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1AE6A29E" w14:textId="30320EB6"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2F3E519D" w14:textId="77777777" w:rsidTr="006F6C14">
        <w:trPr>
          <w:tblCellSpacing w:w="0" w:type="dxa"/>
        </w:trPr>
        <w:tc>
          <w:tcPr>
            <w:tcW w:w="0" w:type="auto"/>
          </w:tcPr>
          <w:p w14:paraId="2119CC97" w14:textId="2902BFEB"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0151</w:t>
            </w:r>
          </w:p>
        </w:tc>
        <w:tc>
          <w:tcPr>
            <w:tcW w:w="717" w:type="pct"/>
          </w:tcPr>
          <w:p w14:paraId="75CA80BD" w14:textId="12BAAF3F"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1.1.1.1.09.1</w:t>
            </w:r>
          </w:p>
        </w:tc>
        <w:tc>
          <w:tcPr>
            <w:tcW w:w="2574" w:type="pct"/>
          </w:tcPr>
          <w:p w14:paraId="74B9C23A" w14:textId="6380D6B0"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 xml:space="preserve">Expuneri garantate cu ipoteci asupra bunurilor imobile locative – </w:t>
            </w:r>
            <w:r w:rsidR="0070642C" w:rsidRPr="004C6826">
              <w:rPr>
                <w:rFonts w:ascii="Times New Roman" w:hAnsi="Times New Roman" w:cs="Times New Roman"/>
              </w:rPr>
              <w:t>bunuri imobile care nu generează venituri</w:t>
            </w:r>
            <w:r w:rsidR="0070642C">
              <w:rPr>
                <w:rFonts w:ascii="Times New Roman" w:hAnsi="Times New Roman" w:cs="Times New Roman"/>
              </w:rPr>
              <w:t xml:space="preserve"> (în continuare</w:t>
            </w:r>
            <w:r w:rsidR="0070642C" w:rsidRPr="00825F64">
              <w:rPr>
                <w:rFonts w:ascii="Times New Roman" w:eastAsia="Times New Roman" w:hAnsi="Times New Roman" w:cs="Times New Roman"/>
                <w:color w:val="000000"/>
                <w:kern w:val="0"/>
                <w:lang w:eastAsia="ro-MD"/>
                <w14:ligatures w14:val="none"/>
              </w:rPr>
              <w:t xml:space="preserve"> </w:t>
            </w:r>
            <w:r w:rsidRPr="00825F64">
              <w:rPr>
                <w:rFonts w:ascii="Times New Roman" w:eastAsia="Times New Roman" w:hAnsi="Times New Roman" w:cs="Times New Roman"/>
                <w:color w:val="000000"/>
                <w:kern w:val="0"/>
                <w:lang w:eastAsia="ro-MD"/>
                <w14:ligatures w14:val="none"/>
              </w:rPr>
              <w:t>non-IPRE</w:t>
            </w:r>
            <w:r w:rsidR="0070642C">
              <w:rPr>
                <w:rFonts w:ascii="Times New Roman" w:eastAsia="Times New Roman" w:hAnsi="Times New Roman" w:cs="Times New Roman"/>
                <w:color w:val="000000"/>
                <w:kern w:val="0"/>
                <w:lang w:eastAsia="ro-MD"/>
                <w14:ligatures w14:val="none"/>
              </w:rPr>
              <w:t xml:space="preserve">) </w:t>
            </w:r>
            <w:r w:rsidRPr="00825F64">
              <w:rPr>
                <w:rFonts w:ascii="Times New Roman" w:eastAsia="Times New Roman" w:hAnsi="Times New Roman" w:cs="Times New Roman"/>
                <w:color w:val="000000"/>
                <w:kern w:val="0"/>
                <w:lang w:eastAsia="ro-MD"/>
                <w14:ligatures w14:val="none"/>
              </w:rPr>
              <w:t>(garantate)</w:t>
            </w:r>
          </w:p>
        </w:tc>
        <w:tc>
          <w:tcPr>
            <w:tcW w:w="444" w:type="pct"/>
          </w:tcPr>
          <w:p w14:paraId="29BF8774"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155D16BF" w14:textId="0B6B1896"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4B4863E9" w14:textId="77777777" w:rsidTr="006F6C14">
        <w:trPr>
          <w:tblCellSpacing w:w="0" w:type="dxa"/>
        </w:trPr>
        <w:tc>
          <w:tcPr>
            <w:tcW w:w="0" w:type="auto"/>
          </w:tcPr>
          <w:p w14:paraId="572E88D9" w14:textId="01D2760F"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0152</w:t>
            </w:r>
          </w:p>
        </w:tc>
        <w:tc>
          <w:tcPr>
            <w:tcW w:w="717" w:type="pct"/>
          </w:tcPr>
          <w:p w14:paraId="2F44DAFA" w14:textId="3A42BA8B"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1.1.1.1.09.2</w:t>
            </w:r>
          </w:p>
        </w:tc>
        <w:tc>
          <w:tcPr>
            <w:tcW w:w="2574" w:type="pct"/>
          </w:tcPr>
          <w:p w14:paraId="7F91831B" w14:textId="4B081730"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Expuneri garantate cu ipoteci asupra bunurilor imobile locative – non-IPRE (negarantate)</w:t>
            </w:r>
          </w:p>
        </w:tc>
        <w:tc>
          <w:tcPr>
            <w:tcW w:w="444" w:type="pct"/>
          </w:tcPr>
          <w:p w14:paraId="578BED68"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0C5F9E4B" w14:textId="269AFC60"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6F6C14" w14:paraId="2DED12CA" w14:textId="77777777" w:rsidTr="006F6C14">
        <w:trPr>
          <w:tblCellSpacing w:w="0" w:type="dxa"/>
        </w:trPr>
        <w:tc>
          <w:tcPr>
            <w:tcW w:w="0" w:type="auto"/>
          </w:tcPr>
          <w:p w14:paraId="40F704C4" w14:textId="787C6BD8"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0153</w:t>
            </w:r>
          </w:p>
        </w:tc>
        <w:tc>
          <w:tcPr>
            <w:tcW w:w="717" w:type="pct"/>
          </w:tcPr>
          <w:p w14:paraId="5F7EAC4B" w14:textId="10482A24"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1.1.1.1.09.3</w:t>
            </w:r>
          </w:p>
        </w:tc>
        <w:tc>
          <w:tcPr>
            <w:tcW w:w="2574" w:type="pct"/>
          </w:tcPr>
          <w:p w14:paraId="19A491F7" w14:textId="211DA561"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6F6C14">
              <w:rPr>
                <w:rFonts w:ascii="Times New Roman" w:eastAsia="Times New Roman" w:hAnsi="Times New Roman" w:cs="Times New Roman"/>
                <w:color w:val="000000"/>
                <w:kern w:val="0"/>
                <w:lang w:eastAsia="ro-MD"/>
                <w14:ligatures w14:val="none"/>
              </w:rPr>
              <w:t>Expuneri garantate cu ipoteci asupra bunurilor imobile locative – altele – non-IPRE</w:t>
            </w:r>
          </w:p>
        </w:tc>
        <w:tc>
          <w:tcPr>
            <w:tcW w:w="444" w:type="pct"/>
          </w:tcPr>
          <w:p w14:paraId="0F079C8D"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5980669A" w14:textId="22D0A619"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6F6C14" w14:paraId="53559CD1" w14:textId="77777777" w:rsidTr="006F6C14">
        <w:trPr>
          <w:tblCellSpacing w:w="0" w:type="dxa"/>
        </w:trPr>
        <w:tc>
          <w:tcPr>
            <w:tcW w:w="0" w:type="auto"/>
          </w:tcPr>
          <w:p w14:paraId="22D54498" w14:textId="28C5FD90"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0154</w:t>
            </w:r>
          </w:p>
        </w:tc>
        <w:tc>
          <w:tcPr>
            <w:tcW w:w="717" w:type="pct"/>
          </w:tcPr>
          <w:p w14:paraId="6AB53D61" w14:textId="7B1B4DAE"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1.1.1.1.09.4</w:t>
            </w:r>
          </w:p>
        </w:tc>
        <w:tc>
          <w:tcPr>
            <w:tcW w:w="2574" w:type="pct"/>
          </w:tcPr>
          <w:p w14:paraId="46009AFD" w14:textId="79A49701"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6F6C14">
              <w:rPr>
                <w:rStyle w:val="InstructionsTabelleberschrift"/>
                <w:rFonts w:ascii="Times New Roman" w:hAnsi="Times New Roman"/>
                <w:b w:val="0"/>
                <w:bCs w:val="0"/>
                <w:sz w:val="22"/>
                <w:u w:val="none"/>
              </w:rPr>
              <w:t xml:space="preserve">Expuneri garantate cu ipoteci asupra bunurilor imobile locative – </w:t>
            </w:r>
            <w:r w:rsidR="0070642C" w:rsidRPr="004C6826">
              <w:rPr>
                <w:rFonts w:ascii="Times New Roman" w:hAnsi="Times New Roman" w:cs="Times New Roman"/>
              </w:rPr>
              <w:t>bunuri imobile care generează venituri</w:t>
            </w:r>
            <w:r w:rsidR="0070642C" w:rsidRPr="00814E0D">
              <w:rPr>
                <w:rStyle w:val="InstructionsTabelleberschrift"/>
                <w:rFonts w:ascii="Times New Roman" w:hAnsi="Times New Roman"/>
                <w:b w:val="0"/>
                <w:bCs w:val="0"/>
                <w:sz w:val="22"/>
                <w:u w:val="none"/>
              </w:rPr>
              <w:t xml:space="preserve"> </w:t>
            </w:r>
            <w:r w:rsidR="0070642C">
              <w:rPr>
                <w:rStyle w:val="InstructionsTabelleberschrift"/>
                <w:rFonts w:ascii="Times New Roman" w:hAnsi="Times New Roman"/>
                <w:b w:val="0"/>
                <w:bCs w:val="0"/>
                <w:sz w:val="22"/>
                <w:u w:val="none"/>
              </w:rPr>
              <w:t xml:space="preserve">(în continuare </w:t>
            </w:r>
            <w:r w:rsidRPr="00814E0D">
              <w:rPr>
                <w:rStyle w:val="InstructionsTabelleberschrift"/>
                <w:rFonts w:ascii="Times New Roman" w:hAnsi="Times New Roman"/>
                <w:b w:val="0"/>
                <w:bCs w:val="0"/>
                <w:sz w:val="22"/>
                <w:u w:val="none"/>
              </w:rPr>
              <w:t>IPRE</w:t>
            </w:r>
            <w:r w:rsidR="00814E0D" w:rsidRPr="00EA59DC">
              <w:rPr>
                <w:rFonts w:ascii="Times New Roman" w:hAnsi="Times New Roman" w:cs="Times New Roman"/>
              </w:rPr>
              <w:t>)</w:t>
            </w:r>
          </w:p>
        </w:tc>
        <w:tc>
          <w:tcPr>
            <w:tcW w:w="444" w:type="pct"/>
          </w:tcPr>
          <w:p w14:paraId="4D428B5A"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2046B334" w14:textId="3980E1E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6F6C14" w14:paraId="7B71AD63" w14:textId="77777777" w:rsidTr="006F6C14">
        <w:trPr>
          <w:tblCellSpacing w:w="0" w:type="dxa"/>
        </w:trPr>
        <w:tc>
          <w:tcPr>
            <w:tcW w:w="0" w:type="auto"/>
          </w:tcPr>
          <w:p w14:paraId="13AB2AD5" w14:textId="03524FAE"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0155</w:t>
            </w:r>
          </w:p>
        </w:tc>
        <w:tc>
          <w:tcPr>
            <w:tcW w:w="717" w:type="pct"/>
          </w:tcPr>
          <w:p w14:paraId="2896EEB8" w14:textId="30F034DD"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1.1.1.1.09.5</w:t>
            </w:r>
          </w:p>
        </w:tc>
        <w:tc>
          <w:tcPr>
            <w:tcW w:w="2574" w:type="pct"/>
          </w:tcPr>
          <w:p w14:paraId="4150CB4E" w14:textId="292A176E"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6F6C14">
              <w:rPr>
                <w:rStyle w:val="InstructionsTabelleberschrift"/>
                <w:rFonts w:ascii="Times New Roman" w:hAnsi="Times New Roman"/>
                <w:b w:val="0"/>
                <w:bCs w:val="0"/>
                <w:sz w:val="22"/>
                <w:u w:val="none"/>
              </w:rPr>
              <w:t>Expuneri garantate cu ipoteci asupra bunurilor imobile locative – altele – IPRE</w:t>
            </w:r>
          </w:p>
        </w:tc>
        <w:tc>
          <w:tcPr>
            <w:tcW w:w="444" w:type="pct"/>
          </w:tcPr>
          <w:p w14:paraId="5AF2FED6"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53944D98" w14:textId="20672613"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6F6C14" w14:paraId="442A6936" w14:textId="77777777" w:rsidTr="006F6C14">
        <w:trPr>
          <w:tblCellSpacing w:w="0" w:type="dxa"/>
        </w:trPr>
        <w:tc>
          <w:tcPr>
            <w:tcW w:w="0" w:type="auto"/>
          </w:tcPr>
          <w:p w14:paraId="7A20714A" w14:textId="19A3E1AF"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0156</w:t>
            </w:r>
          </w:p>
        </w:tc>
        <w:tc>
          <w:tcPr>
            <w:tcW w:w="717" w:type="pct"/>
          </w:tcPr>
          <w:p w14:paraId="49A70E6E" w14:textId="5378C86F"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1.1.1.1.09.6</w:t>
            </w:r>
          </w:p>
        </w:tc>
        <w:tc>
          <w:tcPr>
            <w:tcW w:w="2574" w:type="pct"/>
          </w:tcPr>
          <w:p w14:paraId="28E17731" w14:textId="5EFF8676"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6F6C14">
              <w:rPr>
                <w:rStyle w:val="InstructionsTabelleberschrift"/>
                <w:rFonts w:ascii="Times New Roman" w:hAnsi="Times New Roman"/>
                <w:b w:val="0"/>
                <w:bCs w:val="0"/>
                <w:sz w:val="22"/>
                <w:u w:val="none"/>
              </w:rPr>
              <w:t>Expuneri garantate cu ipoteci asupra bunurilor imobile comerciale – non-IPRE (garantate)</w:t>
            </w:r>
          </w:p>
        </w:tc>
        <w:tc>
          <w:tcPr>
            <w:tcW w:w="444" w:type="pct"/>
          </w:tcPr>
          <w:p w14:paraId="7954C861"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6CA6557C" w14:textId="302C617F"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6F6C14" w14:paraId="5E470B94" w14:textId="77777777" w:rsidTr="006F6C14">
        <w:trPr>
          <w:tblCellSpacing w:w="0" w:type="dxa"/>
        </w:trPr>
        <w:tc>
          <w:tcPr>
            <w:tcW w:w="0" w:type="auto"/>
          </w:tcPr>
          <w:p w14:paraId="14EACDC0" w14:textId="4AF54E01"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0157</w:t>
            </w:r>
          </w:p>
        </w:tc>
        <w:tc>
          <w:tcPr>
            <w:tcW w:w="717" w:type="pct"/>
          </w:tcPr>
          <w:p w14:paraId="0EE3EE1C" w14:textId="0A4B275F"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1.1.1.1.09.7</w:t>
            </w:r>
          </w:p>
        </w:tc>
        <w:tc>
          <w:tcPr>
            <w:tcW w:w="2574" w:type="pct"/>
          </w:tcPr>
          <w:p w14:paraId="593253DB" w14:textId="62877F1C" w:rsidR="00BA708E" w:rsidRPr="002B024E" w:rsidRDefault="00BA708E" w:rsidP="00A84D2B">
            <w:pPr>
              <w:pStyle w:val="InstructionsText"/>
              <w:rPr>
                <w:b/>
              </w:rPr>
            </w:pPr>
            <w:r w:rsidRPr="00811389">
              <w:rPr>
                <w:rStyle w:val="InstructionsTabelleberschrift"/>
                <w:rFonts w:ascii="Times New Roman" w:hAnsi="Times New Roman"/>
                <w:b w:val="0"/>
                <w:bCs w:val="0"/>
                <w:sz w:val="22"/>
                <w:u w:val="none"/>
              </w:rPr>
              <w:t>Expuneri garantate cu ipoteci asupra bunurilor imobile comerciale – non-IPRE (negarantate)</w:t>
            </w:r>
          </w:p>
        </w:tc>
        <w:tc>
          <w:tcPr>
            <w:tcW w:w="444" w:type="pct"/>
          </w:tcPr>
          <w:p w14:paraId="1C435E18"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7AC7CE6C" w14:textId="31A520A0"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6F6C14" w14:paraId="52C2306D" w14:textId="77777777" w:rsidTr="006F6C14">
        <w:trPr>
          <w:tblCellSpacing w:w="0" w:type="dxa"/>
        </w:trPr>
        <w:tc>
          <w:tcPr>
            <w:tcW w:w="0" w:type="auto"/>
          </w:tcPr>
          <w:p w14:paraId="0C19B9A6" w14:textId="097F0470"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0158</w:t>
            </w:r>
          </w:p>
        </w:tc>
        <w:tc>
          <w:tcPr>
            <w:tcW w:w="717" w:type="pct"/>
          </w:tcPr>
          <w:p w14:paraId="51F3CC14" w14:textId="7E39BA06"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1.1.1.1.09.8</w:t>
            </w:r>
          </w:p>
        </w:tc>
        <w:tc>
          <w:tcPr>
            <w:tcW w:w="2574" w:type="pct"/>
          </w:tcPr>
          <w:p w14:paraId="10E8ECA4" w14:textId="2789906E" w:rsidR="00BA708E" w:rsidRPr="002B024E" w:rsidRDefault="00BA708E" w:rsidP="00A84D2B">
            <w:pPr>
              <w:pStyle w:val="InstructionsText"/>
              <w:rPr>
                <w:b/>
              </w:rPr>
            </w:pPr>
            <w:r w:rsidRPr="00811389">
              <w:rPr>
                <w:rStyle w:val="InstructionsTabelleberschrift"/>
                <w:rFonts w:ascii="Times New Roman" w:hAnsi="Times New Roman"/>
                <w:b w:val="0"/>
                <w:bCs w:val="0"/>
                <w:sz w:val="22"/>
                <w:u w:val="none"/>
              </w:rPr>
              <w:t>Expuneri garantate cu ipoteci asupra bunurilor imobile comerciale – altele – non-IPRE</w:t>
            </w:r>
          </w:p>
        </w:tc>
        <w:tc>
          <w:tcPr>
            <w:tcW w:w="444" w:type="pct"/>
          </w:tcPr>
          <w:p w14:paraId="6EA06B26"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52CB0D18" w14:textId="26E16BA6"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6F6C14" w14:paraId="4DC21A7D" w14:textId="77777777" w:rsidTr="006F6C14">
        <w:trPr>
          <w:tblCellSpacing w:w="0" w:type="dxa"/>
        </w:trPr>
        <w:tc>
          <w:tcPr>
            <w:tcW w:w="0" w:type="auto"/>
          </w:tcPr>
          <w:p w14:paraId="59AE76B1" w14:textId="1D1DE766"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0159</w:t>
            </w:r>
          </w:p>
        </w:tc>
        <w:tc>
          <w:tcPr>
            <w:tcW w:w="717" w:type="pct"/>
          </w:tcPr>
          <w:p w14:paraId="150C58D1" w14:textId="10B55F03"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1.1.1.1.09.9</w:t>
            </w:r>
          </w:p>
        </w:tc>
        <w:tc>
          <w:tcPr>
            <w:tcW w:w="2574" w:type="pct"/>
          </w:tcPr>
          <w:p w14:paraId="15B80EB6" w14:textId="7D6B9D47" w:rsidR="00BA708E" w:rsidRPr="002B024E" w:rsidRDefault="00BA708E" w:rsidP="00A84D2B">
            <w:pPr>
              <w:pStyle w:val="InstructionsText"/>
              <w:rPr>
                <w:b/>
              </w:rPr>
            </w:pPr>
            <w:r w:rsidRPr="00811389">
              <w:rPr>
                <w:rStyle w:val="InstructionsTabelleberschrift"/>
                <w:rFonts w:ascii="Times New Roman" w:hAnsi="Times New Roman"/>
                <w:b w:val="0"/>
                <w:bCs w:val="0"/>
                <w:sz w:val="22"/>
                <w:u w:val="none"/>
              </w:rPr>
              <w:t>Expuneri garantate cu ipoteci asupra bunurilor imobile comerciale –- IPRE</w:t>
            </w:r>
          </w:p>
        </w:tc>
        <w:tc>
          <w:tcPr>
            <w:tcW w:w="444" w:type="pct"/>
          </w:tcPr>
          <w:p w14:paraId="52AA9FED"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51192C37" w14:textId="30EB8AC2"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6F6C14" w14:paraId="35989652" w14:textId="77777777" w:rsidTr="006F6C14">
        <w:trPr>
          <w:tblCellSpacing w:w="0" w:type="dxa"/>
        </w:trPr>
        <w:tc>
          <w:tcPr>
            <w:tcW w:w="0" w:type="auto"/>
          </w:tcPr>
          <w:p w14:paraId="335D67A9" w14:textId="27B40DEB"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0900</w:t>
            </w:r>
          </w:p>
        </w:tc>
        <w:tc>
          <w:tcPr>
            <w:tcW w:w="717" w:type="pct"/>
          </w:tcPr>
          <w:p w14:paraId="215E8128" w14:textId="106D2CA2"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1.1.1.1.09.9a</w:t>
            </w:r>
          </w:p>
        </w:tc>
        <w:tc>
          <w:tcPr>
            <w:tcW w:w="2574" w:type="pct"/>
          </w:tcPr>
          <w:p w14:paraId="418DAF4D" w14:textId="4C98E842"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6F6C14">
              <w:rPr>
                <w:rStyle w:val="InstructionsTabelleberschrift"/>
                <w:rFonts w:ascii="Times New Roman" w:hAnsi="Times New Roman"/>
                <w:b w:val="0"/>
                <w:bCs w:val="0"/>
                <w:sz w:val="22"/>
                <w:u w:val="none"/>
              </w:rPr>
              <w:t>Expuneri garantate cu ipoteci asupra bunurilor imobile comerciale – altele – IPRE</w:t>
            </w:r>
          </w:p>
        </w:tc>
        <w:tc>
          <w:tcPr>
            <w:tcW w:w="444" w:type="pct"/>
          </w:tcPr>
          <w:p w14:paraId="2918924D"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738AF9A8" w14:textId="57370AF1"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6F6C14" w14:paraId="247BC229" w14:textId="77777777" w:rsidTr="006F6C14">
        <w:trPr>
          <w:tblCellSpacing w:w="0" w:type="dxa"/>
        </w:trPr>
        <w:tc>
          <w:tcPr>
            <w:tcW w:w="0" w:type="auto"/>
          </w:tcPr>
          <w:p w14:paraId="765122FD" w14:textId="048FF25C"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0910</w:t>
            </w:r>
          </w:p>
        </w:tc>
        <w:tc>
          <w:tcPr>
            <w:tcW w:w="717" w:type="pct"/>
          </w:tcPr>
          <w:p w14:paraId="21B82EC3" w14:textId="3E6F1854"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1.1.1.1.09.9b</w:t>
            </w:r>
          </w:p>
        </w:tc>
        <w:tc>
          <w:tcPr>
            <w:tcW w:w="2574" w:type="pct"/>
          </w:tcPr>
          <w:p w14:paraId="31E6A337" w14:textId="3BE423CF" w:rsidR="00BA708E" w:rsidRPr="002B024E" w:rsidRDefault="00BA708E" w:rsidP="00A84D2B">
            <w:pPr>
              <w:pStyle w:val="InstructionsText"/>
              <w:rPr>
                <w:b/>
              </w:rPr>
            </w:pPr>
            <w:r w:rsidRPr="00811389">
              <w:rPr>
                <w:rStyle w:val="InstructionsTabelleberschrift"/>
                <w:rFonts w:ascii="Times New Roman" w:hAnsi="Times New Roman"/>
                <w:b w:val="0"/>
                <w:bCs w:val="0"/>
                <w:sz w:val="22"/>
                <w:u w:val="none"/>
              </w:rPr>
              <w:t>Achiziții, dezvoltare și construcții (ADC)</w:t>
            </w:r>
          </w:p>
        </w:tc>
        <w:tc>
          <w:tcPr>
            <w:tcW w:w="444" w:type="pct"/>
          </w:tcPr>
          <w:p w14:paraId="66D7615B"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78104D8B" w14:textId="75ABB0EA"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57799E9A" w14:textId="77777777" w:rsidTr="002B024E">
        <w:trPr>
          <w:tblCellSpacing w:w="0" w:type="dxa"/>
        </w:trPr>
        <w:tc>
          <w:tcPr>
            <w:tcW w:w="0" w:type="auto"/>
            <w:hideMark/>
          </w:tcPr>
          <w:p w14:paraId="22769C7A"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0160</w:t>
            </w:r>
          </w:p>
        </w:tc>
        <w:tc>
          <w:tcPr>
            <w:tcW w:w="717" w:type="pct"/>
            <w:hideMark/>
          </w:tcPr>
          <w:p w14:paraId="3B5DBDFA"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1.1.1.1.10</w:t>
            </w:r>
          </w:p>
        </w:tc>
        <w:tc>
          <w:tcPr>
            <w:tcW w:w="2574" w:type="pct"/>
            <w:hideMark/>
          </w:tcPr>
          <w:p w14:paraId="164DE881"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Expuneri în stare de nerambursare</w:t>
            </w:r>
          </w:p>
        </w:tc>
        <w:tc>
          <w:tcPr>
            <w:tcW w:w="444" w:type="pct"/>
          </w:tcPr>
          <w:p w14:paraId="043BEF3B"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45DD57AF" w14:textId="06C93AB0"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5B67F3A9" w14:textId="77777777" w:rsidTr="002B024E">
        <w:trPr>
          <w:tblCellSpacing w:w="0" w:type="dxa"/>
        </w:trPr>
        <w:tc>
          <w:tcPr>
            <w:tcW w:w="0" w:type="auto"/>
            <w:hideMark/>
          </w:tcPr>
          <w:p w14:paraId="6FC66577" w14:textId="1D425EC2"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0171</w:t>
            </w:r>
          </w:p>
        </w:tc>
        <w:tc>
          <w:tcPr>
            <w:tcW w:w="717" w:type="pct"/>
            <w:hideMark/>
          </w:tcPr>
          <w:p w14:paraId="292F792C" w14:textId="1A87F416"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1.1.1.1.11a</w:t>
            </w:r>
          </w:p>
        </w:tc>
        <w:tc>
          <w:tcPr>
            <w:tcW w:w="2574" w:type="pct"/>
            <w:hideMark/>
          </w:tcPr>
          <w:p w14:paraId="1D48590A" w14:textId="6331B6F6"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Expuneri din datorii subordonate</w:t>
            </w:r>
          </w:p>
        </w:tc>
        <w:tc>
          <w:tcPr>
            <w:tcW w:w="444" w:type="pct"/>
          </w:tcPr>
          <w:p w14:paraId="054EA45C"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7B8C961E" w14:textId="70DD31D9"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183777" w:rsidRPr="00825F64" w14:paraId="607B271A" w14:textId="77777777" w:rsidTr="00AA48A4">
        <w:trPr>
          <w:tblCellSpacing w:w="0" w:type="dxa"/>
        </w:trPr>
        <w:tc>
          <w:tcPr>
            <w:tcW w:w="0" w:type="auto"/>
            <w:hideMark/>
          </w:tcPr>
          <w:p w14:paraId="3DFB707D" w14:textId="77777777" w:rsidR="00183777" w:rsidRPr="00825F64" w:rsidRDefault="00183777" w:rsidP="005739F8">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0180</w:t>
            </w:r>
          </w:p>
        </w:tc>
        <w:tc>
          <w:tcPr>
            <w:tcW w:w="717" w:type="pct"/>
            <w:hideMark/>
          </w:tcPr>
          <w:p w14:paraId="721739EF" w14:textId="77777777" w:rsidR="00183777" w:rsidRPr="00825F64" w:rsidRDefault="00183777" w:rsidP="005739F8">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1.1.1.1.12</w:t>
            </w:r>
          </w:p>
        </w:tc>
        <w:tc>
          <w:tcPr>
            <w:tcW w:w="2574" w:type="pct"/>
            <w:hideMark/>
          </w:tcPr>
          <w:p w14:paraId="00166D74" w14:textId="77777777" w:rsidR="00183777" w:rsidRPr="00825F64" w:rsidRDefault="00183777" w:rsidP="005739F8">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Obligațiuni garantate</w:t>
            </w:r>
          </w:p>
        </w:tc>
        <w:tc>
          <w:tcPr>
            <w:tcW w:w="444" w:type="pct"/>
          </w:tcPr>
          <w:p w14:paraId="76B5E87C" w14:textId="46AFBA71" w:rsidR="00183777" w:rsidRPr="00825F64" w:rsidRDefault="00183777" w:rsidP="005739F8">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7771B6B5" w14:textId="1BE54C60" w:rsidR="00183777" w:rsidRPr="00825F64" w:rsidRDefault="00183777" w:rsidP="005739F8">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043F5241" w14:textId="77777777" w:rsidTr="002B024E">
        <w:trPr>
          <w:tblCellSpacing w:w="0" w:type="dxa"/>
        </w:trPr>
        <w:tc>
          <w:tcPr>
            <w:tcW w:w="0" w:type="auto"/>
            <w:hideMark/>
          </w:tcPr>
          <w:p w14:paraId="6F9806E8"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lastRenderedPageBreak/>
              <w:t>0190</w:t>
            </w:r>
          </w:p>
        </w:tc>
        <w:tc>
          <w:tcPr>
            <w:tcW w:w="717" w:type="pct"/>
            <w:hideMark/>
          </w:tcPr>
          <w:p w14:paraId="364DD2CA"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1.1.1.1.13</w:t>
            </w:r>
          </w:p>
        </w:tc>
        <w:tc>
          <w:tcPr>
            <w:tcW w:w="2574" w:type="pct"/>
            <w:hideMark/>
          </w:tcPr>
          <w:p w14:paraId="629C676C" w14:textId="70C6A7D6"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Creanțe asupra băncilor și societăților cu o evaluare de credit pe termen scurt</w:t>
            </w:r>
          </w:p>
        </w:tc>
        <w:tc>
          <w:tcPr>
            <w:tcW w:w="444" w:type="pct"/>
          </w:tcPr>
          <w:p w14:paraId="3CDA483E"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2538847C" w14:textId="2F712283"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69452FED" w14:textId="77777777" w:rsidTr="002B024E">
        <w:trPr>
          <w:tblCellSpacing w:w="0" w:type="dxa"/>
        </w:trPr>
        <w:tc>
          <w:tcPr>
            <w:tcW w:w="0" w:type="auto"/>
            <w:hideMark/>
          </w:tcPr>
          <w:p w14:paraId="0C434CDA"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0200</w:t>
            </w:r>
          </w:p>
        </w:tc>
        <w:tc>
          <w:tcPr>
            <w:tcW w:w="717" w:type="pct"/>
            <w:hideMark/>
          </w:tcPr>
          <w:p w14:paraId="0CE7F461"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1.1.1.1.14</w:t>
            </w:r>
          </w:p>
        </w:tc>
        <w:tc>
          <w:tcPr>
            <w:tcW w:w="2574" w:type="pct"/>
            <w:hideMark/>
          </w:tcPr>
          <w:p w14:paraId="3996F505"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Organisme de plasament colectiv (OPC)</w:t>
            </w:r>
          </w:p>
        </w:tc>
        <w:tc>
          <w:tcPr>
            <w:tcW w:w="444" w:type="pct"/>
          </w:tcPr>
          <w:p w14:paraId="600014DD"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6F429B1A" w14:textId="2245BC68"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42C40373" w14:textId="77777777" w:rsidTr="002B024E">
        <w:trPr>
          <w:tblCellSpacing w:w="0" w:type="dxa"/>
        </w:trPr>
        <w:tc>
          <w:tcPr>
            <w:tcW w:w="0" w:type="auto"/>
            <w:hideMark/>
          </w:tcPr>
          <w:p w14:paraId="1E4C7E20"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0210</w:t>
            </w:r>
          </w:p>
        </w:tc>
        <w:tc>
          <w:tcPr>
            <w:tcW w:w="717" w:type="pct"/>
            <w:hideMark/>
          </w:tcPr>
          <w:p w14:paraId="778F6218"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1.1.1.1.15</w:t>
            </w:r>
          </w:p>
        </w:tc>
        <w:tc>
          <w:tcPr>
            <w:tcW w:w="2574" w:type="pct"/>
            <w:hideMark/>
          </w:tcPr>
          <w:p w14:paraId="52B33611"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Titluri de capital</w:t>
            </w:r>
          </w:p>
        </w:tc>
        <w:tc>
          <w:tcPr>
            <w:tcW w:w="444" w:type="pct"/>
          </w:tcPr>
          <w:p w14:paraId="2AE3ACB8"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402E140D" w14:textId="685999D3"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598E219F" w14:textId="77777777" w:rsidTr="002B024E">
        <w:trPr>
          <w:tblCellSpacing w:w="0" w:type="dxa"/>
        </w:trPr>
        <w:tc>
          <w:tcPr>
            <w:tcW w:w="0" w:type="auto"/>
            <w:hideMark/>
          </w:tcPr>
          <w:p w14:paraId="74C52C9D"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0211</w:t>
            </w:r>
          </w:p>
        </w:tc>
        <w:tc>
          <w:tcPr>
            <w:tcW w:w="717" w:type="pct"/>
            <w:hideMark/>
          </w:tcPr>
          <w:p w14:paraId="4B4D7B12"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1.1.1.1.16</w:t>
            </w:r>
          </w:p>
        </w:tc>
        <w:tc>
          <w:tcPr>
            <w:tcW w:w="2574" w:type="pct"/>
            <w:hideMark/>
          </w:tcPr>
          <w:p w14:paraId="76773B13"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Alte elemente</w:t>
            </w:r>
          </w:p>
        </w:tc>
        <w:tc>
          <w:tcPr>
            <w:tcW w:w="444" w:type="pct"/>
          </w:tcPr>
          <w:p w14:paraId="0B4C84E9"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57224A6D" w14:textId="506F2EC2"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7CD2E03A" w14:textId="77777777" w:rsidTr="006F6C14">
        <w:trPr>
          <w:tblCellSpacing w:w="0" w:type="dxa"/>
        </w:trPr>
        <w:tc>
          <w:tcPr>
            <w:tcW w:w="0" w:type="auto"/>
          </w:tcPr>
          <w:p w14:paraId="2882FFBA" w14:textId="72CF7D74"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0212</w:t>
            </w:r>
          </w:p>
        </w:tc>
        <w:tc>
          <w:tcPr>
            <w:tcW w:w="717" w:type="pct"/>
          </w:tcPr>
          <w:p w14:paraId="44995BE3" w14:textId="602F562C"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1.1.1.1.16.1</w:t>
            </w:r>
          </w:p>
        </w:tc>
        <w:tc>
          <w:tcPr>
            <w:tcW w:w="2574" w:type="pct"/>
          </w:tcPr>
          <w:p w14:paraId="4A66DAB9" w14:textId="0C688BA0"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6F6C14">
              <w:rPr>
                <w:rStyle w:val="InstructionsTabelleberschrift"/>
                <w:rFonts w:ascii="Times New Roman" w:hAnsi="Times New Roman"/>
                <w:b w:val="0"/>
                <w:bCs w:val="0"/>
                <w:sz w:val="22"/>
                <w:u w:val="none"/>
              </w:rPr>
              <w:t xml:space="preserve">Din care: programe informatice contabilizate drept </w:t>
            </w:r>
            <w:r w:rsidR="00065889">
              <w:rPr>
                <w:rFonts w:ascii="Times New Roman" w:eastAsia="Times New Roman" w:hAnsi="Times New Roman" w:cs="Times New Roman"/>
                <w:color w:val="000000"/>
                <w:kern w:val="0"/>
                <w:lang w:eastAsia="ro-MD"/>
                <w14:ligatures w14:val="none"/>
              </w:rPr>
              <w:t>imobilizări</w:t>
            </w:r>
            <w:r w:rsidRPr="006F6C14">
              <w:rPr>
                <w:rStyle w:val="InstructionsTabelleberschrift"/>
                <w:rFonts w:ascii="Times New Roman" w:hAnsi="Times New Roman"/>
                <w:b w:val="0"/>
                <w:bCs w:val="0"/>
                <w:sz w:val="22"/>
                <w:u w:val="none"/>
              </w:rPr>
              <w:t xml:space="preserve"> necorporale</w:t>
            </w:r>
          </w:p>
        </w:tc>
        <w:tc>
          <w:tcPr>
            <w:tcW w:w="444" w:type="pct"/>
          </w:tcPr>
          <w:p w14:paraId="66BDF0E5"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66E1BB14" w14:textId="5461B306"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825F64" w14:paraId="7B18CD8E" w14:textId="77777777" w:rsidTr="006F6C14">
        <w:trPr>
          <w:tblCellSpacing w:w="0" w:type="dxa"/>
        </w:trPr>
        <w:tc>
          <w:tcPr>
            <w:tcW w:w="0" w:type="auto"/>
            <w:hideMark/>
          </w:tcPr>
          <w:p w14:paraId="3CACAB6D"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0240</w:t>
            </w:r>
          </w:p>
        </w:tc>
        <w:tc>
          <w:tcPr>
            <w:tcW w:w="717" w:type="pct"/>
            <w:hideMark/>
          </w:tcPr>
          <w:p w14:paraId="47394632"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1.1.2</w:t>
            </w:r>
          </w:p>
        </w:tc>
        <w:tc>
          <w:tcPr>
            <w:tcW w:w="2574" w:type="pct"/>
            <w:hideMark/>
          </w:tcPr>
          <w:p w14:paraId="7B46BE95"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Abordarea bazată pe modele interne de rating (IRB)</w:t>
            </w:r>
          </w:p>
        </w:tc>
        <w:tc>
          <w:tcPr>
            <w:tcW w:w="444" w:type="pct"/>
          </w:tcPr>
          <w:p w14:paraId="74BB2759" w14:textId="088A709A"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hideMark/>
          </w:tcPr>
          <w:p w14:paraId="640A52D6" w14:textId="3A1CC550"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825F64" w14:paraId="41026A7F" w14:textId="77777777" w:rsidTr="006F6C14">
        <w:trPr>
          <w:tblCellSpacing w:w="0" w:type="dxa"/>
        </w:trPr>
        <w:tc>
          <w:tcPr>
            <w:tcW w:w="0" w:type="auto"/>
            <w:hideMark/>
          </w:tcPr>
          <w:p w14:paraId="0192BD6C"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0241</w:t>
            </w:r>
          </w:p>
        </w:tc>
        <w:tc>
          <w:tcPr>
            <w:tcW w:w="717" w:type="pct"/>
            <w:hideMark/>
          </w:tcPr>
          <w:p w14:paraId="75797D05"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w:t>
            </w:r>
          </w:p>
        </w:tc>
        <w:tc>
          <w:tcPr>
            <w:tcW w:w="2574" w:type="pct"/>
            <w:hideMark/>
          </w:tcPr>
          <w:p w14:paraId="50BE3023" w14:textId="47E054ED"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 xml:space="preserve">Din care: cerințe prudențiale suplimentare mai stricte </w:t>
            </w:r>
            <w:r w:rsidRPr="004F65A1">
              <w:rPr>
                <w:rFonts w:ascii="Times New Roman" w:eastAsia="Times New Roman" w:hAnsi="Times New Roman" w:cs="Times New Roman"/>
                <w:color w:val="000000"/>
                <w:kern w:val="0"/>
                <w:lang w:eastAsia="ro-MD"/>
                <w14:ligatures w14:val="none"/>
              </w:rPr>
              <w:t xml:space="preserve">pe </w:t>
            </w:r>
            <w:r w:rsidRPr="002B024E">
              <w:rPr>
                <w:rFonts w:ascii="Times New Roman" w:eastAsia="Times New Roman" w:hAnsi="Times New Roman" w:cs="Times New Roman"/>
                <w:color w:val="000000"/>
                <w:kern w:val="0"/>
                <w:lang w:eastAsia="ro-MD"/>
                <w14:ligatures w14:val="none"/>
              </w:rPr>
              <w:t xml:space="preserve">baza </w:t>
            </w:r>
            <w:r w:rsidR="004F65A1" w:rsidRPr="004F65A1">
              <w:rPr>
                <w:rFonts w:ascii="Times New Roman" w:eastAsia="Times New Roman" w:hAnsi="Times New Roman" w:cs="Times New Roman"/>
                <w:color w:val="000000"/>
                <w:kern w:val="0"/>
                <w:lang w:eastAsia="ro-MD"/>
                <w14:ligatures w14:val="none"/>
              </w:rPr>
              <w:t>punctelor 134 – 141 a Regulamentului privind tratamentul riscului de credit pentru bănci potrivit abordării bazate pe modele interne de rating</w:t>
            </w:r>
          </w:p>
        </w:tc>
        <w:tc>
          <w:tcPr>
            <w:tcW w:w="444" w:type="pct"/>
          </w:tcPr>
          <w:p w14:paraId="43E3682D" w14:textId="420E7386"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hideMark/>
          </w:tcPr>
          <w:p w14:paraId="2B4995BE" w14:textId="4AE164C3"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x</w:t>
            </w:r>
          </w:p>
        </w:tc>
      </w:tr>
      <w:tr w:rsidR="00B603AB" w:rsidRPr="00825F64" w14:paraId="5CFED94C" w14:textId="77777777" w:rsidTr="006F6C14">
        <w:trPr>
          <w:tblCellSpacing w:w="0" w:type="dxa"/>
        </w:trPr>
        <w:tc>
          <w:tcPr>
            <w:tcW w:w="0" w:type="auto"/>
            <w:hideMark/>
          </w:tcPr>
          <w:p w14:paraId="14BC6720"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0242</w:t>
            </w:r>
          </w:p>
        </w:tc>
        <w:tc>
          <w:tcPr>
            <w:tcW w:w="717" w:type="pct"/>
            <w:hideMark/>
          </w:tcPr>
          <w:p w14:paraId="1ACCFA10"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w:t>
            </w:r>
          </w:p>
        </w:tc>
        <w:tc>
          <w:tcPr>
            <w:tcW w:w="2574" w:type="pct"/>
            <w:hideMark/>
          </w:tcPr>
          <w:p w14:paraId="44A1FD92" w14:textId="7C20E6A2"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 xml:space="preserve">Din care: cerințe prudențiale suplimentare mai stricte </w:t>
            </w:r>
            <w:r w:rsidRPr="004F65A1">
              <w:rPr>
                <w:rFonts w:ascii="Times New Roman" w:eastAsia="Times New Roman" w:hAnsi="Times New Roman" w:cs="Times New Roman"/>
                <w:color w:val="000000"/>
                <w:kern w:val="0"/>
                <w:lang w:eastAsia="ro-MD"/>
                <w14:ligatures w14:val="none"/>
              </w:rPr>
              <w:t xml:space="preserve">pe </w:t>
            </w:r>
            <w:r w:rsidRPr="002B024E">
              <w:rPr>
                <w:rFonts w:ascii="Times New Roman" w:eastAsia="Times New Roman" w:hAnsi="Times New Roman" w:cs="Times New Roman"/>
                <w:color w:val="000000"/>
                <w:kern w:val="0"/>
                <w:lang w:eastAsia="ro-MD"/>
                <w14:ligatures w14:val="none"/>
              </w:rPr>
              <w:t xml:space="preserve">baza </w:t>
            </w:r>
            <w:r w:rsidR="004F65A1" w:rsidRPr="004F65A1">
              <w:rPr>
                <w:rFonts w:ascii="Times New Roman" w:eastAsia="Times New Roman" w:hAnsi="Times New Roman" w:cs="Times New Roman"/>
                <w:color w:val="000000"/>
                <w:kern w:val="0"/>
                <w:lang w:eastAsia="ro-MD"/>
                <w14:ligatures w14:val="none"/>
              </w:rPr>
              <w:t>punctelor 65 - 68</w:t>
            </w:r>
            <w:r w:rsidR="004F65A1" w:rsidRPr="004F65A1">
              <w:rPr>
                <w:rFonts w:ascii="Times New Roman" w:eastAsia="Times New Roman" w:hAnsi="Times New Roman" w:cs="Times New Roman"/>
                <w:color w:val="000000"/>
                <w:kern w:val="0"/>
                <w:vertAlign w:val="superscript"/>
                <w:lang w:eastAsia="ro-MD"/>
                <w14:ligatures w14:val="none"/>
              </w:rPr>
              <w:t>9</w:t>
            </w:r>
            <w:r w:rsidR="004F65A1" w:rsidRPr="004F65A1">
              <w:rPr>
                <w:rFonts w:ascii="Times New Roman" w:eastAsia="Times New Roman" w:hAnsi="Times New Roman" w:cs="Times New Roman"/>
                <w:color w:val="000000"/>
                <w:kern w:val="0"/>
                <w:lang w:eastAsia="ro-MD"/>
                <w14:ligatures w14:val="none"/>
              </w:rPr>
              <w:t xml:space="preserve"> </w:t>
            </w:r>
            <w:r w:rsidR="004F65A1" w:rsidRPr="004F65A1">
              <w:rPr>
                <w:rStyle w:val="FormatvorlageInstructionsTabelleText"/>
                <w:rFonts w:ascii="Times New Roman" w:hAnsi="Times New Roman"/>
                <w:bCs w:val="0"/>
                <w:color w:val="000000"/>
                <w:sz w:val="22"/>
              </w:rPr>
              <w:t>din</w:t>
            </w:r>
            <w:r w:rsidR="004F65A1" w:rsidRPr="004F65A1">
              <w:rPr>
                <w:rStyle w:val="InstructionsTabelleberschrift"/>
                <w:rFonts w:ascii="Times New Roman" w:hAnsi="Times New Roman"/>
                <w:b w:val="0"/>
                <w:bCs w:val="0"/>
                <w:sz w:val="22"/>
                <w:u w:val="none"/>
              </w:rPr>
              <w:t xml:space="preserve"> Regulamentul </w:t>
            </w:r>
            <w:r w:rsidR="004F65A1" w:rsidRPr="004F65A1">
              <w:rPr>
                <w:rStyle w:val="InstructionsTabelleberschrift"/>
                <w:rFonts w:ascii="Times New Roman" w:hAnsi="Times New Roman"/>
                <w:b w:val="0"/>
                <w:bCs w:val="0"/>
                <w:color w:val="000000"/>
                <w:sz w:val="22"/>
                <w:u w:val="none"/>
              </w:rPr>
              <w:t xml:space="preserve">nr. 111/2018 </w:t>
            </w:r>
          </w:p>
        </w:tc>
        <w:tc>
          <w:tcPr>
            <w:tcW w:w="444" w:type="pct"/>
          </w:tcPr>
          <w:p w14:paraId="2580E74E" w14:textId="3F72C2A2"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hideMark/>
          </w:tcPr>
          <w:p w14:paraId="1589A801" w14:textId="0620704D"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x</w:t>
            </w:r>
          </w:p>
        </w:tc>
      </w:tr>
      <w:tr w:rsidR="00B603AB" w:rsidRPr="00825F64" w14:paraId="7CC521B6" w14:textId="77777777" w:rsidTr="006F6C14">
        <w:trPr>
          <w:tblCellSpacing w:w="0" w:type="dxa"/>
        </w:trPr>
        <w:tc>
          <w:tcPr>
            <w:tcW w:w="0" w:type="auto"/>
            <w:hideMark/>
          </w:tcPr>
          <w:p w14:paraId="37E31585"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0250</w:t>
            </w:r>
          </w:p>
        </w:tc>
        <w:tc>
          <w:tcPr>
            <w:tcW w:w="717" w:type="pct"/>
            <w:hideMark/>
          </w:tcPr>
          <w:p w14:paraId="1DBD7226"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1.1.2.1</w:t>
            </w:r>
          </w:p>
        </w:tc>
        <w:tc>
          <w:tcPr>
            <w:tcW w:w="2574" w:type="pct"/>
            <w:hideMark/>
          </w:tcPr>
          <w:p w14:paraId="07D0E5B0" w14:textId="2DC4BB05"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Abordări IRB în care nu se utilizează nici estimări proprii ale pierderii în caz de nerambursare LGD, nici factori de conversie</w:t>
            </w:r>
          </w:p>
        </w:tc>
        <w:tc>
          <w:tcPr>
            <w:tcW w:w="444" w:type="pct"/>
          </w:tcPr>
          <w:p w14:paraId="0C9BF823" w14:textId="30A18A5C"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74084828" w14:textId="0D406984"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825F64" w14:paraId="48A3AE86" w14:textId="77777777" w:rsidTr="006F6C14">
        <w:trPr>
          <w:tblCellSpacing w:w="0" w:type="dxa"/>
        </w:trPr>
        <w:tc>
          <w:tcPr>
            <w:tcW w:w="0" w:type="auto"/>
            <w:hideMark/>
          </w:tcPr>
          <w:p w14:paraId="31AB34A2"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0260</w:t>
            </w:r>
          </w:p>
        </w:tc>
        <w:tc>
          <w:tcPr>
            <w:tcW w:w="717" w:type="pct"/>
            <w:hideMark/>
          </w:tcPr>
          <w:p w14:paraId="100F0BE3"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1.1.2.1.01</w:t>
            </w:r>
          </w:p>
        </w:tc>
        <w:tc>
          <w:tcPr>
            <w:tcW w:w="2574" w:type="pct"/>
            <w:hideMark/>
          </w:tcPr>
          <w:p w14:paraId="2C47BF8F"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Administrații centrale și bănci centrale</w:t>
            </w:r>
          </w:p>
        </w:tc>
        <w:tc>
          <w:tcPr>
            <w:tcW w:w="444" w:type="pct"/>
          </w:tcPr>
          <w:p w14:paraId="2E7A7254" w14:textId="42FE5C8F"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578C9E59" w14:textId="76695C14"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6F6C14" w14:paraId="018DF807" w14:textId="77777777" w:rsidTr="006F6C14">
        <w:trPr>
          <w:tblCellSpacing w:w="0" w:type="dxa"/>
        </w:trPr>
        <w:tc>
          <w:tcPr>
            <w:tcW w:w="0" w:type="auto"/>
          </w:tcPr>
          <w:p w14:paraId="36BE0D8B" w14:textId="698B7BE6"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0261</w:t>
            </w:r>
          </w:p>
        </w:tc>
        <w:tc>
          <w:tcPr>
            <w:tcW w:w="717" w:type="pct"/>
          </w:tcPr>
          <w:p w14:paraId="341A6CA8" w14:textId="4158BDE2"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1.1.2.1.01a</w:t>
            </w:r>
          </w:p>
        </w:tc>
        <w:tc>
          <w:tcPr>
            <w:tcW w:w="2574" w:type="pct"/>
          </w:tcPr>
          <w:p w14:paraId="74C74231" w14:textId="506E949A" w:rsidR="00B603AB" w:rsidRPr="00512160" w:rsidRDefault="00B603AB" w:rsidP="00B603AB">
            <w:pPr>
              <w:spacing w:before="100" w:beforeAutospacing="1" w:after="100" w:afterAutospacing="1" w:line="240" w:lineRule="auto"/>
              <w:rPr>
                <w:rFonts w:ascii="Times New Roman" w:eastAsia="Times New Roman" w:hAnsi="Times New Roman" w:cs="Times New Roman"/>
                <w:b/>
                <w:color w:val="000000"/>
                <w:kern w:val="0"/>
                <w:lang w:eastAsia="ro-MD"/>
                <w14:ligatures w14:val="none"/>
              </w:rPr>
            </w:pPr>
            <w:r w:rsidRPr="00512160">
              <w:rPr>
                <w:rStyle w:val="InstructionsTabelleberschrift"/>
                <w:rFonts w:ascii="Times New Roman" w:hAnsi="Times New Roman"/>
                <w:b w:val="0"/>
                <w:bCs w:val="0"/>
                <w:sz w:val="22"/>
                <w:u w:val="none"/>
              </w:rPr>
              <w:t>Administrații regionale sau autorități locale</w:t>
            </w:r>
          </w:p>
        </w:tc>
        <w:tc>
          <w:tcPr>
            <w:tcW w:w="444" w:type="pct"/>
          </w:tcPr>
          <w:p w14:paraId="2A711BD0" w14:textId="162F8E05"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1B4357DA" w14:textId="3331BD15"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6F6C14" w14:paraId="77FEE5CB" w14:textId="77777777" w:rsidTr="006F6C14">
        <w:trPr>
          <w:tblCellSpacing w:w="0" w:type="dxa"/>
        </w:trPr>
        <w:tc>
          <w:tcPr>
            <w:tcW w:w="0" w:type="auto"/>
          </w:tcPr>
          <w:p w14:paraId="013E3F2C" w14:textId="56F14D9E"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0262</w:t>
            </w:r>
          </w:p>
        </w:tc>
        <w:tc>
          <w:tcPr>
            <w:tcW w:w="717" w:type="pct"/>
          </w:tcPr>
          <w:p w14:paraId="4C0A308F" w14:textId="289BC389"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1.1.2.1.01b</w:t>
            </w:r>
          </w:p>
        </w:tc>
        <w:tc>
          <w:tcPr>
            <w:tcW w:w="2574" w:type="pct"/>
          </w:tcPr>
          <w:p w14:paraId="3DF5B2EB" w14:textId="299D073E" w:rsidR="00B603AB" w:rsidRPr="00512160" w:rsidRDefault="00B603AB" w:rsidP="00B603AB">
            <w:pPr>
              <w:spacing w:before="100" w:beforeAutospacing="1" w:after="100" w:afterAutospacing="1" w:line="240" w:lineRule="auto"/>
              <w:rPr>
                <w:rFonts w:ascii="Times New Roman" w:eastAsia="Times New Roman" w:hAnsi="Times New Roman" w:cs="Times New Roman"/>
                <w:b/>
                <w:color w:val="000000"/>
                <w:kern w:val="0"/>
                <w:lang w:eastAsia="ro-MD"/>
                <w14:ligatures w14:val="none"/>
              </w:rPr>
            </w:pPr>
            <w:r w:rsidRPr="00512160">
              <w:rPr>
                <w:rStyle w:val="InstructionsTabelleberschrift"/>
                <w:rFonts w:ascii="Times New Roman" w:hAnsi="Times New Roman"/>
                <w:b w:val="0"/>
                <w:bCs w:val="0"/>
                <w:sz w:val="22"/>
                <w:u w:val="none"/>
              </w:rPr>
              <w:t>Entități din sectorul public</w:t>
            </w:r>
          </w:p>
        </w:tc>
        <w:tc>
          <w:tcPr>
            <w:tcW w:w="444" w:type="pct"/>
          </w:tcPr>
          <w:p w14:paraId="78B28653" w14:textId="6B1067B0"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15DDC5EE" w14:textId="396822EB"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6F6C14" w14:paraId="66D13C55" w14:textId="77777777" w:rsidTr="006F6C14">
        <w:trPr>
          <w:tblCellSpacing w:w="0" w:type="dxa"/>
        </w:trPr>
        <w:tc>
          <w:tcPr>
            <w:tcW w:w="0" w:type="auto"/>
            <w:hideMark/>
          </w:tcPr>
          <w:p w14:paraId="4A6B1DA0"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0270</w:t>
            </w:r>
          </w:p>
        </w:tc>
        <w:tc>
          <w:tcPr>
            <w:tcW w:w="717" w:type="pct"/>
            <w:hideMark/>
          </w:tcPr>
          <w:p w14:paraId="0A5C5FE4"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1.1.2.1.02</w:t>
            </w:r>
          </w:p>
        </w:tc>
        <w:tc>
          <w:tcPr>
            <w:tcW w:w="2574" w:type="pct"/>
            <w:hideMark/>
          </w:tcPr>
          <w:p w14:paraId="14D75C5D" w14:textId="16F0C800" w:rsidR="00B603AB" w:rsidRPr="00512160"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512160">
              <w:rPr>
                <w:rFonts w:ascii="Times New Roman" w:eastAsia="Times New Roman" w:hAnsi="Times New Roman" w:cs="Times New Roman"/>
                <w:color w:val="000000"/>
                <w:kern w:val="0"/>
                <w:lang w:eastAsia="ro-MD"/>
                <w14:ligatures w14:val="none"/>
              </w:rPr>
              <w:t>Bănci</w:t>
            </w:r>
          </w:p>
        </w:tc>
        <w:tc>
          <w:tcPr>
            <w:tcW w:w="444" w:type="pct"/>
          </w:tcPr>
          <w:p w14:paraId="42BE5580" w14:textId="513C277C"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24FF078C" w14:textId="6F66AE5D"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825F64" w14:paraId="46F6595B" w14:textId="77777777" w:rsidTr="006F6C14">
        <w:trPr>
          <w:tblCellSpacing w:w="0" w:type="dxa"/>
        </w:trPr>
        <w:tc>
          <w:tcPr>
            <w:tcW w:w="0" w:type="auto"/>
            <w:hideMark/>
          </w:tcPr>
          <w:p w14:paraId="41C387D3"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0290</w:t>
            </w:r>
          </w:p>
        </w:tc>
        <w:tc>
          <w:tcPr>
            <w:tcW w:w="717" w:type="pct"/>
            <w:hideMark/>
          </w:tcPr>
          <w:p w14:paraId="053E7063"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1.1.2.1.04</w:t>
            </w:r>
          </w:p>
        </w:tc>
        <w:tc>
          <w:tcPr>
            <w:tcW w:w="2574" w:type="pct"/>
            <w:hideMark/>
          </w:tcPr>
          <w:p w14:paraId="476A4B6C" w14:textId="77777777" w:rsidR="00B603AB" w:rsidRPr="00512160"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512160">
              <w:rPr>
                <w:rFonts w:ascii="Times New Roman" w:eastAsia="Times New Roman" w:hAnsi="Times New Roman" w:cs="Times New Roman"/>
                <w:color w:val="000000"/>
                <w:kern w:val="0"/>
                <w:lang w:eastAsia="ro-MD"/>
                <w14:ligatures w14:val="none"/>
              </w:rPr>
              <w:t>Societăți – Finanțări specializate</w:t>
            </w:r>
          </w:p>
        </w:tc>
        <w:tc>
          <w:tcPr>
            <w:tcW w:w="444" w:type="pct"/>
          </w:tcPr>
          <w:p w14:paraId="083119D3" w14:textId="6C604F33"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53DC56AF" w14:textId="0BC3AA13"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825F64" w14:paraId="160C50C6" w14:textId="77777777" w:rsidTr="006F6C14">
        <w:trPr>
          <w:tblCellSpacing w:w="0" w:type="dxa"/>
        </w:trPr>
        <w:tc>
          <w:tcPr>
            <w:tcW w:w="0" w:type="auto"/>
          </w:tcPr>
          <w:p w14:paraId="3D9BCD4F" w14:textId="35982F1B"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0295</w:t>
            </w:r>
          </w:p>
        </w:tc>
        <w:tc>
          <w:tcPr>
            <w:tcW w:w="717" w:type="pct"/>
          </w:tcPr>
          <w:p w14:paraId="1D202B90" w14:textId="419F600D"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1.1.2.1.04a</w:t>
            </w:r>
          </w:p>
        </w:tc>
        <w:tc>
          <w:tcPr>
            <w:tcW w:w="2574" w:type="pct"/>
          </w:tcPr>
          <w:p w14:paraId="7634014F" w14:textId="7C524B97" w:rsidR="00B603AB" w:rsidRPr="00512160"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512160">
              <w:rPr>
                <w:rStyle w:val="InstructionsTabelleberschrift"/>
                <w:rFonts w:ascii="Times New Roman" w:hAnsi="Times New Roman"/>
                <w:b w:val="0"/>
                <w:bCs w:val="0"/>
                <w:sz w:val="22"/>
                <w:u w:val="none"/>
              </w:rPr>
              <w:t>Societăți – Creanțe achiziționate</w:t>
            </w:r>
          </w:p>
        </w:tc>
        <w:tc>
          <w:tcPr>
            <w:tcW w:w="444" w:type="pct"/>
          </w:tcPr>
          <w:p w14:paraId="63422FB1" w14:textId="23B540E9"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44233746" w14:textId="45CB4F7D"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825F64" w14:paraId="1BD94A1D" w14:textId="77777777" w:rsidTr="006F6C14">
        <w:trPr>
          <w:tblCellSpacing w:w="0" w:type="dxa"/>
        </w:trPr>
        <w:tc>
          <w:tcPr>
            <w:tcW w:w="0" w:type="auto"/>
            <w:hideMark/>
          </w:tcPr>
          <w:p w14:paraId="73CED378"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0300</w:t>
            </w:r>
          </w:p>
        </w:tc>
        <w:tc>
          <w:tcPr>
            <w:tcW w:w="717" w:type="pct"/>
            <w:hideMark/>
          </w:tcPr>
          <w:p w14:paraId="60939382"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1.1.2.1.05</w:t>
            </w:r>
          </w:p>
        </w:tc>
        <w:tc>
          <w:tcPr>
            <w:tcW w:w="2574" w:type="pct"/>
            <w:hideMark/>
          </w:tcPr>
          <w:p w14:paraId="188ED83E" w14:textId="77777777" w:rsidR="00B603AB" w:rsidRPr="00512160"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512160">
              <w:rPr>
                <w:rFonts w:ascii="Times New Roman" w:eastAsia="Times New Roman" w:hAnsi="Times New Roman" w:cs="Times New Roman"/>
                <w:color w:val="000000"/>
                <w:kern w:val="0"/>
                <w:lang w:eastAsia="ro-MD"/>
                <w14:ligatures w14:val="none"/>
              </w:rPr>
              <w:t>Societăți – Altele</w:t>
            </w:r>
          </w:p>
        </w:tc>
        <w:tc>
          <w:tcPr>
            <w:tcW w:w="444" w:type="pct"/>
          </w:tcPr>
          <w:p w14:paraId="322985A0" w14:textId="264CFDD7"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3B0A7939" w14:textId="7B87DD98"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A001B7" w:rsidRPr="00825F64" w14:paraId="111F7D9E" w14:textId="77777777" w:rsidTr="006F6C14">
        <w:trPr>
          <w:tblCellSpacing w:w="0" w:type="dxa"/>
        </w:trPr>
        <w:tc>
          <w:tcPr>
            <w:tcW w:w="0" w:type="auto"/>
          </w:tcPr>
          <w:p w14:paraId="019FE4C2" w14:textId="10DB34F3" w:rsidR="00A001B7" w:rsidRPr="00825F64" w:rsidRDefault="00A001B7" w:rsidP="00A001B7">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0305</w:t>
            </w:r>
          </w:p>
        </w:tc>
        <w:tc>
          <w:tcPr>
            <w:tcW w:w="717" w:type="pct"/>
          </w:tcPr>
          <w:p w14:paraId="6E17A75D" w14:textId="150E36EE" w:rsidR="00A001B7" w:rsidRPr="00825F64" w:rsidRDefault="00A001B7" w:rsidP="00A001B7">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1.1.2.1.06*</w:t>
            </w:r>
          </w:p>
        </w:tc>
        <w:tc>
          <w:tcPr>
            <w:tcW w:w="2574" w:type="pct"/>
          </w:tcPr>
          <w:p w14:paraId="1C7C802B" w14:textId="2DA1A063" w:rsidR="00A001B7" w:rsidRPr="00512160" w:rsidRDefault="00A001B7" w:rsidP="00A001B7">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512160">
              <w:rPr>
                <w:rStyle w:val="InstructionsTabelleberschrift"/>
                <w:rFonts w:ascii="Times New Roman" w:hAnsi="Times New Roman"/>
                <w:b w:val="0"/>
                <w:bCs w:val="0"/>
                <w:sz w:val="22"/>
                <w:u w:val="none"/>
              </w:rPr>
              <w:t>Element memorandum: Societăți – Societăți mari</w:t>
            </w:r>
          </w:p>
        </w:tc>
        <w:tc>
          <w:tcPr>
            <w:tcW w:w="444" w:type="pct"/>
          </w:tcPr>
          <w:p w14:paraId="300B934E" w14:textId="64609C55" w:rsidR="00A001B7" w:rsidRPr="00825F64" w:rsidRDefault="00A001B7" w:rsidP="00A001B7">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EA42D2">
              <w:rPr>
                <w:rFonts w:ascii="Times New Roman" w:eastAsia="Times New Roman" w:hAnsi="Times New Roman" w:cs="Times New Roman"/>
                <w:color w:val="000000"/>
                <w:kern w:val="0"/>
                <w:lang w:eastAsia="ro-MD"/>
                <w14:ligatures w14:val="none"/>
              </w:rPr>
              <w:t>x</w:t>
            </w:r>
          </w:p>
        </w:tc>
        <w:tc>
          <w:tcPr>
            <w:tcW w:w="0" w:type="auto"/>
          </w:tcPr>
          <w:p w14:paraId="6F4DA77E" w14:textId="4AA0F1C5" w:rsidR="00A001B7" w:rsidRPr="00825F64" w:rsidRDefault="00A001B7" w:rsidP="00A001B7">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EA42D2">
              <w:rPr>
                <w:rFonts w:ascii="Times New Roman" w:eastAsia="Times New Roman" w:hAnsi="Times New Roman" w:cs="Times New Roman"/>
                <w:color w:val="000000"/>
                <w:kern w:val="0"/>
                <w:lang w:eastAsia="ro-MD"/>
                <w14:ligatures w14:val="none"/>
              </w:rPr>
              <w:t>x</w:t>
            </w:r>
          </w:p>
        </w:tc>
      </w:tr>
      <w:tr w:rsidR="00A001B7" w:rsidRPr="00825F64" w14:paraId="3E8F5217" w14:textId="77777777" w:rsidTr="006F6C14">
        <w:trPr>
          <w:tblCellSpacing w:w="0" w:type="dxa"/>
        </w:trPr>
        <w:tc>
          <w:tcPr>
            <w:tcW w:w="0" w:type="auto"/>
          </w:tcPr>
          <w:p w14:paraId="4C9B8288" w14:textId="76EAAC2C" w:rsidR="00A001B7" w:rsidRPr="00825F64" w:rsidRDefault="00A001B7" w:rsidP="00A001B7">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0306</w:t>
            </w:r>
          </w:p>
        </w:tc>
        <w:tc>
          <w:tcPr>
            <w:tcW w:w="717" w:type="pct"/>
          </w:tcPr>
          <w:p w14:paraId="04EB76D3" w14:textId="4681ECC1" w:rsidR="00A001B7" w:rsidRPr="00825F64" w:rsidRDefault="00A001B7" w:rsidP="00A001B7">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1.1.2.1.06**</w:t>
            </w:r>
          </w:p>
        </w:tc>
        <w:tc>
          <w:tcPr>
            <w:tcW w:w="2574" w:type="pct"/>
          </w:tcPr>
          <w:p w14:paraId="583A20D7" w14:textId="7F8CF096" w:rsidR="00A001B7" w:rsidRPr="00512160" w:rsidRDefault="00A001B7" w:rsidP="00A001B7">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512160">
              <w:rPr>
                <w:rStyle w:val="InstructionsTabelleberschrift"/>
                <w:rFonts w:ascii="Times New Roman" w:hAnsi="Times New Roman"/>
                <w:b w:val="0"/>
                <w:bCs w:val="0"/>
                <w:sz w:val="22"/>
                <w:u w:val="none"/>
              </w:rPr>
              <w:t>Element memorandum: Societăți – IMM-uri</w:t>
            </w:r>
          </w:p>
        </w:tc>
        <w:tc>
          <w:tcPr>
            <w:tcW w:w="444" w:type="pct"/>
          </w:tcPr>
          <w:p w14:paraId="07EC2A79" w14:textId="695A5CA4" w:rsidR="00A001B7" w:rsidRPr="00825F64" w:rsidRDefault="00A001B7" w:rsidP="00A001B7">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EA42D2">
              <w:rPr>
                <w:rFonts w:ascii="Times New Roman" w:eastAsia="Times New Roman" w:hAnsi="Times New Roman" w:cs="Times New Roman"/>
                <w:color w:val="000000"/>
                <w:kern w:val="0"/>
                <w:lang w:eastAsia="ro-MD"/>
                <w14:ligatures w14:val="none"/>
              </w:rPr>
              <w:t>x</w:t>
            </w:r>
          </w:p>
        </w:tc>
        <w:tc>
          <w:tcPr>
            <w:tcW w:w="0" w:type="auto"/>
          </w:tcPr>
          <w:p w14:paraId="490ACE0B" w14:textId="1B67E584" w:rsidR="00A001B7" w:rsidRPr="00825F64" w:rsidRDefault="00A001B7" w:rsidP="00A001B7">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EA42D2">
              <w:rPr>
                <w:rFonts w:ascii="Times New Roman" w:eastAsia="Times New Roman" w:hAnsi="Times New Roman" w:cs="Times New Roman"/>
                <w:color w:val="000000"/>
                <w:kern w:val="0"/>
                <w:lang w:eastAsia="ro-MD"/>
                <w14:ligatures w14:val="none"/>
              </w:rPr>
              <w:t>x</w:t>
            </w:r>
          </w:p>
        </w:tc>
      </w:tr>
      <w:tr w:rsidR="00B603AB" w:rsidRPr="00825F64" w14:paraId="587E1EA6" w14:textId="77777777" w:rsidTr="006F6C14">
        <w:trPr>
          <w:tblCellSpacing w:w="0" w:type="dxa"/>
        </w:trPr>
        <w:tc>
          <w:tcPr>
            <w:tcW w:w="0" w:type="auto"/>
            <w:hideMark/>
          </w:tcPr>
          <w:p w14:paraId="79FCFC2B"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0310</w:t>
            </w:r>
          </w:p>
        </w:tc>
        <w:tc>
          <w:tcPr>
            <w:tcW w:w="717" w:type="pct"/>
            <w:hideMark/>
          </w:tcPr>
          <w:p w14:paraId="79630251"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1.1.2.2</w:t>
            </w:r>
          </w:p>
        </w:tc>
        <w:tc>
          <w:tcPr>
            <w:tcW w:w="2574" w:type="pct"/>
            <w:hideMark/>
          </w:tcPr>
          <w:p w14:paraId="665CD1A3" w14:textId="0C389954"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Abordări IRB în care se utilizează estimările proprii ale pierderii în caz de nerambursare LGD și/sau factori de conversie</w:t>
            </w:r>
          </w:p>
        </w:tc>
        <w:tc>
          <w:tcPr>
            <w:tcW w:w="444" w:type="pct"/>
          </w:tcPr>
          <w:p w14:paraId="73498463" w14:textId="2DB046A6"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11E34FEE" w14:textId="2D21C366"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825F64" w14:paraId="12BBB713" w14:textId="77777777" w:rsidTr="002B024E">
        <w:trPr>
          <w:tblCellSpacing w:w="0" w:type="dxa"/>
        </w:trPr>
        <w:tc>
          <w:tcPr>
            <w:tcW w:w="0" w:type="auto"/>
            <w:hideMark/>
          </w:tcPr>
          <w:p w14:paraId="796AA131"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0320</w:t>
            </w:r>
          </w:p>
        </w:tc>
        <w:tc>
          <w:tcPr>
            <w:tcW w:w="717" w:type="pct"/>
            <w:hideMark/>
          </w:tcPr>
          <w:p w14:paraId="0AB6BB4E"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1.1.2.2.01</w:t>
            </w:r>
          </w:p>
        </w:tc>
        <w:tc>
          <w:tcPr>
            <w:tcW w:w="2574" w:type="pct"/>
            <w:hideMark/>
          </w:tcPr>
          <w:p w14:paraId="1F3C6565"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Administrații centrale și bănci centrale</w:t>
            </w:r>
          </w:p>
        </w:tc>
        <w:tc>
          <w:tcPr>
            <w:tcW w:w="444" w:type="pct"/>
          </w:tcPr>
          <w:p w14:paraId="5E291978" w14:textId="3AAD44A5"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6B0AA729" w14:textId="0351EC09"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825F64" w14:paraId="1A54BAD4" w14:textId="77777777" w:rsidTr="006F6C14">
        <w:trPr>
          <w:tblCellSpacing w:w="0" w:type="dxa"/>
        </w:trPr>
        <w:tc>
          <w:tcPr>
            <w:tcW w:w="0" w:type="auto"/>
          </w:tcPr>
          <w:p w14:paraId="5DBD3174" w14:textId="03601274"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0325</w:t>
            </w:r>
          </w:p>
        </w:tc>
        <w:tc>
          <w:tcPr>
            <w:tcW w:w="717" w:type="pct"/>
          </w:tcPr>
          <w:p w14:paraId="3E1F06E2" w14:textId="1BBF93E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1.1.2.2.01a</w:t>
            </w:r>
          </w:p>
        </w:tc>
        <w:tc>
          <w:tcPr>
            <w:tcW w:w="2574" w:type="pct"/>
          </w:tcPr>
          <w:p w14:paraId="4757DA7A" w14:textId="34570D75" w:rsidR="00B603AB" w:rsidRPr="00512160"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512160">
              <w:rPr>
                <w:rStyle w:val="InstructionsTabelleberschrift"/>
                <w:rFonts w:ascii="Times New Roman" w:hAnsi="Times New Roman"/>
                <w:b w:val="0"/>
                <w:bCs w:val="0"/>
                <w:sz w:val="22"/>
                <w:u w:val="none"/>
              </w:rPr>
              <w:t>Administrații regionale sau autorități locale</w:t>
            </w:r>
          </w:p>
        </w:tc>
        <w:tc>
          <w:tcPr>
            <w:tcW w:w="444" w:type="pct"/>
          </w:tcPr>
          <w:p w14:paraId="774F02FB" w14:textId="242F34E7"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10655403" w14:textId="78D8CFC9"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825F64" w14:paraId="5CFA8DE7" w14:textId="77777777" w:rsidTr="006F6C14">
        <w:trPr>
          <w:tblCellSpacing w:w="0" w:type="dxa"/>
        </w:trPr>
        <w:tc>
          <w:tcPr>
            <w:tcW w:w="0" w:type="auto"/>
          </w:tcPr>
          <w:p w14:paraId="54B08B81" w14:textId="63AC6254"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0326</w:t>
            </w:r>
          </w:p>
        </w:tc>
        <w:tc>
          <w:tcPr>
            <w:tcW w:w="717" w:type="pct"/>
          </w:tcPr>
          <w:p w14:paraId="13E4B2CD" w14:textId="3D63430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1.1.2.2.01b</w:t>
            </w:r>
          </w:p>
        </w:tc>
        <w:tc>
          <w:tcPr>
            <w:tcW w:w="2574" w:type="pct"/>
          </w:tcPr>
          <w:p w14:paraId="47AC1B45" w14:textId="0AAC05EB" w:rsidR="00B603AB" w:rsidRPr="00512160"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512160">
              <w:rPr>
                <w:rStyle w:val="InstructionsTabelleberschrift"/>
                <w:rFonts w:ascii="Times New Roman" w:hAnsi="Times New Roman"/>
                <w:b w:val="0"/>
                <w:bCs w:val="0"/>
                <w:sz w:val="22"/>
                <w:u w:val="none"/>
              </w:rPr>
              <w:t>Entități din sectorul public</w:t>
            </w:r>
          </w:p>
        </w:tc>
        <w:tc>
          <w:tcPr>
            <w:tcW w:w="444" w:type="pct"/>
          </w:tcPr>
          <w:p w14:paraId="00719594" w14:textId="420D35EB"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309EF3C5" w14:textId="30A84CE8"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825F64" w14:paraId="5431899A" w14:textId="77777777" w:rsidTr="006F6C14">
        <w:trPr>
          <w:tblCellSpacing w:w="0" w:type="dxa"/>
        </w:trPr>
        <w:tc>
          <w:tcPr>
            <w:tcW w:w="0" w:type="auto"/>
            <w:hideMark/>
          </w:tcPr>
          <w:p w14:paraId="6A1EC6C8"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0350</w:t>
            </w:r>
          </w:p>
        </w:tc>
        <w:tc>
          <w:tcPr>
            <w:tcW w:w="717" w:type="pct"/>
            <w:hideMark/>
          </w:tcPr>
          <w:p w14:paraId="39BCD972"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1.1.2.2.04</w:t>
            </w:r>
          </w:p>
        </w:tc>
        <w:tc>
          <w:tcPr>
            <w:tcW w:w="2574" w:type="pct"/>
            <w:hideMark/>
          </w:tcPr>
          <w:p w14:paraId="1CEECEBF" w14:textId="77777777" w:rsidR="00B603AB" w:rsidRPr="00512160"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512160">
              <w:rPr>
                <w:rFonts w:ascii="Times New Roman" w:eastAsia="Times New Roman" w:hAnsi="Times New Roman" w:cs="Times New Roman"/>
                <w:color w:val="000000"/>
                <w:kern w:val="0"/>
                <w:lang w:eastAsia="ro-MD"/>
                <w14:ligatures w14:val="none"/>
              </w:rPr>
              <w:t>Societăți – Finanțări specializate</w:t>
            </w:r>
          </w:p>
        </w:tc>
        <w:tc>
          <w:tcPr>
            <w:tcW w:w="444" w:type="pct"/>
          </w:tcPr>
          <w:p w14:paraId="7BFBA5D1" w14:textId="62220523"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107E312F" w14:textId="4AD17FD6"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825F64" w14:paraId="7B76306A" w14:textId="77777777" w:rsidTr="006F6C14">
        <w:trPr>
          <w:tblCellSpacing w:w="0" w:type="dxa"/>
        </w:trPr>
        <w:tc>
          <w:tcPr>
            <w:tcW w:w="0" w:type="auto"/>
          </w:tcPr>
          <w:p w14:paraId="67F0D43C" w14:textId="71D6B3CA"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0355</w:t>
            </w:r>
          </w:p>
        </w:tc>
        <w:tc>
          <w:tcPr>
            <w:tcW w:w="717" w:type="pct"/>
          </w:tcPr>
          <w:p w14:paraId="1D0B0137" w14:textId="023E94E1"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1.1.2.2.04a</w:t>
            </w:r>
          </w:p>
        </w:tc>
        <w:tc>
          <w:tcPr>
            <w:tcW w:w="2574" w:type="pct"/>
          </w:tcPr>
          <w:p w14:paraId="4A3A5D11" w14:textId="63594AC1" w:rsidR="00B603AB" w:rsidRPr="00512160"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512160">
              <w:rPr>
                <w:rStyle w:val="InstructionsTabelleberschrift"/>
                <w:rFonts w:ascii="Times New Roman" w:hAnsi="Times New Roman"/>
                <w:b w:val="0"/>
                <w:bCs w:val="0"/>
                <w:sz w:val="22"/>
                <w:u w:val="none"/>
              </w:rPr>
              <w:t>Societăți – Creanțe achiziționate</w:t>
            </w:r>
          </w:p>
        </w:tc>
        <w:tc>
          <w:tcPr>
            <w:tcW w:w="444" w:type="pct"/>
          </w:tcPr>
          <w:p w14:paraId="4AC89A38" w14:textId="0AD8E2A4"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3C1136F5" w14:textId="4E2C0C18"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825F64" w14:paraId="7E28E70B" w14:textId="77777777" w:rsidTr="006F6C14">
        <w:trPr>
          <w:tblCellSpacing w:w="0" w:type="dxa"/>
        </w:trPr>
        <w:tc>
          <w:tcPr>
            <w:tcW w:w="0" w:type="auto"/>
            <w:hideMark/>
          </w:tcPr>
          <w:p w14:paraId="0B78B543"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0360</w:t>
            </w:r>
          </w:p>
        </w:tc>
        <w:tc>
          <w:tcPr>
            <w:tcW w:w="717" w:type="pct"/>
            <w:hideMark/>
          </w:tcPr>
          <w:p w14:paraId="30CE766D"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1.1.2.2.05</w:t>
            </w:r>
          </w:p>
        </w:tc>
        <w:tc>
          <w:tcPr>
            <w:tcW w:w="2574" w:type="pct"/>
            <w:hideMark/>
          </w:tcPr>
          <w:p w14:paraId="7BA1F814" w14:textId="77777777" w:rsidR="00B603AB" w:rsidRPr="00512160"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512160">
              <w:rPr>
                <w:rFonts w:ascii="Times New Roman" w:eastAsia="Times New Roman" w:hAnsi="Times New Roman" w:cs="Times New Roman"/>
                <w:color w:val="000000"/>
                <w:kern w:val="0"/>
                <w:lang w:eastAsia="ro-MD"/>
                <w14:ligatures w14:val="none"/>
              </w:rPr>
              <w:t>Societăți – Altele</w:t>
            </w:r>
          </w:p>
        </w:tc>
        <w:tc>
          <w:tcPr>
            <w:tcW w:w="444" w:type="pct"/>
          </w:tcPr>
          <w:p w14:paraId="4EB40B95" w14:textId="43F628D9"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0FB71838" w14:textId="3D7B72F6"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183777" w:rsidRPr="00825F64" w14:paraId="795C233B" w14:textId="77777777" w:rsidTr="006F6C14">
        <w:trPr>
          <w:tblCellSpacing w:w="0" w:type="dxa"/>
        </w:trPr>
        <w:tc>
          <w:tcPr>
            <w:tcW w:w="0" w:type="auto"/>
          </w:tcPr>
          <w:p w14:paraId="66E1A019" w14:textId="279F9AEB" w:rsidR="00183777" w:rsidRPr="00825F64" w:rsidRDefault="00183777" w:rsidP="00A039F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0415</w:t>
            </w:r>
          </w:p>
        </w:tc>
        <w:tc>
          <w:tcPr>
            <w:tcW w:w="717" w:type="pct"/>
          </w:tcPr>
          <w:p w14:paraId="78C7D4A4" w14:textId="48D779B3" w:rsidR="00183777" w:rsidRPr="00825F64" w:rsidRDefault="00183777" w:rsidP="00A039F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1.1.2.2.05a*</w:t>
            </w:r>
          </w:p>
        </w:tc>
        <w:tc>
          <w:tcPr>
            <w:tcW w:w="2574" w:type="pct"/>
          </w:tcPr>
          <w:p w14:paraId="2535978F" w14:textId="5BF55679" w:rsidR="00183777" w:rsidRPr="00512160" w:rsidRDefault="00183777" w:rsidP="00A039F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512160">
              <w:rPr>
                <w:rStyle w:val="InstructionsTabelleberschrift"/>
                <w:rFonts w:ascii="Times New Roman" w:hAnsi="Times New Roman"/>
                <w:b w:val="0"/>
                <w:bCs w:val="0"/>
                <w:sz w:val="22"/>
                <w:u w:val="none"/>
              </w:rPr>
              <w:t>Element memorandum: Societăți – Societăți mari</w:t>
            </w:r>
          </w:p>
        </w:tc>
        <w:tc>
          <w:tcPr>
            <w:tcW w:w="444" w:type="pct"/>
          </w:tcPr>
          <w:p w14:paraId="1E0E81A7" w14:textId="31A0144B" w:rsidR="00183777" w:rsidRPr="00825F64" w:rsidRDefault="00352CBB" w:rsidP="00A039FD">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x</w:t>
            </w:r>
          </w:p>
        </w:tc>
        <w:tc>
          <w:tcPr>
            <w:tcW w:w="0" w:type="auto"/>
          </w:tcPr>
          <w:p w14:paraId="140405B8" w14:textId="246894AE" w:rsidR="00183777" w:rsidRPr="00825F64" w:rsidRDefault="00352CBB" w:rsidP="00A039FD">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x</w:t>
            </w:r>
          </w:p>
        </w:tc>
      </w:tr>
      <w:tr w:rsidR="00183777" w:rsidRPr="00825F64" w14:paraId="663FB1BC" w14:textId="77777777" w:rsidTr="006F6C14">
        <w:trPr>
          <w:tblCellSpacing w:w="0" w:type="dxa"/>
        </w:trPr>
        <w:tc>
          <w:tcPr>
            <w:tcW w:w="0" w:type="auto"/>
          </w:tcPr>
          <w:p w14:paraId="3516BF4C" w14:textId="04B37A7C" w:rsidR="00183777" w:rsidRPr="00825F64" w:rsidRDefault="00183777" w:rsidP="00A039F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0416</w:t>
            </w:r>
          </w:p>
        </w:tc>
        <w:tc>
          <w:tcPr>
            <w:tcW w:w="717" w:type="pct"/>
          </w:tcPr>
          <w:p w14:paraId="44B58D31" w14:textId="7219CC1A" w:rsidR="00183777" w:rsidRPr="00825F64" w:rsidRDefault="00183777" w:rsidP="00A039F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1.1.2.2.05a**</w:t>
            </w:r>
          </w:p>
        </w:tc>
        <w:tc>
          <w:tcPr>
            <w:tcW w:w="2574" w:type="pct"/>
          </w:tcPr>
          <w:p w14:paraId="03F66EB1" w14:textId="6E035345" w:rsidR="00183777" w:rsidRPr="00512160" w:rsidRDefault="00183777" w:rsidP="00A039F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512160">
              <w:rPr>
                <w:rStyle w:val="InstructionsTabelleberschrift"/>
                <w:rFonts w:ascii="Times New Roman" w:hAnsi="Times New Roman"/>
                <w:b w:val="0"/>
                <w:bCs w:val="0"/>
                <w:sz w:val="22"/>
                <w:u w:val="none"/>
              </w:rPr>
              <w:t>Element memorandum: Societăți – IMM-uri</w:t>
            </w:r>
          </w:p>
        </w:tc>
        <w:tc>
          <w:tcPr>
            <w:tcW w:w="444" w:type="pct"/>
          </w:tcPr>
          <w:p w14:paraId="22954EFD" w14:textId="447C5D62" w:rsidR="00183777" w:rsidRPr="00825F64" w:rsidRDefault="00352CBB" w:rsidP="00A039FD">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x</w:t>
            </w:r>
          </w:p>
        </w:tc>
        <w:tc>
          <w:tcPr>
            <w:tcW w:w="0" w:type="auto"/>
          </w:tcPr>
          <w:p w14:paraId="20012045" w14:textId="3C7A3566" w:rsidR="00183777" w:rsidRPr="00825F64" w:rsidRDefault="00352CBB" w:rsidP="00A039FD">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x</w:t>
            </w:r>
          </w:p>
        </w:tc>
      </w:tr>
      <w:tr w:rsidR="00B603AB" w:rsidRPr="00825F64" w14:paraId="63C60FB6" w14:textId="77777777" w:rsidTr="002B024E">
        <w:trPr>
          <w:tblCellSpacing w:w="0" w:type="dxa"/>
        </w:trPr>
        <w:tc>
          <w:tcPr>
            <w:tcW w:w="0" w:type="auto"/>
            <w:hideMark/>
          </w:tcPr>
          <w:p w14:paraId="023494E0" w14:textId="06CDB1E0"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0371</w:t>
            </w:r>
          </w:p>
        </w:tc>
        <w:tc>
          <w:tcPr>
            <w:tcW w:w="717" w:type="pct"/>
            <w:hideMark/>
          </w:tcPr>
          <w:p w14:paraId="363FFCDD"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1.1.2.2.06</w:t>
            </w:r>
          </w:p>
        </w:tc>
        <w:tc>
          <w:tcPr>
            <w:tcW w:w="2574" w:type="pct"/>
            <w:hideMark/>
          </w:tcPr>
          <w:p w14:paraId="4FD47990" w14:textId="71B079E5"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Retail –Garantate cu bunuri imobile locative</w:t>
            </w:r>
          </w:p>
        </w:tc>
        <w:tc>
          <w:tcPr>
            <w:tcW w:w="444" w:type="pct"/>
          </w:tcPr>
          <w:p w14:paraId="185FB7CE" w14:textId="04C8AE31"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25485A89" w14:textId="2FDE78AF"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825F64" w14:paraId="02FCA5B5" w14:textId="77777777" w:rsidTr="006F6C14">
        <w:trPr>
          <w:tblCellSpacing w:w="0" w:type="dxa"/>
        </w:trPr>
        <w:tc>
          <w:tcPr>
            <w:tcW w:w="0" w:type="auto"/>
            <w:hideMark/>
          </w:tcPr>
          <w:p w14:paraId="59EEAA72"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0390</w:t>
            </w:r>
          </w:p>
        </w:tc>
        <w:tc>
          <w:tcPr>
            <w:tcW w:w="717" w:type="pct"/>
            <w:hideMark/>
          </w:tcPr>
          <w:p w14:paraId="340DCD47"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1.1.2.2.08</w:t>
            </w:r>
          </w:p>
        </w:tc>
        <w:tc>
          <w:tcPr>
            <w:tcW w:w="2574" w:type="pct"/>
            <w:hideMark/>
          </w:tcPr>
          <w:p w14:paraId="1088EBEC"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Retail – Expuneri eligibile reînnoibile</w:t>
            </w:r>
          </w:p>
        </w:tc>
        <w:tc>
          <w:tcPr>
            <w:tcW w:w="444" w:type="pct"/>
          </w:tcPr>
          <w:p w14:paraId="7269CBFC" w14:textId="2433B30F"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6FCF6904" w14:textId="21CF2E66"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6F6C14" w14:paraId="53AB87E7" w14:textId="77777777" w:rsidTr="006F6C14">
        <w:trPr>
          <w:tblCellSpacing w:w="0" w:type="dxa"/>
        </w:trPr>
        <w:tc>
          <w:tcPr>
            <w:tcW w:w="0" w:type="auto"/>
          </w:tcPr>
          <w:p w14:paraId="59E69CE9" w14:textId="13E57B6B"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0395</w:t>
            </w:r>
          </w:p>
        </w:tc>
        <w:tc>
          <w:tcPr>
            <w:tcW w:w="717" w:type="pct"/>
          </w:tcPr>
          <w:p w14:paraId="7F1E8BD4" w14:textId="7F42E58D"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1.1.2.2.08a</w:t>
            </w:r>
          </w:p>
        </w:tc>
        <w:tc>
          <w:tcPr>
            <w:tcW w:w="2574" w:type="pct"/>
          </w:tcPr>
          <w:p w14:paraId="51E74784" w14:textId="5F4B16D2" w:rsidR="00B603AB" w:rsidRPr="006F6C14" w:rsidRDefault="00B603AB" w:rsidP="00B603AB">
            <w:pPr>
              <w:spacing w:before="100" w:beforeAutospacing="1" w:after="100" w:afterAutospacing="1" w:line="240" w:lineRule="auto"/>
              <w:rPr>
                <w:rFonts w:ascii="Times New Roman" w:eastAsia="Times New Roman" w:hAnsi="Times New Roman" w:cs="Times New Roman"/>
                <w:b/>
                <w:color w:val="000000"/>
                <w:kern w:val="0"/>
                <w:lang w:eastAsia="ro-MD"/>
                <w14:ligatures w14:val="none"/>
              </w:rPr>
            </w:pPr>
            <w:r w:rsidRPr="006F6C14">
              <w:rPr>
                <w:rStyle w:val="InstructionsTabelleberschrift"/>
                <w:rFonts w:ascii="Times New Roman" w:hAnsi="Times New Roman"/>
                <w:b w:val="0"/>
                <w:bCs w:val="0"/>
                <w:sz w:val="22"/>
                <w:u w:val="none"/>
              </w:rPr>
              <w:t>Retail – Creanțe achiziționate</w:t>
            </w:r>
          </w:p>
        </w:tc>
        <w:tc>
          <w:tcPr>
            <w:tcW w:w="444" w:type="pct"/>
          </w:tcPr>
          <w:p w14:paraId="69DAD8BD" w14:textId="11386832"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30AF6467" w14:textId="6BC57578"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6F6C14" w14:paraId="1A3979F1" w14:textId="77777777" w:rsidTr="006F6C14">
        <w:trPr>
          <w:tblCellSpacing w:w="0" w:type="dxa"/>
        </w:trPr>
        <w:tc>
          <w:tcPr>
            <w:tcW w:w="0" w:type="auto"/>
            <w:hideMark/>
          </w:tcPr>
          <w:p w14:paraId="316DCFEB" w14:textId="2E355FD3"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0401</w:t>
            </w:r>
          </w:p>
        </w:tc>
        <w:tc>
          <w:tcPr>
            <w:tcW w:w="717" w:type="pct"/>
            <w:hideMark/>
          </w:tcPr>
          <w:p w14:paraId="5CCE48EE"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1.1.2.2.09</w:t>
            </w:r>
          </w:p>
        </w:tc>
        <w:tc>
          <w:tcPr>
            <w:tcW w:w="2574" w:type="pct"/>
            <w:hideMark/>
          </w:tcPr>
          <w:p w14:paraId="70D0CC24" w14:textId="50A9E17E"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 xml:space="preserve">Retail – Altele </w:t>
            </w:r>
          </w:p>
        </w:tc>
        <w:tc>
          <w:tcPr>
            <w:tcW w:w="444" w:type="pct"/>
          </w:tcPr>
          <w:p w14:paraId="6CF9A7E2" w14:textId="31E1651D"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153480AF" w14:textId="3C01F359"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727495" w:rsidRPr="006F6C14" w14:paraId="6028AC92" w14:textId="77777777" w:rsidTr="006F6C14">
        <w:trPr>
          <w:tblCellSpacing w:w="0" w:type="dxa"/>
        </w:trPr>
        <w:tc>
          <w:tcPr>
            <w:tcW w:w="0" w:type="auto"/>
          </w:tcPr>
          <w:p w14:paraId="3C771AFB" w14:textId="1052CBA5" w:rsidR="00727495" w:rsidRPr="00825F64" w:rsidRDefault="00727495"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0405</w:t>
            </w:r>
          </w:p>
        </w:tc>
        <w:tc>
          <w:tcPr>
            <w:tcW w:w="717" w:type="pct"/>
          </w:tcPr>
          <w:p w14:paraId="4052D82A" w14:textId="0B17336D" w:rsidR="00727495" w:rsidRPr="00825F64" w:rsidRDefault="00727495"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1.1.2.2.09.01</w:t>
            </w:r>
          </w:p>
        </w:tc>
        <w:tc>
          <w:tcPr>
            <w:tcW w:w="2574" w:type="pct"/>
          </w:tcPr>
          <w:p w14:paraId="453B99F3" w14:textId="228B43B0" w:rsidR="00727495" w:rsidRPr="00EA59DC" w:rsidRDefault="00727495" w:rsidP="00A84D2B">
            <w:pPr>
              <w:pStyle w:val="InstructionsText"/>
              <w:rPr>
                <w:b/>
                <w:bCs/>
                <w:color w:val="000000"/>
                <w:lang w:eastAsia="ro-MD"/>
              </w:rPr>
            </w:pPr>
            <w:r w:rsidRPr="00EA59DC">
              <w:t>Din care: garantate cu bunuri imobiliare comerciale</w:t>
            </w:r>
          </w:p>
        </w:tc>
        <w:tc>
          <w:tcPr>
            <w:tcW w:w="444" w:type="pct"/>
          </w:tcPr>
          <w:p w14:paraId="1A8DDF30" w14:textId="77777777" w:rsidR="00727495" w:rsidRPr="00825F64" w:rsidRDefault="00727495"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4FB7FB18" w14:textId="77777777" w:rsidR="00727495" w:rsidRPr="00825F64" w:rsidRDefault="00727495"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183777" w:rsidRPr="00825F64" w14:paraId="61266A05" w14:textId="77777777" w:rsidTr="006F6C14">
        <w:trPr>
          <w:tblCellSpacing w:w="0" w:type="dxa"/>
        </w:trPr>
        <w:tc>
          <w:tcPr>
            <w:tcW w:w="0" w:type="auto"/>
            <w:hideMark/>
          </w:tcPr>
          <w:p w14:paraId="2A07C727" w14:textId="5D4CE76D" w:rsidR="00183777" w:rsidRPr="00825F64" w:rsidRDefault="00183777" w:rsidP="00A039F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0411</w:t>
            </w:r>
          </w:p>
        </w:tc>
        <w:tc>
          <w:tcPr>
            <w:tcW w:w="717" w:type="pct"/>
            <w:hideMark/>
          </w:tcPr>
          <w:p w14:paraId="076FEA47" w14:textId="0F69326C" w:rsidR="00183777" w:rsidRPr="00825F64" w:rsidRDefault="00183777" w:rsidP="00A039F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1.1.2.2.11*</w:t>
            </w:r>
          </w:p>
        </w:tc>
        <w:tc>
          <w:tcPr>
            <w:tcW w:w="2574" w:type="pct"/>
            <w:hideMark/>
          </w:tcPr>
          <w:p w14:paraId="6B7B67BA" w14:textId="35896952" w:rsidR="00183777" w:rsidRPr="00825F64" w:rsidRDefault="00183777" w:rsidP="00A039F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Element memorandum: Retail - Expuneri garantate cu bunuri imobile ale IMM-urilor</w:t>
            </w:r>
          </w:p>
        </w:tc>
        <w:tc>
          <w:tcPr>
            <w:tcW w:w="444" w:type="pct"/>
          </w:tcPr>
          <w:p w14:paraId="39FA139E" w14:textId="387DBA74" w:rsidR="00183777" w:rsidRPr="00825F64" w:rsidRDefault="00352CBB" w:rsidP="00A039FD">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x</w:t>
            </w:r>
          </w:p>
        </w:tc>
        <w:tc>
          <w:tcPr>
            <w:tcW w:w="0" w:type="auto"/>
            <w:hideMark/>
          </w:tcPr>
          <w:p w14:paraId="784744C6" w14:textId="29C30741" w:rsidR="00183777" w:rsidRPr="00825F64" w:rsidRDefault="00183777" w:rsidP="00A039FD">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x</w:t>
            </w:r>
          </w:p>
        </w:tc>
      </w:tr>
      <w:tr w:rsidR="00183777" w:rsidRPr="00825F64" w14:paraId="7C31813B" w14:textId="77777777" w:rsidTr="006F6C14">
        <w:trPr>
          <w:tblCellSpacing w:w="0" w:type="dxa"/>
        </w:trPr>
        <w:tc>
          <w:tcPr>
            <w:tcW w:w="0" w:type="auto"/>
          </w:tcPr>
          <w:p w14:paraId="2A0B85B9" w14:textId="2BD90FC1" w:rsidR="00183777" w:rsidRPr="00825F64" w:rsidRDefault="00183777" w:rsidP="00486A57">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0412</w:t>
            </w:r>
          </w:p>
        </w:tc>
        <w:tc>
          <w:tcPr>
            <w:tcW w:w="717" w:type="pct"/>
          </w:tcPr>
          <w:p w14:paraId="1715DEA7" w14:textId="55C4DD59" w:rsidR="00183777" w:rsidRPr="00825F64" w:rsidRDefault="00183777" w:rsidP="00486A57">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1.1.2.2.11**</w:t>
            </w:r>
          </w:p>
        </w:tc>
        <w:tc>
          <w:tcPr>
            <w:tcW w:w="2574" w:type="pct"/>
          </w:tcPr>
          <w:p w14:paraId="3D0B7B58" w14:textId="1BD77E2E" w:rsidR="00183777" w:rsidRPr="00825F64" w:rsidRDefault="00183777" w:rsidP="00486A57">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Element memorandum: Retail - Expuneri garantate cu bunuri imobile ale întreprinderilor, altele decât IMM-uri</w:t>
            </w:r>
          </w:p>
        </w:tc>
        <w:tc>
          <w:tcPr>
            <w:tcW w:w="444" w:type="pct"/>
          </w:tcPr>
          <w:p w14:paraId="34BF579A" w14:textId="29E40587" w:rsidR="00183777" w:rsidRPr="00825F64" w:rsidRDefault="00352CBB" w:rsidP="00486A57">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x</w:t>
            </w:r>
          </w:p>
        </w:tc>
        <w:tc>
          <w:tcPr>
            <w:tcW w:w="0" w:type="auto"/>
          </w:tcPr>
          <w:p w14:paraId="7C87AE2A" w14:textId="2B09CB78" w:rsidR="00183777" w:rsidRPr="00825F64" w:rsidRDefault="00352CBB" w:rsidP="00486A57">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x</w:t>
            </w:r>
          </w:p>
        </w:tc>
      </w:tr>
      <w:tr w:rsidR="00183777" w:rsidRPr="00825F64" w14:paraId="1603689B" w14:textId="77777777" w:rsidTr="006F6C14">
        <w:trPr>
          <w:tblCellSpacing w:w="0" w:type="dxa"/>
        </w:trPr>
        <w:tc>
          <w:tcPr>
            <w:tcW w:w="0" w:type="auto"/>
          </w:tcPr>
          <w:p w14:paraId="5096BE79" w14:textId="4716240D" w:rsidR="00183777" w:rsidRPr="00825F64" w:rsidRDefault="00183777" w:rsidP="00486A57">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0413</w:t>
            </w:r>
          </w:p>
        </w:tc>
        <w:tc>
          <w:tcPr>
            <w:tcW w:w="717" w:type="pct"/>
          </w:tcPr>
          <w:p w14:paraId="4215F775" w14:textId="4201A990" w:rsidR="00183777" w:rsidRPr="00825F64" w:rsidRDefault="00183777" w:rsidP="00486A57">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1.1.2.2.11***</w:t>
            </w:r>
          </w:p>
        </w:tc>
        <w:tc>
          <w:tcPr>
            <w:tcW w:w="2574" w:type="pct"/>
          </w:tcPr>
          <w:p w14:paraId="5FC312A0" w14:textId="6F01C7A0" w:rsidR="00183777" w:rsidRPr="00825F64" w:rsidRDefault="00183777" w:rsidP="00486A57">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Element memorandum: Retail – Alte IMM-uri</w:t>
            </w:r>
          </w:p>
        </w:tc>
        <w:tc>
          <w:tcPr>
            <w:tcW w:w="444" w:type="pct"/>
          </w:tcPr>
          <w:p w14:paraId="61808857" w14:textId="003EE88B" w:rsidR="00183777" w:rsidRPr="00825F64" w:rsidRDefault="00352CBB" w:rsidP="00486A57">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x</w:t>
            </w:r>
          </w:p>
        </w:tc>
        <w:tc>
          <w:tcPr>
            <w:tcW w:w="0" w:type="auto"/>
          </w:tcPr>
          <w:p w14:paraId="59AE7D22" w14:textId="6AC0F477" w:rsidR="00183777" w:rsidRPr="00825F64" w:rsidRDefault="00352CBB" w:rsidP="00486A57">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x</w:t>
            </w:r>
          </w:p>
        </w:tc>
      </w:tr>
      <w:tr w:rsidR="00183777" w:rsidRPr="00825F64" w14:paraId="119C865F" w14:textId="77777777" w:rsidTr="006F6C14">
        <w:trPr>
          <w:tblCellSpacing w:w="0" w:type="dxa"/>
        </w:trPr>
        <w:tc>
          <w:tcPr>
            <w:tcW w:w="0" w:type="auto"/>
          </w:tcPr>
          <w:p w14:paraId="20E7ED90" w14:textId="6230FCC9" w:rsidR="00183777" w:rsidRPr="00825F64" w:rsidRDefault="00183777" w:rsidP="0045581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0414</w:t>
            </w:r>
          </w:p>
        </w:tc>
        <w:tc>
          <w:tcPr>
            <w:tcW w:w="717" w:type="pct"/>
          </w:tcPr>
          <w:p w14:paraId="7C917504" w14:textId="66850669" w:rsidR="00183777" w:rsidRPr="00825F64" w:rsidRDefault="00183777" w:rsidP="0045581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1.1.2.2.11****</w:t>
            </w:r>
          </w:p>
        </w:tc>
        <w:tc>
          <w:tcPr>
            <w:tcW w:w="2574" w:type="pct"/>
          </w:tcPr>
          <w:p w14:paraId="73431422" w14:textId="4107DE3A" w:rsidR="00183777" w:rsidRPr="00825F64" w:rsidRDefault="00183777" w:rsidP="0045581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Element memorandum: Retail – Societăți, altele decât IMM-uri</w:t>
            </w:r>
          </w:p>
        </w:tc>
        <w:tc>
          <w:tcPr>
            <w:tcW w:w="444" w:type="pct"/>
          </w:tcPr>
          <w:p w14:paraId="357606FE" w14:textId="2151E671" w:rsidR="00183777" w:rsidRPr="00825F64" w:rsidRDefault="00352CBB" w:rsidP="0045581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x</w:t>
            </w:r>
          </w:p>
        </w:tc>
        <w:tc>
          <w:tcPr>
            <w:tcW w:w="0" w:type="auto"/>
          </w:tcPr>
          <w:p w14:paraId="6F685BF4" w14:textId="1CF93739" w:rsidR="00183777" w:rsidRPr="00825F64" w:rsidRDefault="00352CBB" w:rsidP="0045581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x</w:t>
            </w:r>
          </w:p>
        </w:tc>
      </w:tr>
      <w:tr w:rsidR="00B603AB" w:rsidRPr="00825F64" w14:paraId="50F34380" w14:textId="77777777" w:rsidTr="006F6C14">
        <w:trPr>
          <w:tblCellSpacing w:w="0" w:type="dxa"/>
        </w:trPr>
        <w:tc>
          <w:tcPr>
            <w:tcW w:w="0" w:type="auto"/>
            <w:hideMark/>
          </w:tcPr>
          <w:p w14:paraId="19BE3908"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0420</w:t>
            </w:r>
          </w:p>
        </w:tc>
        <w:tc>
          <w:tcPr>
            <w:tcW w:w="717" w:type="pct"/>
            <w:hideMark/>
          </w:tcPr>
          <w:p w14:paraId="319E9B02"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1.1.2.3</w:t>
            </w:r>
          </w:p>
        </w:tc>
        <w:tc>
          <w:tcPr>
            <w:tcW w:w="2574" w:type="pct"/>
            <w:hideMark/>
          </w:tcPr>
          <w:p w14:paraId="2CAD70EC"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Titlurile de capital din abordarea IRB</w:t>
            </w:r>
          </w:p>
        </w:tc>
        <w:tc>
          <w:tcPr>
            <w:tcW w:w="444" w:type="pct"/>
          </w:tcPr>
          <w:p w14:paraId="1FE69369" w14:textId="21CA5C66"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14D1D55E" w14:textId="01021E18"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6F6C14" w14:paraId="4FCDE172" w14:textId="77777777" w:rsidTr="006F6C14">
        <w:trPr>
          <w:tblCellSpacing w:w="0" w:type="dxa"/>
        </w:trPr>
        <w:tc>
          <w:tcPr>
            <w:tcW w:w="0" w:type="auto"/>
          </w:tcPr>
          <w:p w14:paraId="3F07F579" w14:textId="16E919B1"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0425</w:t>
            </w:r>
          </w:p>
        </w:tc>
        <w:tc>
          <w:tcPr>
            <w:tcW w:w="717" w:type="pct"/>
          </w:tcPr>
          <w:p w14:paraId="2F60F90D" w14:textId="64231046"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1.1.2.4</w:t>
            </w:r>
          </w:p>
        </w:tc>
        <w:tc>
          <w:tcPr>
            <w:tcW w:w="2574" w:type="pct"/>
          </w:tcPr>
          <w:p w14:paraId="363F3640" w14:textId="31889B44" w:rsidR="00B603AB" w:rsidRPr="002B024E" w:rsidRDefault="00B603AB" w:rsidP="00A84D2B">
            <w:pPr>
              <w:pStyle w:val="InstructionsText"/>
              <w:rPr>
                <w:b/>
              </w:rPr>
            </w:pPr>
            <w:r w:rsidRPr="00972A5C">
              <w:rPr>
                <w:rStyle w:val="InstructionsTabelleberschrift"/>
                <w:rFonts w:ascii="Times New Roman" w:hAnsi="Times New Roman"/>
                <w:b w:val="0"/>
                <w:bCs w:val="0"/>
                <w:sz w:val="22"/>
                <w:u w:val="none"/>
              </w:rPr>
              <w:t>Organisme de plasament colectiv (OPC)</w:t>
            </w:r>
          </w:p>
        </w:tc>
        <w:tc>
          <w:tcPr>
            <w:tcW w:w="444" w:type="pct"/>
          </w:tcPr>
          <w:p w14:paraId="2218B133" w14:textId="573038C8"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3210F684" w14:textId="494928D4"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603AB" w:rsidRPr="00825F64" w14:paraId="5F26B011" w14:textId="77777777" w:rsidTr="006F6C14">
        <w:trPr>
          <w:tblCellSpacing w:w="0" w:type="dxa"/>
        </w:trPr>
        <w:tc>
          <w:tcPr>
            <w:tcW w:w="0" w:type="auto"/>
            <w:hideMark/>
          </w:tcPr>
          <w:p w14:paraId="1F7162DD"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lastRenderedPageBreak/>
              <w:t>0450</w:t>
            </w:r>
          </w:p>
        </w:tc>
        <w:tc>
          <w:tcPr>
            <w:tcW w:w="717" w:type="pct"/>
            <w:hideMark/>
          </w:tcPr>
          <w:p w14:paraId="5BEA7833" w14:textId="77777777" w:rsidR="00B603AB" w:rsidRPr="00825F64"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1.1.2.5</w:t>
            </w:r>
          </w:p>
        </w:tc>
        <w:tc>
          <w:tcPr>
            <w:tcW w:w="2574" w:type="pct"/>
            <w:hideMark/>
          </w:tcPr>
          <w:p w14:paraId="4D12140B" w14:textId="3F37C678" w:rsidR="00B603AB" w:rsidRPr="00512160" w:rsidRDefault="00B603AB" w:rsidP="00B603A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512160">
              <w:rPr>
                <w:rFonts w:ascii="Times New Roman" w:eastAsia="Times New Roman" w:hAnsi="Times New Roman" w:cs="Times New Roman"/>
                <w:color w:val="000000"/>
                <w:kern w:val="0"/>
                <w:lang w:eastAsia="ro-MD"/>
                <w14:ligatures w14:val="none"/>
              </w:rPr>
              <w:t>Active, altele decât cele care reprezintă creanțe de natura creditelor</w:t>
            </w:r>
          </w:p>
        </w:tc>
        <w:tc>
          <w:tcPr>
            <w:tcW w:w="444" w:type="pct"/>
          </w:tcPr>
          <w:p w14:paraId="0A6AB12C" w14:textId="42724370"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4997C9D4" w14:textId="4E3CA712" w:rsidR="00B603AB" w:rsidRPr="00825F64" w:rsidRDefault="00B603AB" w:rsidP="00B603A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183777" w:rsidRPr="00825F64" w14:paraId="7CA285FE" w14:textId="77777777" w:rsidTr="006F6C14">
        <w:trPr>
          <w:tblCellSpacing w:w="0" w:type="dxa"/>
        </w:trPr>
        <w:tc>
          <w:tcPr>
            <w:tcW w:w="0" w:type="auto"/>
          </w:tcPr>
          <w:p w14:paraId="00026FC8" w14:textId="41D10B4C" w:rsidR="00183777" w:rsidRPr="00825F64" w:rsidRDefault="00183777" w:rsidP="0045581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0455</w:t>
            </w:r>
          </w:p>
        </w:tc>
        <w:tc>
          <w:tcPr>
            <w:tcW w:w="717" w:type="pct"/>
          </w:tcPr>
          <w:p w14:paraId="78870785" w14:textId="150336AE" w:rsidR="00183777" w:rsidRPr="00825F64" w:rsidRDefault="00183777" w:rsidP="0045581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1.1.2.5.1</w:t>
            </w:r>
          </w:p>
        </w:tc>
        <w:tc>
          <w:tcPr>
            <w:tcW w:w="2574" w:type="pct"/>
          </w:tcPr>
          <w:p w14:paraId="6F387E8A" w14:textId="3D6DC983" w:rsidR="00183777" w:rsidRPr="00512160" w:rsidRDefault="00183777" w:rsidP="0045581B">
            <w:pPr>
              <w:spacing w:before="100" w:beforeAutospacing="1" w:after="100" w:afterAutospacing="1" w:line="240" w:lineRule="auto"/>
              <w:rPr>
                <w:rFonts w:ascii="Times New Roman" w:eastAsia="Times New Roman" w:hAnsi="Times New Roman" w:cs="Times New Roman"/>
                <w:b/>
                <w:color w:val="000000"/>
                <w:kern w:val="0"/>
                <w:lang w:eastAsia="ro-MD"/>
                <w14:ligatures w14:val="none"/>
              </w:rPr>
            </w:pPr>
            <w:r w:rsidRPr="00512160">
              <w:rPr>
                <w:rStyle w:val="InstructionsTabelleberschrift"/>
                <w:rFonts w:ascii="Times New Roman" w:hAnsi="Times New Roman"/>
                <w:b w:val="0"/>
                <w:bCs w:val="0"/>
                <w:sz w:val="22"/>
                <w:u w:val="none"/>
              </w:rPr>
              <w:t xml:space="preserve">Din care programe informatice contabilizate drept </w:t>
            </w:r>
            <w:r w:rsidR="00065889" w:rsidRPr="00512160">
              <w:rPr>
                <w:rFonts w:ascii="Times New Roman" w:eastAsia="Times New Roman" w:hAnsi="Times New Roman" w:cs="Times New Roman"/>
                <w:color w:val="000000"/>
                <w:kern w:val="0"/>
                <w:lang w:eastAsia="ro-MD"/>
                <w14:ligatures w14:val="none"/>
              </w:rPr>
              <w:t>imobilizări</w:t>
            </w:r>
            <w:r w:rsidRPr="00512160">
              <w:rPr>
                <w:rStyle w:val="InstructionsTabelleberschrift"/>
                <w:rFonts w:ascii="Times New Roman" w:hAnsi="Times New Roman"/>
                <w:b w:val="0"/>
                <w:bCs w:val="0"/>
                <w:sz w:val="22"/>
                <w:u w:val="none"/>
              </w:rPr>
              <w:t xml:space="preserve"> necorporale</w:t>
            </w:r>
          </w:p>
        </w:tc>
        <w:tc>
          <w:tcPr>
            <w:tcW w:w="444" w:type="pct"/>
          </w:tcPr>
          <w:p w14:paraId="4D4D9437" w14:textId="11908590" w:rsidR="00183777" w:rsidRPr="00825F64" w:rsidRDefault="00183777" w:rsidP="0045581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655B5A42" w14:textId="34AB5469" w:rsidR="00183777" w:rsidRPr="00825F64" w:rsidRDefault="00352CBB" w:rsidP="0045581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x</w:t>
            </w:r>
          </w:p>
        </w:tc>
      </w:tr>
      <w:tr w:rsidR="00BA708E" w:rsidRPr="00825F64" w14:paraId="676D1480" w14:textId="77777777" w:rsidTr="006F6C14">
        <w:trPr>
          <w:tblCellSpacing w:w="0" w:type="dxa"/>
        </w:trPr>
        <w:tc>
          <w:tcPr>
            <w:tcW w:w="0" w:type="auto"/>
            <w:hideMark/>
          </w:tcPr>
          <w:p w14:paraId="6A3D6526"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0460</w:t>
            </w:r>
          </w:p>
        </w:tc>
        <w:tc>
          <w:tcPr>
            <w:tcW w:w="717" w:type="pct"/>
            <w:hideMark/>
          </w:tcPr>
          <w:p w14:paraId="505E4F00"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1.1.3</w:t>
            </w:r>
          </w:p>
        </w:tc>
        <w:tc>
          <w:tcPr>
            <w:tcW w:w="2574" w:type="pct"/>
            <w:hideMark/>
          </w:tcPr>
          <w:p w14:paraId="4D0997EE" w14:textId="5200B3D3"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Cuantumul expunerii la risc pentru contribuțiile la fondul de garantare al unei CPC</w:t>
            </w:r>
          </w:p>
        </w:tc>
        <w:tc>
          <w:tcPr>
            <w:tcW w:w="444" w:type="pct"/>
          </w:tcPr>
          <w:p w14:paraId="774A5A82" w14:textId="3B7F42E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041652A4" w14:textId="73BD2D49"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5DBF0CA9" w14:textId="77777777" w:rsidTr="002B024E">
        <w:trPr>
          <w:tblCellSpacing w:w="0" w:type="dxa"/>
        </w:trPr>
        <w:tc>
          <w:tcPr>
            <w:tcW w:w="0" w:type="auto"/>
            <w:hideMark/>
          </w:tcPr>
          <w:p w14:paraId="5EB851CF"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0470</w:t>
            </w:r>
          </w:p>
        </w:tc>
        <w:tc>
          <w:tcPr>
            <w:tcW w:w="717" w:type="pct"/>
            <w:hideMark/>
          </w:tcPr>
          <w:p w14:paraId="60274DD6"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1.1.4</w:t>
            </w:r>
          </w:p>
        </w:tc>
        <w:tc>
          <w:tcPr>
            <w:tcW w:w="2574" w:type="pct"/>
            <w:hideMark/>
          </w:tcPr>
          <w:p w14:paraId="5EE1EA33"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Poziții din securitizare</w:t>
            </w:r>
          </w:p>
        </w:tc>
        <w:tc>
          <w:tcPr>
            <w:tcW w:w="444" w:type="pct"/>
          </w:tcPr>
          <w:p w14:paraId="7D96D457" w14:textId="71326013"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1BE2901B" w14:textId="1C367BA6"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7D1991DC" w14:textId="77777777" w:rsidTr="002B024E">
        <w:trPr>
          <w:tblCellSpacing w:w="0" w:type="dxa"/>
        </w:trPr>
        <w:tc>
          <w:tcPr>
            <w:tcW w:w="0" w:type="auto"/>
            <w:hideMark/>
          </w:tcPr>
          <w:p w14:paraId="055599B9"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0490</w:t>
            </w:r>
          </w:p>
        </w:tc>
        <w:tc>
          <w:tcPr>
            <w:tcW w:w="717" w:type="pct"/>
            <w:hideMark/>
          </w:tcPr>
          <w:p w14:paraId="3FF6F804"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1.2</w:t>
            </w:r>
          </w:p>
        </w:tc>
        <w:tc>
          <w:tcPr>
            <w:tcW w:w="2574" w:type="pct"/>
            <w:hideMark/>
          </w:tcPr>
          <w:p w14:paraId="009598EF"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CUANTUMUL TOTAL AL EXPUNERII LA RISC PENTRU DECONTARE/LIVRARE</w:t>
            </w:r>
          </w:p>
        </w:tc>
        <w:tc>
          <w:tcPr>
            <w:tcW w:w="444" w:type="pct"/>
          </w:tcPr>
          <w:p w14:paraId="726ED560"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0618B662" w14:textId="349CB1C3"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63E49E4F" w14:textId="77777777" w:rsidTr="002B024E">
        <w:trPr>
          <w:tblCellSpacing w:w="0" w:type="dxa"/>
        </w:trPr>
        <w:tc>
          <w:tcPr>
            <w:tcW w:w="0" w:type="auto"/>
            <w:hideMark/>
          </w:tcPr>
          <w:p w14:paraId="58FD9C77"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0500</w:t>
            </w:r>
          </w:p>
        </w:tc>
        <w:tc>
          <w:tcPr>
            <w:tcW w:w="717" w:type="pct"/>
            <w:hideMark/>
          </w:tcPr>
          <w:p w14:paraId="14685F45"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1.2.1</w:t>
            </w:r>
          </w:p>
        </w:tc>
        <w:tc>
          <w:tcPr>
            <w:tcW w:w="2574" w:type="pct"/>
            <w:hideMark/>
          </w:tcPr>
          <w:p w14:paraId="031B8BF9"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Riscul de decontare/livrare din afara portofoliului de tranzacționare</w:t>
            </w:r>
          </w:p>
        </w:tc>
        <w:tc>
          <w:tcPr>
            <w:tcW w:w="444" w:type="pct"/>
          </w:tcPr>
          <w:p w14:paraId="1A267A05"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52D581E2" w14:textId="7A5C5F3A"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6EF9C5B4" w14:textId="77777777" w:rsidTr="002B024E">
        <w:trPr>
          <w:tblCellSpacing w:w="0" w:type="dxa"/>
        </w:trPr>
        <w:tc>
          <w:tcPr>
            <w:tcW w:w="0" w:type="auto"/>
            <w:hideMark/>
          </w:tcPr>
          <w:p w14:paraId="549A1A0F"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0510</w:t>
            </w:r>
          </w:p>
        </w:tc>
        <w:tc>
          <w:tcPr>
            <w:tcW w:w="717" w:type="pct"/>
            <w:hideMark/>
          </w:tcPr>
          <w:p w14:paraId="36E697BA"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1.2.2</w:t>
            </w:r>
          </w:p>
        </w:tc>
        <w:tc>
          <w:tcPr>
            <w:tcW w:w="2574" w:type="pct"/>
            <w:hideMark/>
          </w:tcPr>
          <w:p w14:paraId="47579216"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Riscul de decontare/livrare din portofoliul de tranzacționare</w:t>
            </w:r>
          </w:p>
        </w:tc>
        <w:tc>
          <w:tcPr>
            <w:tcW w:w="444" w:type="pct"/>
          </w:tcPr>
          <w:p w14:paraId="67319EF0"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058C35D4" w14:textId="44BE28A9"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1B188A80" w14:textId="77777777" w:rsidTr="002B024E">
        <w:trPr>
          <w:tblCellSpacing w:w="0" w:type="dxa"/>
        </w:trPr>
        <w:tc>
          <w:tcPr>
            <w:tcW w:w="0" w:type="auto"/>
            <w:hideMark/>
          </w:tcPr>
          <w:p w14:paraId="7F22735D"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0520</w:t>
            </w:r>
          </w:p>
        </w:tc>
        <w:tc>
          <w:tcPr>
            <w:tcW w:w="717" w:type="pct"/>
            <w:hideMark/>
          </w:tcPr>
          <w:p w14:paraId="67B0A30E"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1.3</w:t>
            </w:r>
          </w:p>
        </w:tc>
        <w:tc>
          <w:tcPr>
            <w:tcW w:w="2574" w:type="pct"/>
            <w:hideMark/>
          </w:tcPr>
          <w:p w14:paraId="7E6C3C0E" w14:textId="2EADBC7D"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CUANTUMUL TOTAL AL EXPUNERII LA RISC PENTRU OPERAȚIUNILE CARE REPREZINTĂ UN RISC DE PIAȚĂ</w:t>
            </w:r>
          </w:p>
        </w:tc>
        <w:tc>
          <w:tcPr>
            <w:tcW w:w="444" w:type="pct"/>
          </w:tcPr>
          <w:p w14:paraId="47D791C5"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1948DB7A" w14:textId="4E2AA726"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7A11384F" w14:textId="77777777" w:rsidTr="002B024E">
        <w:trPr>
          <w:tblCellSpacing w:w="0" w:type="dxa"/>
        </w:trPr>
        <w:tc>
          <w:tcPr>
            <w:tcW w:w="0" w:type="auto"/>
            <w:hideMark/>
          </w:tcPr>
          <w:p w14:paraId="1786064D"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0530</w:t>
            </w:r>
          </w:p>
        </w:tc>
        <w:tc>
          <w:tcPr>
            <w:tcW w:w="717" w:type="pct"/>
            <w:hideMark/>
          </w:tcPr>
          <w:p w14:paraId="0BAC7B7D"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1.3.1</w:t>
            </w:r>
          </w:p>
        </w:tc>
        <w:tc>
          <w:tcPr>
            <w:tcW w:w="2574" w:type="pct"/>
            <w:hideMark/>
          </w:tcPr>
          <w:p w14:paraId="730A10C5" w14:textId="53AFA202"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 xml:space="preserve">Cuantumul </w:t>
            </w:r>
            <w:r w:rsidRPr="00512160">
              <w:rPr>
                <w:rFonts w:ascii="Times New Roman" w:eastAsia="Times New Roman" w:hAnsi="Times New Roman" w:cs="Times New Roman"/>
                <w:b/>
                <w:bCs/>
                <w:color w:val="000000"/>
                <w:kern w:val="0"/>
                <w:lang w:eastAsia="ro-MD"/>
                <w14:ligatures w14:val="none"/>
              </w:rPr>
              <w:t xml:space="preserve">expunerii la risc pentru </w:t>
            </w:r>
            <w:r w:rsidRPr="00512160">
              <w:rPr>
                <w:rStyle w:val="InstructionsTabelleberschrift"/>
                <w:rFonts w:ascii="Times New Roman" w:hAnsi="Times New Roman"/>
                <w:sz w:val="22"/>
                <w:u w:val="none"/>
              </w:rPr>
              <w:t>operațiunile care prezintă un risc de piață calculat de către entități aplicând exclusiv abordarea standardizată simplificată (SSA)</w:t>
            </w:r>
          </w:p>
        </w:tc>
        <w:tc>
          <w:tcPr>
            <w:tcW w:w="444" w:type="pct"/>
          </w:tcPr>
          <w:p w14:paraId="02363475"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643255C4" w14:textId="555B28C8"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368007E1" w14:textId="77777777" w:rsidTr="002B024E">
        <w:trPr>
          <w:tblCellSpacing w:w="0" w:type="dxa"/>
        </w:trPr>
        <w:tc>
          <w:tcPr>
            <w:tcW w:w="0" w:type="auto"/>
            <w:hideMark/>
          </w:tcPr>
          <w:p w14:paraId="01AA356D"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0540</w:t>
            </w:r>
          </w:p>
        </w:tc>
        <w:tc>
          <w:tcPr>
            <w:tcW w:w="717" w:type="pct"/>
            <w:hideMark/>
          </w:tcPr>
          <w:p w14:paraId="79D03A7C"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1.3.1.1</w:t>
            </w:r>
          </w:p>
        </w:tc>
        <w:tc>
          <w:tcPr>
            <w:tcW w:w="2574" w:type="pct"/>
            <w:hideMark/>
          </w:tcPr>
          <w:p w14:paraId="4460A77A"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Instrumente de datorie tranzacționate</w:t>
            </w:r>
          </w:p>
        </w:tc>
        <w:tc>
          <w:tcPr>
            <w:tcW w:w="444" w:type="pct"/>
          </w:tcPr>
          <w:p w14:paraId="7C2B1127"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4B05BF13" w14:textId="2538618A"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15282416" w14:textId="77777777" w:rsidTr="002B024E">
        <w:trPr>
          <w:tblCellSpacing w:w="0" w:type="dxa"/>
        </w:trPr>
        <w:tc>
          <w:tcPr>
            <w:tcW w:w="0" w:type="auto"/>
            <w:hideMark/>
          </w:tcPr>
          <w:p w14:paraId="68BB239E"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0550</w:t>
            </w:r>
          </w:p>
        </w:tc>
        <w:tc>
          <w:tcPr>
            <w:tcW w:w="717" w:type="pct"/>
            <w:hideMark/>
          </w:tcPr>
          <w:p w14:paraId="6E525F47"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1.3.1.2</w:t>
            </w:r>
          </w:p>
        </w:tc>
        <w:tc>
          <w:tcPr>
            <w:tcW w:w="2574" w:type="pct"/>
            <w:hideMark/>
          </w:tcPr>
          <w:p w14:paraId="691E22CC"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Titluri de capital</w:t>
            </w:r>
          </w:p>
        </w:tc>
        <w:tc>
          <w:tcPr>
            <w:tcW w:w="444" w:type="pct"/>
          </w:tcPr>
          <w:p w14:paraId="32FF7AAD"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4429DDA0" w14:textId="7F02BFA6"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2D9BDDA8" w14:textId="77777777" w:rsidTr="002B024E">
        <w:trPr>
          <w:tblCellSpacing w:w="0" w:type="dxa"/>
        </w:trPr>
        <w:tc>
          <w:tcPr>
            <w:tcW w:w="0" w:type="auto"/>
            <w:hideMark/>
          </w:tcPr>
          <w:p w14:paraId="3FFD151E"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0555</w:t>
            </w:r>
          </w:p>
        </w:tc>
        <w:tc>
          <w:tcPr>
            <w:tcW w:w="717" w:type="pct"/>
            <w:hideMark/>
          </w:tcPr>
          <w:p w14:paraId="6B1FF16B"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1.3.1.3</w:t>
            </w:r>
          </w:p>
        </w:tc>
        <w:tc>
          <w:tcPr>
            <w:tcW w:w="2574" w:type="pct"/>
            <w:hideMark/>
          </w:tcPr>
          <w:p w14:paraId="437D87B0"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Abordare specială pentru riscul de poziție aferent OPC-urilor</w:t>
            </w:r>
          </w:p>
        </w:tc>
        <w:tc>
          <w:tcPr>
            <w:tcW w:w="444" w:type="pct"/>
          </w:tcPr>
          <w:p w14:paraId="66F68D5C"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41CB417B" w14:textId="277F3F50"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686068E2" w14:textId="77777777" w:rsidTr="006B0559">
        <w:trPr>
          <w:tblCellSpacing w:w="0" w:type="dxa"/>
        </w:trPr>
        <w:tc>
          <w:tcPr>
            <w:tcW w:w="0" w:type="auto"/>
            <w:hideMark/>
          </w:tcPr>
          <w:p w14:paraId="4F9344EE"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0556</w:t>
            </w:r>
          </w:p>
        </w:tc>
        <w:tc>
          <w:tcPr>
            <w:tcW w:w="717" w:type="pct"/>
            <w:hideMark/>
          </w:tcPr>
          <w:p w14:paraId="5FC84290"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1.3.1.3*</w:t>
            </w:r>
          </w:p>
        </w:tc>
        <w:tc>
          <w:tcPr>
            <w:tcW w:w="2574" w:type="pct"/>
            <w:hideMark/>
          </w:tcPr>
          <w:p w14:paraId="20AE81EE"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Element memorandum: OPC-uri investite exclusiv în instrumente de datorie tranzacționate</w:t>
            </w:r>
          </w:p>
        </w:tc>
        <w:tc>
          <w:tcPr>
            <w:tcW w:w="444" w:type="pct"/>
          </w:tcPr>
          <w:p w14:paraId="793C2127"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61BB455A" w14:textId="7E497E62"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09F31F28" w14:textId="77777777" w:rsidTr="006B0559">
        <w:trPr>
          <w:tblCellSpacing w:w="0" w:type="dxa"/>
        </w:trPr>
        <w:tc>
          <w:tcPr>
            <w:tcW w:w="0" w:type="auto"/>
            <w:hideMark/>
          </w:tcPr>
          <w:p w14:paraId="55A4821D"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0557</w:t>
            </w:r>
          </w:p>
        </w:tc>
        <w:tc>
          <w:tcPr>
            <w:tcW w:w="717" w:type="pct"/>
            <w:hideMark/>
          </w:tcPr>
          <w:p w14:paraId="23206E79"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1.3.1.3**</w:t>
            </w:r>
          </w:p>
        </w:tc>
        <w:tc>
          <w:tcPr>
            <w:tcW w:w="2574" w:type="pct"/>
            <w:hideMark/>
          </w:tcPr>
          <w:p w14:paraId="2E3AECED"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Element memorandum: OPC-uri investite exclusiv în instrumente de capital sau în instrumente mixte</w:t>
            </w:r>
          </w:p>
        </w:tc>
        <w:tc>
          <w:tcPr>
            <w:tcW w:w="444" w:type="pct"/>
          </w:tcPr>
          <w:p w14:paraId="72487BCD"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25A01930" w14:textId="64826984"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58690F23" w14:textId="77777777" w:rsidTr="006B0559">
        <w:trPr>
          <w:tblCellSpacing w:w="0" w:type="dxa"/>
        </w:trPr>
        <w:tc>
          <w:tcPr>
            <w:tcW w:w="0" w:type="auto"/>
            <w:hideMark/>
          </w:tcPr>
          <w:p w14:paraId="4EFEF767"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0560</w:t>
            </w:r>
          </w:p>
        </w:tc>
        <w:tc>
          <w:tcPr>
            <w:tcW w:w="717" w:type="pct"/>
            <w:hideMark/>
          </w:tcPr>
          <w:p w14:paraId="26661B43"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1.3.1.4</w:t>
            </w:r>
          </w:p>
        </w:tc>
        <w:tc>
          <w:tcPr>
            <w:tcW w:w="2574" w:type="pct"/>
            <w:hideMark/>
          </w:tcPr>
          <w:p w14:paraId="3630A1F2"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Schimb valutar</w:t>
            </w:r>
          </w:p>
        </w:tc>
        <w:tc>
          <w:tcPr>
            <w:tcW w:w="444" w:type="pct"/>
          </w:tcPr>
          <w:p w14:paraId="7AD0C100"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02C19B22" w14:textId="7A16C6CA"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4CA8E41D" w14:textId="77777777" w:rsidTr="006B0559">
        <w:trPr>
          <w:tblCellSpacing w:w="0" w:type="dxa"/>
        </w:trPr>
        <w:tc>
          <w:tcPr>
            <w:tcW w:w="0" w:type="auto"/>
            <w:hideMark/>
          </w:tcPr>
          <w:p w14:paraId="51769CDD"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0570</w:t>
            </w:r>
          </w:p>
        </w:tc>
        <w:tc>
          <w:tcPr>
            <w:tcW w:w="717" w:type="pct"/>
            <w:hideMark/>
          </w:tcPr>
          <w:p w14:paraId="4E6CB163"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1.3.1.5</w:t>
            </w:r>
          </w:p>
        </w:tc>
        <w:tc>
          <w:tcPr>
            <w:tcW w:w="2574" w:type="pct"/>
            <w:hideMark/>
          </w:tcPr>
          <w:p w14:paraId="3ADDFA68"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Mărfuri</w:t>
            </w:r>
          </w:p>
        </w:tc>
        <w:tc>
          <w:tcPr>
            <w:tcW w:w="444" w:type="pct"/>
          </w:tcPr>
          <w:p w14:paraId="69153B7E"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70DC40A5" w14:textId="56D52B6B"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38D79601" w14:textId="77777777" w:rsidTr="006F6C14">
        <w:trPr>
          <w:tblCellSpacing w:w="0" w:type="dxa"/>
        </w:trPr>
        <w:tc>
          <w:tcPr>
            <w:tcW w:w="0" w:type="auto"/>
            <w:hideMark/>
          </w:tcPr>
          <w:p w14:paraId="06441537"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0580</w:t>
            </w:r>
          </w:p>
        </w:tc>
        <w:tc>
          <w:tcPr>
            <w:tcW w:w="717" w:type="pct"/>
            <w:hideMark/>
          </w:tcPr>
          <w:p w14:paraId="7CEE88F0"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1.3.2</w:t>
            </w:r>
          </w:p>
        </w:tc>
        <w:tc>
          <w:tcPr>
            <w:tcW w:w="2574" w:type="pct"/>
            <w:hideMark/>
          </w:tcPr>
          <w:p w14:paraId="66085499"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Cuantumul expunerii la risc pentru riscul de poziție, riscul valutar și riscul de marfă în cadrul modelelor interne (IM)</w:t>
            </w:r>
          </w:p>
        </w:tc>
        <w:tc>
          <w:tcPr>
            <w:tcW w:w="444" w:type="pct"/>
          </w:tcPr>
          <w:p w14:paraId="63A1016A" w14:textId="6144754E"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68A263B2" w14:textId="4AEF8169"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75A652FD" w14:textId="77777777" w:rsidTr="006F6C14">
        <w:trPr>
          <w:tblCellSpacing w:w="0" w:type="dxa"/>
        </w:trPr>
        <w:tc>
          <w:tcPr>
            <w:tcW w:w="0" w:type="auto"/>
          </w:tcPr>
          <w:p w14:paraId="28C6E994" w14:textId="46254634"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 xml:space="preserve">0581 </w:t>
            </w:r>
          </w:p>
        </w:tc>
        <w:tc>
          <w:tcPr>
            <w:tcW w:w="717" w:type="pct"/>
          </w:tcPr>
          <w:p w14:paraId="71FBA782" w14:textId="45FB998B"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1.3.3</w:t>
            </w:r>
          </w:p>
        </w:tc>
        <w:tc>
          <w:tcPr>
            <w:tcW w:w="2574" w:type="pct"/>
          </w:tcPr>
          <w:p w14:paraId="5E561C46" w14:textId="1D8FBF99"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 xml:space="preserve">Cuantumul expunerii la risc pentru elementele bilanțiere și </w:t>
            </w:r>
            <w:proofErr w:type="spellStart"/>
            <w:r w:rsidRPr="002B024E">
              <w:rPr>
                <w:rFonts w:ascii="Times New Roman" w:eastAsia="Times New Roman" w:hAnsi="Times New Roman" w:cs="Times New Roman"/>
                <w:b/>
                <w:bCs/>
                <w:color w:val="000000"/>
                <w:kern w:val="0"/>
                <w:lang w:eastAsia="ro-MD"/>
                <w14:ligatures w14:val="none"/>
              </w:rPr>
              <w:t>extrabilanțiere</w:t>
            </w:r>
            <w:proofErr w:type="spellEnd"/>
            <w:r w:rsidRPr="002B024E">
              <w:rPr>
                <w:rFonts w:ascii="Times New Roman" w:eastAsia="Times New Roman" w:hAnsi="Times New Roman" w:cs="Times New Roman"/>
                <w:b/>
                <w:bCs/>
                <w:color w:val="000000"/>
                <w:kern w:val="0"/>
                <w:lang w:eastAsia="ro-MD"/>
                <w14:ligatures w14:val="none"/>
              </w:rPr>
              <w:t xml:space="preserve"> expuse la riscul de piață al entităților care aplică exclusiv abordarea standardizată alternativă (ASA)</w:t>
            </w:r>
          </w:p>
        </w:tc>
        <w:tc>
          <w:tcPr>
            <w:tcW w:w="444" w:type="pct"/>
          </w:tcPr>
          <w:p w14:paraId="10E9625E" w14:textId="4E01B358"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highlight w:val="yellow"/>
                <w:lang w:eastAsia="ro-MD"/>
                <w14:ligatures w14:val="none"/>
              </w:rPr>
            </w:pPr>
          </w:p>
        </w:tc>
        <w:tc>
          <w:tcPr>
            <w:tcW w:w="0" w:type="auto"/>
          </w:tcPr>
          <w:p w14:paraId="28879D32" w14:textId="1A551B36"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highlight w:val="yellow"/>
                <w:lang w:eastAsia="ro-MD"/>
                <w14:ligatures w14:val="none"/>
              </w:rPr>
            </w:pPr>
          </w:p>
        </w:tc>
      </w:tr>
      <w:tr w:rsidR="00BA708E" w:rsidRPr="00825F64" w14:paraId="20F22E68" w14:textId="77777777" w:rsidTr="006F6C14">
        <w:trPr>
          <w:tblCellSpacing w:w="0" w:type="dxa"/>
        </w:trPr>
        <w:tc>
          <w:tcPr>
            <w:tcW w:w="0" w:type="auto"/>
          </w:tcPr>
          <w:p w14:paraId="425BDDAC" w14:textId="7DA53D88"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0585</w:t>
            </w:r>
          </w:p>
        </w:tc>
        <w:tc>
          <w:tcPr>
            <w:tcW w:w="717" w:type="pct"/>
          </w:tcPr>
          <w:p w14:paraId="5953F3BD" w14:textId="06B68E35"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1.3.4</w:t>
            </w:r>
          </w:p>
        </w:tc>
        <w:tc>
          <w:tcPr>
            <w:tcW w:w="2574" w:type="pct"/>
          </w:tcPr>
          <w:p w14:paraId="04BA74DA" w14:textId="7C676636"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 xml:space="preserve">Cuantumul expunerii la risc pentru elementele bilanțiere și </w:t>
            </w:r>
            <w:proofErr w:type="spellStart"/>
            <w:r w:rsidRPr="002B024E">
              <w:rPr>
                <w:rFonts w:ascii="Times New Roman" w:eastAsia="Times New Roman" w:hAnsi="Times New Roman" w:cs="Times New Roman"/>
                <w:b/>
                <w:bCs/>
                <w:color w:val="000000"/>
                <w:kern w:val="0"/>
                <w:lang w:eastAsia="ro-MD"/>
                <w14:ligatures w14:val="none"/>
              </w:rPr>
              <w:t>extrabilanțiere</w:t>
            </w:r>
            <w:proofErr w:type="spellEnd"/>
            <w:r w:rsidRPr="002B024E">
              <w:rPr>
                <w:rFonts w:ascii="Times New Roman" w:eastAsia="Times New Roman" w:hAnsi="Times New Roman" w:cs="Times New Roman"/>
                <w:b/>
                <w:bCs/>
                <w:color w:val="000000"/>
                <w:kern w:val="0"/>
                <w:lang w:eastAsia="ro-MD"/>
                <w14:ligatures w14:val="none"/>
              </w:rPr>
              <w:t xml:space="preserve"> expuse la riscul de piață al entităților care aplică numai abordarea alternativă bazată pe modele interne (AIMA) sau o combinație între AIMA și ASA</w:t>
            </w:r>
          </w:p>
        </w:tc>
        <w:tc>
          <w:tcPr>
            <w:tcW w:w="444" w:type="pct"/>
          </w:tcPr>
          <w:p w14:paraId="1F7ECC1C" w14:textId="5E73A6DF"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highlight w:val="yellow"/>
                <w:lang w:eastAsia="ro-MD"/>
                <w14:ligatures w14:val="none"/>
              </w:rPr>
            </w:pPr>
          </w:p>
        </w:tc>
        <w:tc>
          <w:tcPr>
            <w:tcW w:w="0" w:type="auto"/>
          </w:tcPr>
          <w:p w14:paraId="002184D9" w14:textId="324A10CF"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highlight w:val="yellow"/>
                <w:lang w:eastAsia="ro-MD"/>
                <w14:ligatures w14:val="none"/>
              </w:rPr>
            </w:pPr>
          </w:p>
        </w:tc>
      </w:tr>
      <w:tr w:rsidR="00BA708E" w:rsidRPr="00825F64" w14:paraId="3B8A6F4C" w14:textId="77777777" w:rsidTr="006F6C14">
        <w:trPr>
          <w:tblCellSpacing w:w="0" w:type="dxa"/>
        </w:trPr>
        <w:tc>
          <w:tcPr>
            <w:tcW w:w="0" w:type="auto"/>
          </w:tcPr>
          <w:p w14:paraId="7E87726D" w14:textId="1BF4A774"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0589</w:t>
            </w:r>
          </w:p>
        </w:tc>
        <w:tc>
          <w:tcPr>
            <w:tcW w:w="717" w:type="pct"/>
          </w:tcPr>
          <w:p w14:paraId="2D3DB503" w14:textId="69B4A257"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1.3*</w:t>
            </w:r>
          </w:p>
        </w:tc>
        <w:tc>
          <w:tcPr>
            <w:tcW w:w="2574" w:type="pct"/>
          </w:tcPr>
          <w:p w14:paraId="3355FFD8" w14:textId="18801DA0" w:rsidR="00BA708E" w:rsidRPr="00C92EE9"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CUANTUMUL EXPUNERII LA RISC PENTRU RECLASIFICĂRILE ÎNTRE PORTOFOLIUL BANCAR ȘI PORTOFOLIUL DE TRANZACȚIONARE</w:t>
            </w:r>
          </w:p>
        </w:tc>
        <w:tc>
          <w:tcPr>
            <w:tcW w:w="444" w:type="pct"/>
          </w:tcPr>
          <w:p w14:paraId="01989F21" w14:textId="3D5E47A5"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0544CD73" w14:textId="15D5926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825F64" w14:paraId="465357D7" w14:textId="77777777" w:rsidTr="006B0559">
        <w:trPr>
          <w:tblCellSpacing w:w="0" w:type="dxa"/>
        </w:trPr>
        <w:tc>
          <w:tcPr>
            <w:tcW w:w="0" w:type="auto"/>
            <w:hideMark/>
          </w:tcPr>
          <w:p w14:paraId="41A2853F"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0590</w:t>
            </w:r>
          </w:p>
        </w:tc>
        <w:tc>
          <w:tcPr>
            <w:tcW w:w="717" w:type="pct"/>
            <w:hideMark/>
          </w:tcPr>
          <w:p w14:paraId="12DE9669"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1.4</w:t>
            </w:r>
          </w:p>
        </w:tc>
        <w:tc>
          <w:tcPr>
            <w:tcW w:w="2574" w:type="pct"/>
            <w:hideMark/>
          </w:tcPr>
          <w:p w14:paraId="003CE96E"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CUANTUMUL TOTAL AL EXPUNERII LA RISC PENTRU RISCUL OPERAȚIONAL (</w:t>
            </w:r>
            <w:proofErr w:type="spellStart"/>
            <w:r w:rsidRPr="00825F64">
              <w:rPr>
                <w:rFonts w:ascii="Times New Roman" w:eastAsia="Times New Roman" w:hAnsi="Times New Roman" w:cs="Times New Roman"/>
                <w:b/>
                <w:bCs/>
                <w:color w:val="000000"/>
                <w:kern w:val="0"/>
                <w:lang w:eastAsia="ro-MD"/>
                <w14:ligatures w14:val="none"/>
              </w:rPr>
              <w:t>OpR</w:t>
            </w:r>
            <w:proofErr w:type="spellEnd"/>
            <w:r w:rsidRPr="00825F64">
              <w:rPr>
                <w:rFonts w:ascii="Times New Roman" w:eastAsia="Times New Roman" w:hAnsi="Times New Roman" w:cs="Times New Roman"/>
                <w:b/>
                <w:bCs/>
                <w:color w:val="000000"/>
                <w:kern w:val="0"/>
                <w:lang w:eastAsia="ro-MD"/>
                <w14:ligatures w14:val="none"/>
              </w:rPr>
              <w:t>)</w:t>
            </w:r>
          </w:p>
        </w:tc>
        <w:tc>
          <w:tcPr>
            <w:tcW w:w="444" w:type="pct"/>
          </w:tcPr>
          <w:p w14:paraId="1FA1DEDF"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3BD3C5AD" w14:textId="411CC7F1"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6F6C14" w14:paraId="1F907A69" w14:textId="77777777" w:rsidTr="006B0559">
        <w:trPr>
          <w:tblCellSpacing w:w="0" w:type="dxa"/>
        </w:trPr>
        <w:tc>
          <w:tcPr>
            <w:tcW w:w="0" w:type="auto"/>
            <w:hideMark/>
          </w:tcPr>
          <w:p w14:paraId="6E65453E"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0630</w:t>
            </w:r>
          </w:p>
        </w:tc>
        <w:tc>
          <w:tcPr>
            <w:tcW w:w="717" w:type="pct"/>
            <w:hideMark/>
          </w:tcPr>
          <w:p w14:paraId="3E1E4DCA"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1.5</w:t>
            </w:r>
          </w:p>
        </w:tc>
        <w:tc>
          <w:tcPr>
            <w:tcW w:w="2574" w:type="pct"/>
            <w:hideMark/>
          </w:tcPr>
          <w:p w14:paraId="2B9B1860"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CUANTUMUL SUPLIMENTAR AL EXPUNERII LA RISC DATORATE CHELTUIELILOR GENERALE FIXE</w:t>
            </w:r>
          </w:p>
        </w:tc>
        <w:tc>
          <w:tcPr>
            <w:tcW w:w="444" w:type="pct"/>
          </w:tcPr>
          <w:p w14:paraId="3DB362F8" w14:textId="48567583" w:rsidR="00BA708E" w:rsidRPr="00825F64" w:rsidRDefault="00754C20"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x</w:t>
            </w:r>
          </w:p>
        </w:tc>
        <w:tc>
          <w:tcPr>
            <w:tcW w:w="0" w:type="auto"/>
          </w:tcPr>
          <w:p w14:paraId="7802D41E" w14:textId="5DEC7E06" w:rsidR="00BA708E" w:rsidRPr="00825F64" w:rsidRDefault="00754C20"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x</w:t>
            </w:r>
          </w:p>
        </w:tc>
      </w:tr>
      <w:tr w:rsidR="00BA708E" w:rsidRPr="006F6C14" w14:paraId="2462F24D" w14:textId="77777777" w:rsidTr="006B0559">
        <w:trPr>
          <w:tblCellSpacing w:w="0" w:type="dxa"/>
        </w:trPr>
        <w:tc>
          <w:tcPr>
            <w:tcW w:w="0" w:type="auto"/>
            <w:hideMark/>
          </w:tcPr>
          <w:p w14:paraId="04B4DD33"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0640</w:t>
            </w:r>
          </w:p>
        </w:tc>
        <w:tc>
          <w:tcPr>
            <w:tcW w:w="717" w:type="pct"/>
            <w:hideMark/>
          </w:tcPr>
          <w:p w14:paraId="299692D8"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1.6</w:t>
            </w:r>
          </w:p>
        </w:tc>
        <w:tc>
          <w:tcPr>
            <w:tcW w:w="2574" w:type="pct"/>
            <w:hideMark/>
          </w:tcPr>
          <w:p w14:paraId="108C2D7B"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CUANTUMUL TOTAL AL EXPUNERII LA RISC PENTRU AJUSTAREA EVALUĂRII CREDITULUI</w:t>
            </w:r>
          </w:p>
        </w:tc>
        <w:tc>
          <w:tcPr>
            <w:tcW w:w="444" w:type="pct"/>
          </w:tcPr>
          <w:p w14:paraId="6561E9A1"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6CB98652" w14:textId="046A3200"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6F6C14" w14:paraId="03585691" w14:textId="77777777" w:rsidTr="006F6C14">
        <w:trPr>
          <w:tblCellSpacing w:w="0" w:type="dxa"/>
        </w:trPr>
        <w:tc>
          <w:tcPr>
            <w:tcW w:w="0" w:type="auto"/>
          </w:tcPr>
          <w:p w14:paraId="4C7342E3" w14:textId="715BDE24"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0655</w:t>
            </w:r>
          </w:p>
        </w:tc>
        <w:tc>
          <w:tcPr>
            <w:tcW w:w="717" w:type="pct"/>
          </w:tcPr>
          <w:p w14:paraId="7CD9DEBF" w14:textId="3456128B"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1.6.4</w:t>
            </w:r>
          </w:p>
        </w:tc>
        <w:tc>
          <w:tcPr>
            <w:tcW w:w="2574" w:type="pct"/>
          </w:tcPr>
          <w:p w14:paraId="4D432EE3" w14:textId="5B4E753F"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Abordarea standardizată (SA)</w:t>
            </w:r>
          </w:p>
        </w:tc>
        <w:tc>
          <w:tcPr>
            <w:tcW w:w="444" w:type="pct"/>
          </w:tcPr>
          <w:p w14:paraId="6C13A9EF"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highlight w:val="yellow"/>
                <w:lang w:eastAsia="ro-MD"/>
                <w14:ligatures w14:val="none"/>
              </w:rPr>
            </w:pPr>
          </w:p>
        </w:tc>
        <w:tc>
          <w:tcPr>
            <w:tcW w:w="0" w:type="auto"/>
          </w:tcPr>
          <w:p w14:paraId="256A8AB7" w14:textId="790CD35B"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highlight w:val="yellow"/>
                <w:lang w:eastAsia="ro-MD"/>
                <w14:ligatures w14:val="none"/>
              </w:rPr>
            </w:pPr>
          </w:p>
        </w:tc>
      </w:tr>
      <w:tr w:rsidR="00BA708E" w:rsidRPr="006F6C14" w14:paraId="416FD055" w14:textId="77777777" w:rsidTr="006F6C14">
        <w:trPr>
          <w:tblCellSpacing w:w="0" w:type="dxa"/>
        </w:trPr>
        <w:tc>
          <w:tcPr>
            <w:tcW w:w="0" w:type="auto"/>
          </w:tcPr>
          <w:p w14:paraId="36F06B48" w14:textId="56A41D16"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lastRenderedPageBreak/>
              <w:t>0665</w:t>
            </w:r>
          </w:p>
        </w:tc>
        <w:tc>
          <w:tcPr>
            <w:tcW w:w="717" w:type="pct"/>
          </w:tcPr>
          <w:p w14:paraId="40507C41" w14:textId="357D4026"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1.6.5</w:t>
            </w:r>
          </w:p>
        </w:tc>
        <w:tc>
          <w:tcPr>
            <w:tcW w:w="2574" w:type="pct"/>
          </w:tcPr>
          <w:p w14:paraId="6ABB8DF2" w14:textId="38F62815"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Abordarea de bază integrală (F-BA)</w:t>
            </w:r>
          </w:p>
        </w:tc>
        <w:tc>
          <w:tcPr>
            <w:tcW w:w="444" w:type="pct"/>
          </w:tcPr>
          <w:p w14:paraId="2F49D035"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highlight w:val="yellow"/>
                <w:lang w:eastAsia="ro-MD"/>
                <w14:ligatures w14:val="none"/>
              </w:rPr>
            </w:pPr>
          </w:p>
        </w:tc>
        <w:tc>
          <w:tcPr>
            <w:tcW w:w="0" w:type="auto"/>
          </w:tcPr>
          <w:p w14:paraId="38416FEE" w14:textId="7C155473"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highlight w:val="yellow"/>
                <w:lang w:eastAsia="ro-MD"/>
                <w14:ligatures w14:val="none"/>
              </w:rPr>
            </w:pPr>
          </w:p>
        </w:tc>
      </w:tr>
      <w:tr w:rsidR="00BA708E" w:rsidRPr="006F6C14" w14:paraId="50124130" w14:textId="77777777" w:rsidTr="006F6C14">
        <w:trPr>
          <w:tblCellSpacing w:w="0" w:type="dxa"/>
        </w:trPr>
        <w:tc>
          <w:tcPr>
            <w:tcW w:w="0" w:type="auto"/>
          </w:tcPr>
          <w:p w14:paraId="5C68CA10" w14:textId="50964225"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0666</w:t>
            </w:r>
          </w:p>
        </w:tc>
        <w:tc>
          <w:tcPr>
            <w:tcW w:w="717" w:type="pct"/>
          </w:tcPr>
          <w:p w14:paraId="3B1CB55C" w14:textId="17F1CB06"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1.6.6</w:t>
            </w:r>
          </w:p>
        </w:tc>
        <w:tc>
          <w:tcPr>
            <w:tcW w:w="2574" w:type="pct"/>
          </w:tcPr>
          <w:p w14:paraId="57665353" w14:textId="414B2E49"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Abordarea de bază redusă (R-BA)</w:t>
            </w:r>
          </w:p>
        </w:tc>
        <w:tc>
          <w:tcPr>
            <w:tcW w:w="444" w:type="pct"/>
          </w:tcPr>
          <w:p w14:paraId="559DEC67"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highlight w:val="yellow"/>
                <w:lang w:eastAsia="ro-MD"/>
                <w14:ligatures w14:val="none"/>
              </w:rPr>
            </w:pPr>
          </w:p>
        </w:tc>
        <w:tc>
          <w:tcPr>
            <w:tcW w:w="0" w:type="auto"/>
          </w:tcPr>
          <w:p w14:paraId="0B978D3E" w14:textId="5955AC7F"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highlight w:val="yellow"/>
                <w:lang w:eastAsia="ro-MD"/>
                <w14:ligatures w14:val="none"/>
              </w:rPr>
            </w:pPr>
          </w:p>
        </w:tc>
      </w:tr>
      <w:tr w:rsidR="00BA708E" w:rsidRPr="006F6C14" w14:paraId="48D9D4EF" w14:textId="77777777" w:rsidTr="006F6C14">
        <w:trPr>
          <w:tblCellSpacing w:w="0" w:type="dxa"/>
        </w:trPr>
        <w:tc>
          <w:tcPr>
            <w:tcW w:w="0" w:type="auto"/>
          </w:tcPr>
          <w:p w14:paraId="2CFFDAAC" w14:textId="457CF1FF"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0675</w:t>
            </w:r>
          </w:p>
        </w:tc>
        <w:tc>
          <w:tcPr>
            <w:tcW w:w="717" w:type="pct"/>
          </w:tcPr>
          <w:p w14:paraId="6E74B10D" w14:textId="5BD3046F"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1.6.7</w:t>
            </w:r>
          </w:p>
        </w:tc>
        <w:tc>
          <w:tcPr>
            <w:tcW w:w="2574" w:type="pct"/>
          </w:tcPr>
          <w:p w14:paraId="0DB94540" w14:textId="2A05B912"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Abordarea simplificată</w:t>
            </w:r>
          </w:p>
        </w:tc>
        <w:tc>
          <w:tcPr>
            <w:tcW w:w="444" w:type="pct"/>
          </w:tcPr>
          <w:p w14:paraId="0A28B544"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highlight w:val="yellow"/>
                <w:lang w:eastAsia="ro-MD"/>
                <w14:ligatures w14:val="none"/>
              </w:rPr>
            </w:pPr>
          </w:p>
        </w:tc>
        <w:tc>
          <w:tcPr>
            <w:tcW w:w="0" w:type="auto"/>
          </w:tcPr>
          <w:p w14:paraId="17A24FBD" w14:textId="46C7738E"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highlight w:val="yellow"/>
                <w:lang w:eastAsia="ro-MD"/>
                <w14:ligatures w14:val="none"/>
              </w:rPr>
            </w:pPr>
          </w:p>
        </w:tc>
      </w:tr>
      <w:tr w:rsidR="00BA708E" w:rsidRPr="006F6C14" w14:paraId="17A4D74C" w14:textId="77777777" w:rsidTr="006F6C14">
        <w:trPr>
          <w:tblCellSpacing w:w="0" w:type="dxa"/>
        </w:trPr>
        <w:tc>
          <w:tcPr>
            <w:tcW w:w="0" w:type="auto"/>
          </w:tcPr>
          <w:p w14:paraId="57DF04B2" w14:textId="182A0ACD"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0676</w:t>
            </w:r>
          </w:p>
        </w:tc>
        <w:tc>
          <w:tcPr>
            <w:tcW w:w="717" w:type="pct"/>
          </w:tcPr>
          <w:p w14:paraId="21C405F8" w14:textId="4A849045" w:rsidR="00BA708E" w:rsidRPr="002B024E"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1.6.8</w:t>
            </w:r>
          </w:p>
        </w:tc>
        <w:tc>
          <w:tcPr>
            <w:tcW w:w="2574" w:type="pct"/>
          </w:tcPr>
          <w:p w14:paraId="7825C4BF" w14:textId="45CE7943" w:rsidR="00BA708E" w:rsidRPr="00C92EE9"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Tratamentul simplificat pentru pozițiile pe instrumente financiare derivate aferente OPC-urilor</w:t>
            </w:r>
          </w:p>
        </w:tc>
        <w:tc>
          <w:tcPr>
            <w:tcW w:w="444" w:type="pct"/>
          </w:tcPr>
          <w:p w14:paraId="6B8E7EF9" w14:textId="74DA0AB6"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5BF9C26E" w14:textId="6CA8EC3E"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BA708E" w:rsidRPr="006F6C14" w14:paraId="0E59660C" w14:textId="77777777" w:rsidTr="006B0559">
        <w:trPr>
          <w:tblCellSpacing w:w="0" w:type="dxa"/>
        </w:trPr>
        <w:tc>
          <w:tcPr>
            <w:tcW w:w="0" w:type="auto"/>
            <w:hideMark/>
          </w:tcPr>
          <w:p w14:paraId="24556D06"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0680</w:t>
            </w:r>
          </w:p>
        </w:tc>
        <w:tc>
          <w:tcPr>
            <w:tcW w:w="717" w:type="pct"/>
            <w:hideMark/>
          </w:tcPr>
          <w:p w14:paraId="7C444370"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1.7</w:t>
            </w:r>
          </w:p>
        </w:tc>
        <w:tc>
          <w:tcPr>
            <w:tcW w:w="2574" w:type="pct"/>
            <w:hideMark/>
          </w:tcPr>
          <w:p w14:paraId="61DC0BBB" w14:textId="77777777" w:rsidR="00BA708E" w:rsidRPr="00825F64" w:rsidRDefault="00BA708E" w:rsidP="00BA708E">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CUANTUMUL TOTAL AL EXPUNERILOR LA RISC LEGAT DE EXPUNERILE MARI DIN PORTOFOLIUL DE TRANZACȚIONARE</w:t>
            </w:r>
          </w:p>
        </w:tc>
        <w:tc>
          <w:tcPr>
            <w:tcW w:w="444" w:type="pct"/>
          </w:tcPr>
          <w:p w14:paraId="5DC982EB" w14:textId="77777777"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c>
          <w:tcPr>
            <w:tcW w:w="0" w:type="auto"/>
          </w:tcPr>
          <w:p w14:paraId="51BB0270" w14:textId="277C08AD" w:rsidR="00BA708E" w:rsidRPr="00825F64" w:rsidRDefault="00BA708E" w:rsidP="00BA708E">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183777" w:rsidRPr="006F6C14" w14:paraId="5B89D2F9" w14:textId="77777777" w:rsidTr="006B0559">
        <w:trPr>
          <w:tblCellSpacing w:w="0" w:type="dxa"/>
        </w:trPr>
        <w:tc>
          <w:tcPr>
            <w:tcW w:w="0" w:type="auto"/>
            <w:hideMark/>
          </w:tcPr>
          <w:p w14:paraId="16AC884B" w14:textId="77777777" w:rsidR="00183777" w:rsidRPr="00825F64" w:rsidRDefault="00183777" w:rsidP="0045581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0690</w:t>
            </w:r>
          </w:p>
        </w:tc>
        <w:tc>
          <w:tcPr>
            <w:tcW w:w="717" w:type="pct"/>
            <w:hideMark/>
          </w:tcPr>
          <w:p w14:paraId="73F565FB" w14:textId="77777777" w:rsidR="00183777" w:rsidRPr="00825F64" w:rsidRDefault="00183777" w:rsidP="0045581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1.8</w:t>
            </w:r>
          </w:p>
        </w:tc>
        <w:tc>
          <w:tcPr>
            <w:tcW w:w="2574" w:type="pct"/>
            <w:hideMark/>
          </w:tcPr>
          <w:p w14:paraId="28564BFD" w14:textId="77777777" w:rsidR="00183777" w:rsidRPr="00825F64" w:rsidRDefault="00183777" w:rsidP="0045581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ALTE CUANTUMURI ALE EXPUNERII LA RISC</w:t>
            </w:r>
          </w:p>
        </w:tc>
        <w:tc>
          <w:tcPr>
            <w:tcW w:w="444" w:type="pct"/>
          </w:tcPr>
          <w:p w14:paraId="05BAB75A" w14:textId="77777777" w:rsidR="00183777" w:rsidRPr="00825F64" w:rsidRDefault="00183777" w:rsidP="0045581B">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c>
          <w:tcPr>
            <w:tcW w:w="0" w:type="auto"/>
          </w:tcPr>
          <w:p w14:paraId="11AE01DA" w14:textId="5C659BF4" w:rsidR="00183777" w:rsidRPr="00825F64" w:rsidRDefault="00183777" w:rsidP="006F6C14">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183777" w:rsidRPr="006F6C14" w14:paraId="70D44B4A" w14:textId="77777777" w:rsidTr="006F6C14">
        <w:trPr>
          <w:tblCellSpacing w:w="0" w:type="dxa"/>
        </w:trPr>
        <w:tc>
          <w:tcPr>
            <w:tcW w:w="0" w:type="auto"/>
            <w:hideMark/>
          </w:tcPr>
          <w:p w14:paraId="516F7EEF" w14:textId="77777777" w:rsidR="00183777" w:rsidRPr="00825F64" w:rsidRDefault="00183777" w:rsidP="0045581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0710</w:t>
            </w:r>
          </w:p>
        </w:tc>
        <w:tc>
          <w:tcPr>
            <w:tcW w:w="717" w:type="pct"/>
            <w:hideMark/>
          </w:tcPr>
          <w:p w14:paraId="3D6586EB" w14:textId="77777777" w:rsidR="00183777" w:rsidRPr="00825F64" w:rsidRDefault="00183777" w:rsidP="0045581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1.8.2</w:t>
            </w:r>
          </w:p>
        </w:tc>
        <w:tc>
          <w:tcPr>
            <w:tcW w:w="2574" w:type="pct"/>
            <w:hideMark/>
          </w:tcPr>
          <w:p w14:paraId="7AF5B504" w14:textId="4149087E" w:rsidR="00183777" w:rsidRPr="00825F64" w:rsidRDefault="00183777" w:rsidP="0045581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 xml:space="preserve">Din care: cerințe prudențiale suplimentare mai stricte </w:t>
            </w:r>
          </w:p>
        </w:tc>
        <w:tc>
          <w:tcPr>
            <w:tcW w:w="444" w:type="pct"/>
          </w:tcPr>
          <w:p w14:paraId="37EFEE38" w14:textId="3AD4F527" w:rsidR="00183777" w:rsidRPr="00AA48A4" w:rsidRDefault="00C92EE9" w:rsidP="0045581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AA48A4">
              <w:rPr>
                <w:rFonts w:ascii="Times New Roman" w:eastAsia="Times New Roman" w:hAnsi="Times New Roman" w:cs="Times New Roman"/>
                <w:color w:val="000000"/>
                <w:kern w:val="0"/>
                <w:lang w:eastAsia="ro-MD"/>
                <w14:ligatures w14:val="none"/>
              </w:rPr>
              <w:t>x</w:t>
            </w:r>
          </w:p>
        </w:tc>
        <w:tc>
          <w:tcPr>
            <w:tcW w:w="0" w:type="auto"/>
            <w:hideMark/>
          </w:tcPr>
          <w:p w14:paraId="3F2E5DE1" w14:textId="5FC4BD99" w:rsidR="00183777" w:rsidRPr="00AA48A4" w:rsidRDefault="00352CBB" w:rsidP="006F6C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AA48A4">
              <w:rPr>
                <w:rFonts w:ascii="Times New Roman" w:eastAsia="Times New Roman" w:hAnsi="Times New Roman" w:cs="Times New Roman"/>
                <w:color w:val="000000"/>
                <w:kern w:val="0"/>
                <w:lang w:eastAsia="ro-MD"/>
                <w14:ligatures w14:val="none"/>
              </w:rPr>
              <w:t>x</w:t>
            </w:r>
          </w:p>
        </w:tc>
      </w:tr>
      <w:tr w:rsidR="00183777" w:rsidRPr="006F6C14" w14:paraId="3E2BCF83" w14:textId="77777777" w:rsidTr="006F6C14">
        <w:trPr>
          <w:tblCellSpacing w:w="0" w:type="dxa"/>
        </w:trPr>
        <w:tc>
          <w:tcPr>
            <w:tcW w:w="0" w:type="auto"/>
            <w:hideMark/>
          </w:tcPr>
          <w:p w14:paraId="1B594BD3" w14:textId="77777777" w:rsidR="00183777" w:rsidRPr="00825F64" w:rsidRDefault="00183777" w:rsidP="0045581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0720</w:t>
            </w:r>
          </w:p>
        </w:tc>
        <w:tc>
          <w:tcPr>
            <w:tcW w:w="717" w:type="pct"/>
            <w:hideMark/>
          </w:tcPr>
          <w:p w14:paraId="4BBE8D88" w14:textId="77777777" w:rsidR="00183777" w:rsidRPr="00825F64" w:rsidRDefault="00183777" w:rsidP="0045581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1.8.2*</w:t>
            </w:r>
          </w:p>
        </w:tc>
        <w:tc>
          <w:tcPr>
            <w:tcW w:w="2574" w:type="pct"/>
            <w:hideMark/>
          </w:tcPr>
          <w:p w14:paraId="684876DE" w14:textId="77777777" w:rsidR="00183777" w:rsidRPr="00825F64" w:rsidRDefault="00183777" w:rsidP="0045581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Din care: cerințe privind expunerile mari</w:t>
            </w:r>
          </w:p>
        </w:tc>
        <w:tc>
          <w:tcPr>
            <w:tcW w:w="444" w:type="pct"/>
          </w:tcPr>
          <w:p w14:paraId="36D57ABE" w14:textId="772B165E" w:rsidR="00183777" w:rsidRPr="00AA48A4" w:rsidRDefault="00C92EE9" w:rsidP="0045581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AA48A4">
              <w:rPr>
                <w:rFonts w:ascii="Times New Roman" w:eastAsia="Times New Roman" w:hAnsi="Times New Roman" w:cs="Times New Roman"/>
                <w:color w:val="000000"/>
                <w:kern w:val="0"/>
                <w:lang w:eastAsia="ro-MD"/>
                <w14:ligatures w14:val="none"/>
              </w:rPr>
              <w:t>x</w:t>
            </w:r>
          </w:p>
        </w:tc>
        <w:tc>
          <w:tcPr>
            <w:tcW w:w="0" w:type="auto"/>
            <w:hideMark/>
          </w:tcPr>
          <w:p w14:paraId="3F050208" w14:textId="43F722CC" w:rsidR="00183777" w:rsidRPr="00AA48A4" w:rsidRDefault="00352CBB" w:rsidP="006F6C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AA48A4">
              <w:rPr>
                <w:rFonts w:ascii="Times New Roman" w:eastAsia="Times New Roman" w:hAnsi="Times New Roman" w:cs="Times New Roman"/>
                <w:color w:val="000000"/>
                <w:kern w:val="0"/>
                <w:lang w:eastAsia="ro-MD"/>
                <w14:ligatures w14:val="none"/>
              </w:rPr>
              <w:t>x</w:t>
            </w:r>
          </w:p>
        </w:tc>
      </w:tr>
      <w:tr w:rsidR="00183777" w:rsidRPr="006F6C14" w14:paraId="3D65CBE2" w14:textId="77777777" w:rsidTr="006F6C14">
        <w:trPr>
          <w:tblCellSpacing w:w="0" w:type="dxa"/>
        </w:trPr>
        <w:tc>
          <w:tcPr>
            <w:tcW w:w="0" w:type="auto"/>
            <w:hideMark/>
          </w:tcPr>
          <w:p w14:paraId="31C4AFEE" w14:textId="77777777" w:rsidR="00183777" w:rsidRPr="00825F64" w:rsidRDefault="00183777" w:rsidP="0045581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0730</w:t>
            </w:r>
          </w:p>
        </w:tc>
        <w:tc>
          <w:tcPr>
            <w:tcW w:w="717" w:type="pct"/>
            <w:hideMark/>
          </w:tcPr>
          <w:p w14:paraId="619E010B" w14:textId="77777777" w:rsidR="00183777" w:rsidRPr="00825F64" w:rsidRDefault="00183777" w:rsidP="0045581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1.8.2**</w:t>
            </w:r>
          </w:p>
        </w:tc>
        <w:tc>
          <w:tcPr>
            <w:tcW w:w="2574" w:type="pct"/>
            <w:hideMark/>
          </w:tcPr>
          <w:p w14:paraId="059AFD0F" w14:textId="77777777" w:rsidR="00183777" w:rsidRPr="00825F64" w:rsidRDefault="00183777" w:rsidP="0045581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Din care: cele datorate ponderilor de risc modificate destinate țintirii bulelor speculative în sectorul bunurilor imobile locative și comerciale</w:t>
            </w:r>
          </w:p>
        </w:tc>
        <w:tc>
          <w:tcPr>
            <w:tcW w:w="444" w:type="pct"/>
          </w:tcPr>
          <w:p w14:paraId="47A17FC3" w14:textId="78FFB83E" w:rsidR="00183777" w:rsidRPr="00AA48A4" w:rsidRDefault="00C92EE9" w:rsidP="0045581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AA48A4">
              <w:rPr>
                <w:rFonts w:ascii="Times New Roman" w:eastAsia="Times New Roman" w:hAnsi="Times New Roman" w:cs="Times New Roman"/>
                <w:color w:val="000000"/>
                <w:kern w:val="0"/>
                <w:lang w:eastAsia="ro-MD"/>
                <w14:ligatures w14:val="none"/>
              </w:rPr>
              <w:t>x</w:t>
            </w:r>
          </w:p>
        </w:tc>
        <w:tc>
          <w:tcPr>
            <w:tcW w:w="0" w:type="auto"/>
            <w:hideMark/>
          </w:tcPr>
          <w:p w14:paraId="25EAD7CE" w14:textId="2F57B659" w:rsidR="00183777" w:rsidRPr="00AA48A4" w:rsidRDefault="00352CBB" w:rsidP="006F6C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AA48A4">
              <w:rPr>
                <w:rFonts w:ascii="Times New Roman" w:eastAsia="Times New Roman" w:hAnsi="Times New Roman" w:cs="Times New Roman"/>
                <w:color w:val="000000"/>
                <w:kern w:val="0"/>
                <w:lang w:eastAsia="ro-MD"/>
                <w14:ligatures w14:val="none"/>
              </w:rPr>
              <w:t>x</w:t>
            </w:r>
          </w:p>
        </w:tc>
      </w:tr>
      <w:tr w:rsidR="00183777" w:rsidRPr="006F6C14" w14:paraId="5F1EC9E5" w14:textId="77777777" w:rsidTr="006F6C14">
        <w:trPr>
          <w:tblCellSpacing w:w="0" w:type="dxa"/>
        </w:trPr>
        <w:tc>
          <w:tcPr>
            <w:tcW w:w="0" w:type="auto"/>
            <w:hideMark/>
          </w:tcPr>
          <w:p w14:paraId="054B72F9" w14:textId="77777777" w:rsidR="00183777" w:rsidRPr="00825F64" w:rsidRDefault="00183777" w:rsidP="0045581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0740</w:t>
            </w:r>
          </w:p>
        </w:tc>
        <w:tc>
          <w:tcPr>
            <w:tcW w:w="717" w:type="pct"/>
            <w:hideMark/>
          </w:tcPr>
          <w:p w14:paraId="3A867414" w14:textId="77777777" w:rsidR="00183777" w:rsidRPr="00825F64" w:rsidRDefault="00183777" w:rsidP="0045581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1.8.2***</w:t>
            </w:r>
          </w:p>
        </w:tc>
        <w:tc>
          <w:tcPr>
            <w:tcW w:w="2574" w:type="pct"/>
            <w:hideMark/>
          </w:tcPr>
          <w:p w14:paraId="531FF0E4" w14:textId="77777777" w:rsidR="00183777" w:rsidRPr="00825F64" w:rsidRDefault="00183777" w:rsidP="0045581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825F64">
              <w:rPr>
                <w:rFonts w:ascii="Times New Roman" w:eastAsia="Times New Roman" w:hAnsi="Times New Roman" w:cs="Times New Roman"/>
                <w:color w:val="000000"/>
                <w:kern w:val="0"/>
                <w:lang w:eastAsia="ro-MD"/>
                <w14:ligatures w14:val="none"/>
              </w:rPr>
              <w:t xml:space="preserve">Din care: cele datorate expunerilor </w:t>
            </w:r>
            <w:proofErr w:type="spellStart"/>
            <w:r w:rsidRPr="00825F64">
              <w:rPr>
                <w:rFonts w:ascii="Times New Roman" w:eastAsia="Times New Roman" w:hAnsi="Times New Roman" w:cs="Times New Roman"/>
                <w:color w:val="000000"/>
                <w:kern w:val="0"/>
                <w:lang w:eastAsia="ro-MD"/>
                <w14:ligatures w14:val="none"/>
              </w:rPr>
              <w:t>intrasectoriale</w:t>
            </w:r>
            <w:proofErr w:type="spellEnd"/>
            <w:r w:rsidRPr="00825F64">
              <w:rPr>
                <w:rFonts w:ascii="Times New Roman" w:eastAsia="Times New Roman" w:hAnsi="Times New Roman" w:cs="Times New Roman"/>
                <w:color w:val="000000"/>
                <w:kern w:val="0"/>
                <w:lang w:eastAsia="ro-MD"/>
                <w14:ligatures w14:val="none"/>
              </w:rPr>
              <w:t xml:space="preserve"> din sectorul financiar</w:t>
            </w:r>
          </w:p>
        </w:tc>
        <w:tc>
          <w:tcPr>
            <w:tcW w:w="444" w:type="pct"/>
          </w:tcPr>
          <w:p w14:paraId="7226C052" w14:textId="0DFD411F" w:rsidR="00183777" w:rsidRPr="00AA48A4" w:rsidRDefault="00C92EE9" w:rsidP="0045581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AA48A4">
              <w:rPr>
                <w:rFonts w:ascii="Times New Roman" w:eastAsia="Times New Roman" w:hAnsi="Times New Roman" w:cs="Times New Roman"/>
                <w:color w:val="000000"/>
                <w:kern w:val="0"/>
                <w:lang w:eastAsia="ro-MD"/>
                <w14:ligatures w14:val="none"/>
              </w:rPr>
              <w:t>x</w:t>
            </w:r>
          </w:p>
        </w:tc>
        <w:tc>
          <w:tcPr>
            <w:tcW w:w="0" w:type="auto"/>
            <w:hideMark/>
          </w:tcPr>
          <w:p w14:paraId="0B693B90" w14:textId="24EF8DDC" w:rsidR="00183777" w:rsidRPr="00AA48A4" w:rsidRDefault="00352CBB" w:rsidP="006F6C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AA48A4">
              <w:rPr>
                <w:rFonts w:ascii="Times New Roman" w:eastAsia="Times New Roman" w:hAnsi="Times New Roman" w:cs="Times New Roman"/>
                <w:color w:val="000000"/>
                <w:kern w:val="0"/>
                <w:lang w:eastAsia="ro-MD"/>
                <w14:ligatures w14:val="none"/>
              </w:rPr>
              <w:t>x</w:t>
            </w:r>
          </w:p>
        </w:tc>
      </w:tr>
      <w:tr w:rsidR="00183777" w:rsidRPr="006F6C14" w14:paraId="20302B28" w14:textId="77777777" w:rsidTr="006F6C14">
        <w:trPr>
          <w:tblCellSpacing w:w="0" w:type="dxa"/>
        </w:trPr>
        <w:tc>
          <w:tcPr>
            <w:tcW w:w="0" w:type="auto"/>
            <w:hideMark/>
          </w:tcPr>
          <w:p w14:paraId="3B343414" w14:textId="77777777" w:rsidR="00183777" w:rsidRPr="00825F64" w:rsidRDefault="00183777" w:rsidP="0045581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0750</w:t>
            </w:r>
          </w:p>
        </w:tc>
        <w:tc>
          <w:tcPr>
            <w:tcW w:w="717" w:type="pct"/>
            <w:hideMark/>
          </w:tcPr>
          <w:p w14:paraId="5CBEAD98" w14:textId="77777777" w:rsidR="00183777" w:rsidRPr="00825F64" w:rsidRDefault="00183777" w:rsidP="0045581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1.8.3</w:t>
            </w:r>
          </w:p>
        </w:tc>
        <w:tc>
          <w:tcPr>
            <w:tcW w:w="2574" w:type="pct"/>
            <w:hideMark/>
          </w:tcPr>
          <w:p w14:paraId="1A168141" w14:textId="29D7A689" w:rsidR="00183777" w:rsidRPr="00825F64" w:rsidRDefault="00183777" w:rsidP="0045581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 xml:space="preserve">Din care: cerințe prudențiale suplimentare mai stricte </w:t>
            </w:r>
          </w:p>
        </w:tc>
        <w:tc>
          <w:tcPr>
            <w:tcW w:w="444" w:type="pct"/>
          </w:tcPr>
          <w:p w14:paraId="2CC4B0B8" w14:textId="21CCDD9C" w:rsidR="00183777" w:rsidRPr="00AA48A4" w:rsidRDefault="00C92EE9" w:rsidP="0045581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AA48A4">
              <w:rPr>
                <w:rFonts w:ascii="Times New Roman" w:eastAsia="Times New Roman" w:hAnsi="Times New Roman" w:cs="Times New Roman"/>
                <w:color w:val="000000"/>
                <w:kern w:val="0"/>
                <w:lang w:eastAsia="ro-MD"/>
                <w14:ligatures w14:val="none"/>
              </w:rPr>
              <w:t>x</w:t>
            </w:r>
          </w:p>
        </w:tc>
        <w:tc>
          <w:tcPr>
            <w:tcW w:w="0" w:type="auto"/>
            <w:hideMark/>
          </w:tcPr>
          <w:p w14:paraId="6C6956B4" w14:textId="1A6E2B3E" w:rsidR="00183777" w:rsidRPr="00AA48A4" w:rsidRDefault="00352CBB" w:rsidP="006F6C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AA48A4">
              <w:rPr>
                <w:rFonts w:ascii="Times New Roman" w:eastAsia="Times New Roman" w:hAnsi="Times New Roman" w:cs="Times New Roman"/>
                <w:color w:val="000000"/>
                <w:kern w:val="0"/>
                <w:lang w:eastAsia="ro-MD"/>
                <w14:ligatures w14:val="none"/>
              </w:rPr>
              <w:t>x</w:t>
            </w:r>
          </w:p>
        </w:tc>
      </w:tr>
      <w:tr w:rsidR="00183777" w:rsidRPr="006F6C14" w14:paraId="464E2E52" w14:textId="77777777" w:rsidTr="006F6C14">
        <w:trPr>
          <w:tblCellSpacing w:w="0" w:type="dxa"/>
        </w:trPr>
        <w:tc>
          <w:tcPr>
            <w:tcW w:w="0" w:type="auto"/>
          </w:tcPr>
          <w:p w14:paraId="44742311" w14:textId="718D7E1C" w:rsidR="00183777" w:rsidRPr="002B024E" w:rsidRDefault="00183777" w:rsidP="0045581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B024E">
              <w:rPr>
                <w:rFonts w:ascii="Times New Roman" w:eastAsia="Times New Roman" w:hAnsi="Times New Roman" w:cs="Times New Roman"/>
                <w:color w:val="000000"/>
                <w:kern w:val="0"/>
                <w:lang w:eastAsia="ro-MD"/>
                <w14:ligatures w14:val="none"/>
              </w:rPr>
              <w:t>0755</w:t>
            </w:r>
          </w:p>
        </w:tc>
        <w:tc>
          <w:tcPr>
            <w:tcW w:w="717" w:type="pct"/>
          </w:tcPr>
          <w:p w14:paraId="36722389" w14:textId="1AEF5CFE" w:rsidR="00183777" w:rsidRPr="002B024E" w:rsidRDefault="00183777" w:rsidP="0045581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B024E">
              <w:rPr>
                <w:rFonts w:ascii="Times New Roman" w:eastAsia="Times New Roman" w:hAnsi="Times New Roman" w:cs="Times New Roman"/>
                <w:color w:val="000000"/>
                <w:kern w:val="0"/>
                <w:lang w:eastAsia="ro-MD"/>
                <w14:ligatures w14:val="none"/>
              </w:rPr>
              <w:t>1.8.3a</w:t>
            </w:r>
          </w:p>
        </w:tc>
        <w:tc>
          <w:tcPr>
            <w:tcW w:w="2574" w:type="pct"/>
          </w:tcPr>
          <w:p w14:paraId="53CA08DF" w14:textId="13B3AF74" w:rsidR="00183777" w:rsidRPr="00C92EE9" w:rsidRDefault="00183777" w:rsidP="0045581B">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B024E">
              <w:rPr>
                <w:rFonts w:ascii="Times New Roman" w:eastAsia="Times New Roman" w:hAnsi="Times New Roman" w:cs="Times New Roman"/>
                <w:color w:val="000000"/>
                <w:kern w:val="0"/>
                <w:lang w:eastAsia="ro-MD"/>
                <w14:ligatures w14:val="none"/>
              </w:rPr>
              <w:t xml:space="preserve">Din care: </w:t>
            </w:r>
            <w:r w:rsidR="00DD6689">
              <w:rPr>
                <w:rFonts w:ascii="Times New Roman" w:eastAsia="Times New Roman" w:hAnsi="Times New Roman" w:cs="Times New Roman"/>
                <w:color w:val="000000"/>
                <w:kern w:val="0"/>
                <w:lang w:eastAsia="ro-MD"/>
                <w14:ligatures w14:val="none"/>
              </w:rPr>
              <w:t xml:space="preserve">valoarea expunerii ponderate la risc pentru expunerile care nu se află în stare de nerambursare față de un IMM (în continuare - </w:t>
            </w:r>
            <w:r w:rsidR="00DD6689" w:rsidRPr="002B024E">
              <w:rPr>
                <w:rFonts w:ascii="Times New Roman" w:eastAsia="Times New Roman" w:hAnsi="Times New Roman" w:cs="Times New Roman"/>
                <w:color w:val="000000"/>
                <w:kern w:val="0"/>
                <w:lang w:eastAsia="ro-MD"/>
                <w14:ligatures w14:val="none"/>
              </w:rPr>
              <w:t xml:space="preserve"> </w:t>
            </w:r>
            <w:r w:rsidRPr="002B024E">
              <w:rPr>
                <w:rFonts w:ascii="Times New Roman" w:eastAsia="Times New Roman" w:hAnsi="Times New Roman" w:cs="Times New Roman"/>
                <w:color w:val="000000"/>
                <w:kern w:val="0"/>
                <w:lang w:eastAsia="ro-MD"/>
                <w14:ligatures w14:val="none"/>
              </w:rPr>
              <w:t>RWEA</w:t>
            </w:r>
            <w:r w:rsidR="00DD6689">
              <w:rPr>
                <w:rFonts w:ascii="Times New Roman" w:eastAsia="Times New Roman" w:hAnsi="Times New Roman" w:cs="Times New Roman"/>
                <w:color w:val="000000"/>
                <w:kern w:val="0"/>
                <w:lang w:eastAsia="ro-MD"/>
                <w14:ligatures w14:val="none"/>
              </w:rPr>
              <w:t>)</w:t>
            </w:r>
            <w:r w:rsidRPr="002B024E">
              <w:rPr>
                <w:rFonts w:ascii="Times New Roman" w:eastAsia="Times New Roman" w:hAnsi="Times New Roman" w:cs="Times New Roman"/>
                <w:color w:val="000000"/>
                <w:kern w:val="0"/>
                <w:lang w:eastAsia="ro-MD"/>
                <w14:ligatures w14:val="none"/>
              </w:rPr>
              <w:t xml:space="preserve"> suplimentar pentru riscul de piață impus de supraveghetor </w:t>
            </w:r>
          </w:p>
        </w:tc>
        <w:tc>
          <w:tcPr>
            <w:tcW w:w="444" w:type="pct"/>
          </w:tcPr>
          <w:p w14:paraId="236DAC12" w14:textId="2755FF2E" w:rsidR="00183777" w:rsidRPr="00AA48A4" w:rsidRDefault="00C92EE9" w:rsidP="0045581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AA48A4">
              <w:rPr>
                <w:rFonts w:ascii="Times New Roman" w:eastAsia="Times New Roman" w:hAnsi="Times New Roman" w:cs="Times New Roman"/>
                <w:color w:val="000000"/>
                <w:kern w:val="0"/>
                <w:lang w:eastAsia="ro-MD"/>
                <w14:ligatures w14:val="none"/>
              </w:rPr>
              <w:t>x</w:t>
            </w:r>
          </w:p>
        </w:tc>
        <w:tc>
          <w:tcPr>
            <w:tcW w:w="0" w:type="auto"/>
          </w:tcPr>
          <w:p w14:paraId="08C34581" w14:textId="7119DF37" w:rsidR="00183777" w:rsidRPr="00AA48A4" w:rsidRDefault="00352CBB" w:rsidP="006F6C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AA48A4">
              <w:rPr>
                <w:rFonts w:ascii="Times New Roman" w:eastAsia="Times New Roman" w:hAnsi="Times New Roman" w:cs="Times New Roman"/>
                <w:color w:val="000000"/>
                <w:kern w:val="0"/>
                <w:lang w:eastAsia="ro-MD"/>
                <w14:ligatures w14:val="none"/>
              </w:rPr>
              <w:t>x</w:t>
            </w:r>
          </w:p>
        </w:tc>
      </w:tr>
      <w:tr w:rsidR="00183777" w:rsidRPr="006F6C14" w14:paraId="087481A0" w14:textId="77777777" w:rsidTr="006F6C14">
        <w:trPr>
          <w:tblCellSpacing w:w="0" w:type="dxa"/>
        </w:trPr>
        <w:tc>
          <w:tcPr>
            <w:tcW w:w="0" w:type="auto"/>
            <w:hideMark/>
          </w:tcPr>
          <w:p w14:paraId="72F4696E" w14:textId="77777777" w:rsidR="00183777" w:rsidRPr="00825F64" w:rsidRDefault="00183777" w:rsidP="0045581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0760</w:t>
            </w:r>
          </w:p>
        </w:tc>
        <w:tc>
          <w:tcPr>
            <w:tcW w:w="717" w:type="pct"/>
            <w:hideMark/>
          </w:tcPr>
          <w:p w14:paraId="257DA13D" w14:textId="77777777" w:rsidR="00183777" w:rsidRPr="00825F64" w:rsidRDefault="00183777" w:rsidP="0045581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1.8.4</w:t>
            </w:r>
          </w:p>
        </w:tc>
        <w:tc>
          <w:tcPr>
            <w:tcW w:w="2574" w:type="pct"/>
            <w:hideMark/>
          </w:tcPr>
          <w:p w14:paraId="5F9F79CC" w14:textId="498780BE" w:rsidR="00183777" w:rsidRPr="00825F64" w:rsidRDefault="00183777" w:rsidP="0045581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825F64">
              <w:rPr>
                <w:rFonts w:ascii="Times New Roman" w:eastAsia="Times New Roman" w:hAnsi="Times New Roman" w:cs="Times New Roman"/>
                <w:b/>
                <w:bCs/>
                <w:color w:val="000000"/>
                <w:kern w:val="0"/>
                <w:lang w:eastAsia="ro-MD"/>
                <w14:ligatures w14:val="none"/>
              </w:rPr>
              <w:t xml:space="preserve">Din care: cuantumul suplimentar al expunerii la risc conform </w:t>
            </w:r>
            <w:r w:rsidR="00CF6567" w:rsidRPr="00825F64">
              <w:rPr>
                <w:rFonts w:ascii="Times New Roman" w:eastAsia="Times New Roman" w:hAnsi="Times New Roman" w:cs="Times New Roman"/>
                <w:b/>
                <w:bCs/>
                <w:color w:val="000000"/>
                <w:kern w:val="0"/>
                <w:lang w:eastAsia="ro-MD"/>
                <w14:ligatures w14:val="none"/>
              </w:rPr>
              <w:t>punctului</w:t>
            </w:r>
            <w:r w:rsidRPr="00825F64">
              <w:rPr>
                <w:rFonts w:ascii="Times New Roman" w:eastAsia="Times New Roman" w:hAnsi="Times New Roman" w:cs="Times New Roman"/>
                <w:b/>
                <w:bCs/>
                <w:color w:val="000000"/>
                <w:kern w:val="0"/>
                <w:lang w:eastAsia="ro-MD"/>
                <w14:ligatures w14:val="none"/>
              </w:rPr>
              <w:t xml:space="preserve"> 3 din </w:t>
            </w:r>
            <w:r w:rsidR="00CF6567" w:rsidRPr="006F6C14">
              <w:rPr>
                <w:rFonts w:ascii="Times New Roman" w:eastAsia="Times New Roman" w:hAnsi="Times New Roman" w:cs="Times New Roman"/>
                <w:b/>
                <w:bCs/>
                <w:color w:val="000000"/>
                <w:kern w:val="0"/>
                <w:lang w:eastAsia="ro-MD"/>
                <w14:ligatures w14:val="none"/>
              </w:rPr>
              <w:t>Regulamentul nr.109/2018</w:t>
            </w:r>
          </w:p>
        </w:tc>
        <w:tc>
          <w:tcPr>
            <w:tcW w:w="444" w:type="pct"/>
          </w:tcPr>
          <w:p w14:paraId="5782525F" w14:textId="77777777" w:rsidR="00183777" w:rsidRPr="00AA48A4" w:rsidRDefault="00183777" w:rsidP="0045581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hideMark/>
          </w:tcPr>
          <w:p w14:paraId="041082BF" w14:textId="1E47E61A" w:rsidR="00183777" w:rsidRPr="00AA48A4" w:rsidRDefault="00352CBB" w:rsidP="006F6C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AA48A4">
              <w:rPr>
                <w:rFonts w:ascii="Times New Roman" w:eastAsia="Times New Roman" w:hAnsi="Times New Roman" w:cs="Times New Roman"/>
                <w:color w:val="000000"/>
                <w:kern w:val="0"/>
                <w:lang w:eastAsia="ro-MD"/>
                <w14:ligatures w14:val="none"/>
              </w:rPr>
              <w:t>x</w:t>
            </w:r>
          </w:p>
        </w:tc>
      </w:tr>
      <w:tr w:rsidR="00183777" w:rsidRPr="00C92EE9" w14:paraId="140F5BE6" w14:textId="77777777" w:rsidTr="006F6C14">
        <w:trPr>
          <w:tblCellSpacing w:w="0" w:type="dxa"/>
        </w:trPr>
        <w:tc>
          <w:tcPr>
            <w:tcW w:w="0" w:type="auto"/>
          </w:tcPr>
          <w:p w14:paraId="3BFDBED3" w14:textId="72A13B57" w:rsidR="00183777" w:rsidRPr="002B024E" w:rsidRDefault="00183777" w:rsidP="0045581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0770</w:t>
            </w:r>
          </w:p>
        </w:tc>
        <w:tc>
          <w:tcPr>
            <w:tcW w:w="717" w:type="pct"/>
          </w:tcPr>
          <w:p w14:paraId="108E69BD" w14:textId="086EF950" w:rsidR="00183777" w:rsidRPr="002B024E" w:rsidRDefault="00183777" w:rsidP="0045581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1.8.4*</w:t>
            </w:r>
          </w:p>
        </w:tc>
        <w:tc>
          <w:tcPr>
            <w:tcW w:w="2574" w:type="pct"/>
          </w:tcPr>
          <w:p w14:paraId="427B3D45" w14:textId="7A9F020F" w:rsidR="00183777" w:rsidRPr="002B024E" w:rsidRDefault="00183777" w:rsidP="0045581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Din care: RWEA suplimentar pentru riscul de piață</w:t>
            </w:r>
          </w:p>
        </w:tc>
        <w:tc>
          <w:tcPr>
            <w:tcW w:w="444" w:type="pct"/>
          </w:tcPr>
          <w:p w14:paraId="15703315" w14:textId="3EE0ACE4" w:rsidR="00183777" w:rsidRPr="00AA48A4" w:rsidRDefault="00183777" w:rsidP="0045581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0CEA5018" w14:textId="04051741" w:rsidR="00183777" w:rsidRPr="00AA48A4" w:rsidRDefault="00352CBB" w:rsidP="006F6C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AA48A4">
              <w:rPr>
                <w:rFonts w:ascii="Times New Roman" w:eastAsia="Times New Roman" w:hAnsi="Times New Roman" w:cs="Times New Roman"/>
                <w:color w:val="000000"/>
                <w:kern w:val="0"/>
                <w:lang w:eastAsia="ro-MD"/>
                <w14:ligatures w14:val="none"/>
              </w:rPr>
              <w:t>x</w:t>
            </w:r>
          </w:p>
        </w:tc>
      </w:tr>
      <w:tr w:rsidR="00183777" w:rsidRPr="006F6C14" w14:paraId="3B19E54F" w14:textId="77777777" w:rsidTr="006F6C14">
        <w:trPr>
          <w:tblCellSpacing w:w="0" w:type="dxa"/>
        </w:trPr>
        <w:tc>
          <w:tcPr>
            <w:tcW w:w="0" w:type="auto"/>
          </w:tcPr>
          <w:p w14:paraId="71ABFBAB" w14:textId="3C4288F2" w:rsidR="00183777" w:rsidRPr="002B024E" w:rsidRDefault="00183777" w:rsidP="0045581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0780</w:t>
            </w:r>
          </w:p>
        </w:tc>
        <w:tc>
          <w:tcPr>
            <w:tcW w:w="717" w:type="pct"/>
          </w:tcPr>
          <w:p w14:paraId="6DE2BF83" w14:textId="218CB179" w:rsidR="00183777" w:rsidRPr="002B024E" w:rsidRDefault="00183777" w:rsidP="0045581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1.8.5</w:t>
            </w:r>
          </w:p>
        </w:tc>
        <w:tc>
          <w:tcPr>
            <w:tcW w:w="2574" w:type="pct"/>
          </w:tcPr>
          <w:p w14:paraId="2ED9F01D" w14:textId="6BF28CAE" w:rsidR="00183777" w:rsidRPr="00C92EE9" w:rsidRDefault="00183777" w:rsidP="0045581B">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B024E">
              <w:rPr>
                <w:rFonts w:ascii="Times New Roman" w:eastAsia="Times New Roman" w:hAnsi="Times New Roman" w:cs="Times New Roman"/>
                <w:b/>
                <w:bCs/>
                <w:color w:val="000000"/>
                <w:kern w:val="0"/>
                <w:lang w:eastAsia="ro-MD"/>
                <w14:ligatures w14:val="none"/>
              </w:rPr>
              <w:t xml:space="preserve">Din care: cuantumul tranzitoriu al expunerii la riscul legat de </w:t>
            </w:r>
            <w:proofErr w:type="spellStart"/>
            <w:r w:rsidRPr="002B024E">
              <w:rPr>
                <w:rFonts w:ascii="Times New Roman" w:eastAsia="Times New Roman" w:hAnsi="Times New Roman" w:cs="Times New Roman"/>
                <w:b/>
                <w:bCs/>
                <w:color w:val="000000"/>
                <w:kern w:val="0"/>
                <w:lang w:eastAsia="ro-MD"/>
                <w14:ligatures w14:val="none"/>
              </w:rPr>
              <w:t>criptoactive</w:t>
            </w:r>
            <w:proofErr w:type="spellEnd"/>
            <w:r w:rsidRPr="002B024E">
              <w:rPr>
                <w:rFonts w:ascii="Times New Roman" w:eastAsia="Times New Roman" w:hAnsi="Times New Roman" w:cs="Times New Roman"/>
                <w:b/>
                <w:bCs/>
                <w:color w:val="000000"/>
                <w:kern w:val="0"/>
                <w:lang w:eastAsia="ro-MD"/>
                <w14:ligatures w14:val="none"/>
              </w:rPr>
              <w:t xml:space="preserve"> </w:t>
            </w:r>
          </w:p>
        </w:tc>
        <w:tc>
          <w:tcPr>
            <w:tcW w:w="444" w:type="pct"/>
          </w:tcPr>
          <w:p w14:paraId="03A20825" w14:textId="4C556E02" w:rsidR="00183777" w:rsidRPr="00AA48A4" w:rsidRDefault="00183777" w:rsidP="0045581B">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c>
          <w:tcPr>
            <w:tcW w:w="0" w:type="auto"/>
          </w:tcPr>
          <w:p w14:paraId="79DD552F" w14:textId="5F19378C" w:rsidR="00183777" w:rsidRPr="00AA48A4" w:rsidRDefault="00352CBB" w:rsidP="006F6C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AA48A4">
              <w:rPr>
                <w:rFonts w:ascii="Times New Roman" w:eastAsia="Times New Roman" w:hAnsi="Times New Roman" w:cs="Times New Roman"/>
                <w:color w:val="000000"/>
                <w:kern w:val="0"/>
                <w:lang w:eastAsia="ro-MD"/>
                <w14:ligatures w14:val="none"/>
              </w:rPr>
              <w:t>x</w:t>
            </w:r>
          </w:p>
        </w:tc>
      </w:tr>
    </w:tbl>
    <w:p w14:paraId="7CC77784" w14:textId="77777777" w:rsidR="00CA6392" w:rsidRDefault="00CA6392" w:rsidP="002B024E"/>
    <w:p w14:paraId="31BF7A0F" w14:textId="77777777" w:rsidR="002B024E" w:rsidRDefault="002B024E" w:rsidP="002B024E">
      <w:pPr>
        <w:jc w:val="center"/>
        <w:rPr>
          <w:rFonts w:ascii="Times New Roman" w:eastAsia="Times New Roman" w:hAnsi="Times New Roman" w:cs="Times New Roman"/>
          <w:b/>
          <w:bCs/>
          <w:kern w:val="0"/>
          <w:sz w:val="24"/>
          <w:szCs w:val="24"/>
          <w:lang w:val="ro-RO" w:eastAsia="de-DE"/>
          <w14:ligatures w14:val="none"/>
        </w:rPr>
      </w:pPr>
    </w:p>
    <w:p w14:paraId="663259FB" w14:textId="5CE75547" w:rsidR="00782F41" w:rsidRPr="002B024E" w:rsidRDefault="00782F41" w:rsidP="002B024E">
      <w:pPr>
        <w:jc w:val="center"/>
        <w:rPr>
          <w:rFonts w:ascii="Times New Roman" w:eastAsia="Times New Roman" w:hAnsi="Times New Roman" w:cs="Times New Roman"/>
          <w:b/>
          <w:bCs/>
          <w:kern w:val="0"/>
          <w:sz w:val="24"/>
          <w:szCs w:val="24"/>
          <w:lang w:val="ro-RO" w:eastAsia="de-DE"/>
          <w14:ligatures w14:val="none"/>
        </w:rPr>
      </w:pPr>
      <w:r w:rsidRPr="002B024E">
        <w:rPr>
          <w:rFonts w:ascii="Times New Roman" w:eastAsia="Times New Roman" w:hAnsi="Times New Roman" w:cs="Times New Roman"/>
          <w:b/>
          <w:bCs/>
          <w:kern w:val="0"/>
          <w:sz w:val="24"/>
          <w:szCs w:val="24"/>
          <w:lang w:val="ro-RO" w:eastAsia="de-DE"/>
          <w14:ligatures w14:val="none"/>
        </w:rPr>
        <w:t>Modul de completare a raportului</w:t>
      </w:r>
    </w:p>
    <w:p w14:paraId="53D415BA" w14:textId="12FBEFFC" w:rsidR="00782F41" w:rsidRPr="002B024E" w:rsidRDefault="00782F41" w:rsidP="002B024E">
      <w:pPr>
        <w:jc w:val="center"/>
        <w:rPr>
          <w:rFonts w:ascii="Times New Roman" w:eastAsia="Times New Roman" w:hAnsi="Times New Roman" w:cs="Times New Roman"/>
          <w:b/>
          <w:bCs/>
          <w:kern w:val="0"/>
          <w:sz w:val="24"/>
          <w:szCs w:val="24"/>
          <w:lang w:val="ro-RO" w:eastAsia="de-DE"/>
          <w14:ligatures w14:val="none"/>
        </w:rPr>
      </w:pPr>
      <w:r w:rsidRPr="002B024E">
        <w:rPr>
          <w:rFonts w:ascii="Times New Roman" w:eastAsia="Times New Roman" w:hAnsi="Times New Roman" w:cs="Times New Roman"/>
          <w:b/>
          <w:bCs/>
          <w:kern w:val="0"/>
          <w:sz w:val="24"/>
          <w:szCs w:val="24"/>
          <w:lang w:val="ro-RO" w:eastAsia="de-DE"/>
          <w14:ligatures w14:val="none"/>
        </w:rPr>
        <w:t>C 02.00 – CERINȚE DE FONDURI PROPRII (CA2)</w:t>
      </w:r>
    </w:p>
    <w:p w14:paraId="3D574357" w14:textId="77777777" w:rsidR="00782F41" w:rsidRPr="002B024E" w:rsidRDefault="00782F41" w:rsidP="002B024E">
      <w:pPr>
        <w:rPr>
          <w:rFonts w:ascii="Times New Roman" w:hAnsi="Times New Roman" w:cs="Times New Roman"/>
          <w:color w:val="000000"/>
          <w:lang w:eastAsia="ro-MD"/>
        </w:rPr>
      </w:pPr>
      <w:r w:rsidRPr="002B024E">
        <w:rPr>
          <w:rFonts w:ascii="Times New Roman" w:hAnsi="Times New Roman" w:cs="Times New Roman"/>
          <w:color w:val="000000"/>
          <w:lang w:eastAsia="ro-MD"/>
        </w:rPr>
        <w:t>  Instrucțiuni privind anumite poziții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8363"/>
      </w:tblGrid>
      <w:tr w:rsidR="00183777" w:rsidRPr="00EC4157" w14:paraId="66CE5A37" w14:textId="77777777" w:rsidTr="002B0CD0">
        <w:tc>
          <w:tcPr>
            <w:tcW w:w="993" w:type="dxa"/>
            <w:shd w:val="clear" w:color="auto" w:fill="D9D9D9"/>
          </w:tcPr>
          <w:p w14:paraId="5CA411DF" w14:textId="77777777" w:rsidR="00183777" w:rsidRPr="00EC4157" w:rsidRDefault="00183777" w:rsidP="00A84D2B">
            <w:pPr>
              <w:pStyle w:val="InstructionsText"/>
            </w:pPr>
            <w:r w:rsidRPr="00EC4157">
              <w:t>Coloane</w:t>
            </w:r>
          </w:p>
        </w:tc>
        <w:tc>
          <w:tcPr>
            <w:tcW w:w="8363" w:type="dxa"/>
            <w:shd w:val="clear" w:color="auto" w:fill="D9D9D9"/>
          </w:tcPr>
          <w:p w14:paraId="1D4E7AEB" w14:textId="77777777" w:rsidR="00183777" w:rsidRPr="00EC4157" w:rsidRDefault="00183777" w:rsidP="00A84D2B">
            <w:pPr>
              <w:pStyle w:val="InstructionsText"/>
            </w:pPr>
            <w:r w:rsidRPr="00EC4157">
              <w:t>Referințe juridice și instrucțiuni</w:t>
            </w:r>
          </w:p>
        </w:tc>
      </w:tr>
      <w:tr w:rsidR="00183777" w:rsidRPr="00EC4157" w14:paraId="0F191382" w14:textId="77777777" w:rsidTr="002B0CD0">
        <w:tc>
          <w:tcPr>
            <w:tcW w:w="993" w:type="dxa"/>
          </w:tcPr>
          <w:p w14:paraId="1567EFD0" w14:textId="77777777" w:rsidR="00183777" w:rsidRPr="00492074" w:rsidRDefault="00183777" w:rsidP="00A84D2B">
            <w:pPr>
              <w:pStyle w:val="InstructionsText"/>
            </w:pPr>
            <w:r w:rsidRPr="00492074">
              <w:t>0010</w:t>
            </w:r>
          </w:p>
        </w:tc>
        <w:tc>
          <w:tcPr>
            <w:tcW w:w="8363" w:type="dxa"/>
          </w:tcPr>
          <w:p w14:paraId="4F67AD64" w14:textId="0BCFF729" w:rsidR="00183777" w:rsidRPr="009F37FB" w:rsidRDefault="00183777" w:rsidP="00A84D2B">
            <w:pPr>
              <w:pStyle w:val="InstructionsText"/>
              <w:rPr>
                <w:bCs/>
              </w:rPr>
            </w:pPr>
            <w:r w:rsidRPr="009F37FB">
              <w:rPr>
                <w:rStyle w:val="InstructionsTabelleberschrift"/>
                <w:rFonts w:ascii="Times New Roman" w:hAnsi="Times New Roman"/>
                <w:bCs w:val="0"/>
                <w:sz w:val="22"/>
                <w:u w:val="none"/>
              </w:rPr>
              <w:t>CUANTUMUL TOTAL AL EXPUNERII LA RISC</w:t>
            </w:r>
            <w:r w:rsidR="001B3261" w:rsidRPr="009F37FB">
              <w:rPr>
                <w:rStyle w:val="InstructionsTabelleberschrift"/>
                <w:rFonts w:ascii="Times New Roman" w:hAnsi="Times New Roman"/>
                <w:bCs w:val="0"/>
                <w:sz w:val="22"/>
                <w:u w:val="none"/>
              </w:rPr>
              <w:t xml:space="preserve"> (TREA)</w:t>
            </w:r>
          </w:p>
          <w:p w14:paraId="5773C352" w14:textId="5783BEB9" w:rsidR="00183777" w:rsidRPr="006555BF" w:rsidRDefault="00183777" w:rsidP="00A84D2B">
            <w:pPr>
              <w:pStyle w:val="InstructionsText"/>
            </w:pPr>
            <w:r w:rsidRPr="006555BF">
              <w:t>Punctul 13</w:t>
            </w:r>
            <w:r w:rsidR="00492074">
              <w:t>1</w:t>
            </w:r>
            <w:r w:rsidR="00492074" w:rsidRPr="002B024E">
              <w:rPr>
                <w:vertAlign w:val="superscript"/>
              </w:rPr>
              <w:t>1</w:t>
            </w:r>
            <w:r w:rsidRPr="006555BF">
              <w:t xml:space="preserve"> din Regulamentul nr.109/2018.</w:t>
            </w:r>
          </w:p>
        </w:tc>
      </w:tr>
      <w:tr w:rsidR="00183777" w:rsidRPr="00EC4157" w14:paraId="11748540" w14:textId="77777777" w:rsidTr="002B0CD0">
        <w:tc>
          <w:tcPr>
            <w:tcW w:w="993" w:type="dxa"/>
          </w:tcPr>
          <w:p w14:paraId="500E1939" w14:textId="77777777" w:rsidR="00183777" w:rsidRPr="002B024E" w:rsidRDefault="00183777" w:rsidP="00A84D2B">
            <w:pPr>
              <w:pStyle w:val="InstructionsText"/>
            </w:pPr>
            <w:r w:rsidRPr="002B024E">
              <w:t>0020</w:t>
            </w:r>
          </w:p>
        </w:tc>
        <w:tc>
          <w:tcPr>
            <w:tcW w:w="8363" w:type="dxa"/>
          </w:tcPr>
          <w:p w14:paraId="47EA85FC" w14:textId="77777777" w:rsidR="00183777" w:rsidRPr="002B024E" w:rsidRDefault="00183777" w:rsidP="00A84D2B">
            <w:pPr>
              <w:pStyle w:val="InstructionsText"/>
            </w:pPr>
            <w:r w:rsidRPr="002B024E">
              <w:rPr>
                <w:rStyle w:val="InstructionsTabelleberschrift"/>
                <w:rFonts w:ascii="Times New Roman" w:hAnsi="Times New Roman"/>
                <w:sz w:val="22"/>
                <w:u w:val="none"/>
              </w:rPr>
              <w:t>PRAGUL MINIM PRIVIND CERINȚELE DE CAPITAL S-TREA</w:t>
            </w:r>
          </w:p>
          <w:p w14:paraId="39800809" w14:textId="77777777" w:rsidR="00EC4157" w:rsidRPr="002B024E" w:rsidRDefault="00346025" w:rsidP="00A84D2B">
            <w:pPr>
              <w:pStyle w:val="InstructionsText"/>
            </w:pPr>
            <w:r w:rsidRPr="002B024E">
              <w:t>Băncile</w:t>
            </w:r>
            <w:r w:rsidR="00183777" w:rsidRPr="002B024E">
              <w:t xml:space="preserve"> care fac obiectul pragului minim privind cerințele de capital în conformitate cu p</w:t>
            </w:r>
            <w:r w:rsidR="00183777" w:rsidRPr="002B024E">
              <w:rPr>
                <w:color w:val="000000"/>
                <w:lang w:eastAsia="ro-MD"/>
              </w:rPr>
              <w:t>unctul 13</w:t>
            </w:r>
            <w:r w:rsidR="00886AF4" w:rsidRPr="002B024E">
              <w:rPr>
                <w:color w:val="000000"/>
                <w:lang w:eastAsia="ro-MD"/>
              </w:rPr>
              <w:t>1</w:t>
            </w:r>
            <w:r w:rsidR="00886AF4" w:rsidRPr="002B024E">
              <w:rPr>
                <w:color w:val="000000"/>
                <w:vertAlign w:val="superscript"/>
                <w:lang w:eastAsia="ro-MD"/>
              </w:rPr>
              <w:t>1</w:t>
            </w:r>
            <w:r w:rsidR="00183777" w:rsidRPr="002B024E">
              <w:rPr>
                <w:color w:val="000000"/>
                <w:lang w:eastAsia="ro-MD"/>
              </w:rPr>
              <w:t xml:space="preserve"> din Regulamentul nr.109/2018 </w:t>
            </w:r>
            <w:r w:rsidR="00183777" w:rsidRPr="002B024E">
              <w:t xml:space="preserve">raportează cuantumul total al expunerii la risc a entității conform abordărilor standardizate calculat în conformitate cu </w:t>
            </w:r>
            <w:r w:rsidR="001651E8" w:rsidRPr="002B024E">
              <w:t>p</w:t>
            </w:r>
            <w:r w:rsidR="001651E8" w:rsidRPr="002B024E">
              <w:rPr>
                <w:color w:val="000000"/>
                <w:lang w:eastAsia="ro-MD"/>
              </w:rPr>
              <w:t>unctul 132</w:t>
            </w:r>
            <w:r w:rsidR="001651E8" w:rsidRPr="002B024E">
              <w:rPr>
                <w:color w:val="000000"/>
                <w:vertAlign w:val="superscript"/>
                <w:lang w:eastAsia="ro-MD"/>
              </w:rPr>
              <w:t xml:space="preserve">1 </w:t>
            </w:r>
            <w:r w:rsidR="001651E8" w:rsidRPr="002B024E">
              <w:rPr>
                <w:color w:val="000000"/>
                <w:lang w:eastAsia="ro-MD"/>
              </w:rPr>
              <w:t>din Regulamentul nr.109/2018</w:t>
            </w:r>
            <w:r w:rsidR="00183777" w:rsidRPr="002B024E">
              <w:t>.</w:t>
            </w:r>
          </w:p>
          <w:p w14:paraId="0B22EC11" w14:textId="09272A06" w:rsidR="00183777" w:rsidRPr="002B024E" w:rsidRDefault="00183777" w:rsidP="00A84D2B">
            <w:pPr>
              <w:pStyle w:val="InstructionsText"/>
            </w:pPr>
            <w:r w:rsidRPr="002B024E">
              <w:t xml:space="preserve">Această coloană se aplică numai </w:t>
            </w:r>
            <w:r w:rsidR="001651E8" w:rsidRPr="002B024E">
              <w:t>băncilor</w:t>
            </w:r>
            <w:r w:rsidRPr="002B024E">
              <w:t xml:space="preserve"> care utilizează modele interne.</w:t>
            </w:r>
          </w:p>
          <w:p w14:paraId="55C701A5" w14:textId="77777777" w:rsidR="00183777" w:rsidRPr="002B024E" w:rsidRDefault="00183777" w:rsidP="00A84D2B">
            <w:pPr>
              <w:pStyle w:val="InstructionsText"/>
            </w:pPr>
            <w:r w:rsidRPr="002B024E">
              <w:t>Pe rândurile în care se utilizează abordări bazate pe modele interne pentru calcularea RWEA se raportează cuantumurile standardizate pentru aceste expuneri.</w:t>
            </w:r>
          </w:p>
          <w:p w14:paraId="4E96FCFE" w14:textId="77777777" w:rsidR="00183777" w:rsidRPr="002B024E" w:rsidRDefault="00183777" w:rsidP="00A84D2B">
            <w:pPr>
              <w:pStyle w:val="InstructionsText"/>
            </w:pPr>
            <w:r w:rsidRPr="002B024E">
              <w:t>Pe rândurile în care se utilizează abordări standardizate pentru calcularea RWEA se raportează aceleași cuantumuri ca cele raportate în coloana 0010 pentru aceste expuneri.</w:t>
            </w:r>
          </w:p>
        </w:tc>
      </w:tr>
    </w:tbl>
    <w:p w14:paraId="4B35C096" w14:textId="77777777" w:rsidR="00183777" w:rsidRDefault="00183777" w:rsidP="00782F41">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p>
    <w:tbl>
      <w:tblPr>
        <w:tblW w:w="492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7"/>
        <w:gridCol w:w="6609"/>
        <w:gridCol w:w="993"/>
        <w:gridCol w:w="991"/>
      </w:tblGrid>
      <w:tr w:rsidR="00D5130B" w:rsidRPr="002A677E" w14:paraId="39CA8691" w14:textId="0BF08E0E" w:rsidTr="002B024E">
        <w:trPr>
          <w:tblCellSpacing w:w="0" w:type="dxa"/>
        </w:trPr>
        <w:tc>
          <w:tcPr>
            <w:tcW w:w="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DD71F3" w14:textId="77777777" w:rsidR="00D5130B" w:rsidRPr="003F20AD" w:rsidRDefault="00D5130B" w:rsidP="003F20AD">
            <w:pPr>
              <w:spacing w:before="100" w:beforeAutospacing="1" w:after="100" w:afterAutospacing="1"/>
              <w:rPr>
                <w:rFonts w:ascii="Times New Roman" w:eastAsia="Times New Roman" w:hAnsi="Times New Roman" w:cs="Times New Roman"/>
                <w:color w:val="000000"/>
                <w:kern w:val="0"/>
                <w:lang w:eastAsia="ro-MD"/>
                <w14:ligatures w14:val="none"/>
              </w:rPr>
            </w:pPr>
            <w:r w:rsidRPr="003F20AD">
              <w:rPr>
                <w:rFonts w:ascii="Times New Roman" w:eastAsia="Times New Roman" w:hAnsi="Times New Roman" w:cs="Times New Roman"/>
                <w:color w:val="000000"/>
                <w:kern w:val="0"/>
                <w:lang w:eastAsia="ro-MD"/>
                <w14:ligatures w14:val="none"/>
              </w:rPr>
              <w:t>Rând</w:t>
            </w:r>
          </w:p>
        </w:tc>
        <w:tc>
          <w:tcPr>
            <w:tcW w:w="3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9395E" w14:textId="77777777" w:rsidR="00D5130B" w:rsidRPr="003F20AD" w:rsidRDefault="00D5130B" w:rsidP="003F20AD">
            <w:pPr>
              <w:spacing w:before="100" w:beforeAutospacing="1" w:after="100" w:afterAutospacing="1"/>
              <w:rPr>
                <w:rFonts w:ascii="Times New Roman" w:eastAsia="Times New Roman" w:hAnsi="Times New Roman" w:cs="Times New Roman"/>
                <w:color w:val="000000"/>
                <w:kern w:val="0"/>
                <w:lang w:eastAsia="ro-MD"/>
                <w14:ligatures w14:val="none"/>
              </w:rPr>
            </w:pPr>
            <w:r w:rsidRPr="003F20AD">
              <w:rPr>
                <w:rFonts w:ascii="Times New Roman" w:eastAsia="Times New Roman" w:hAnsi="Times New Roman" w:cs="Times New Roman"/>
                <w:color w:val="000000"/>
                <w:kern w:val="0"/>
                <w:lang w:eastAsia="ro-MD"/>
                <w14:ligatures w14:val="none"/>
              </w:rPr>
              <w:t>Referințe juridice și instrucțiuni</w:t>
            </w:r>
          </w:p>
        </w:tc>
        <w:tc>
          <w:tcPr>
            <w:tcW w:w="1061" w:type="pct"/>
            <w:gridSpan w:val="2"/>
            <w:tcBorders>
              <w:right w:val="single" w:sz="4" w:space="0" w:color="auto"/>
            </w:tcBorders>
            <w:shd w:val="clear" w:color="auto" w:fill="D9D9D9" w:themeFill="background1" w:themeFillShade="D9"/>
          </w:tcPr>
          <w:p w14:paraId="268660FD" w14:textId="5842068F" w:rsidR="00D5130B" w:rsidRPr="003F20AD" w:rsidRDefault="00D5130B" w:rsidP="00AD210B">
            <w:pPr>
              <w:spacing w:before="100" w:beforeAutospacing="1" w:after="100" w:afterAutospacing="1"/>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Valoarea</w:t>
            </w:r>
          </w:p>
        </w:tc>
      </w:tr>
      <w:tr w:rsidR="00D5130B" w:rsidRPr="002A677E" w14:paraId="3DA9C341" w14:textId="77777777" w:rsidTr="00512160">
        <w:trPr>
          <w:tblCellSpacing w:w="0" w:type="dxa"/>
        </w:trPr>
        <w:tc>
          <w:tcPr>
            <w:tcW w:w="4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82249F" w14:textId="77777777" w:rsidR="00D5130B" w:rsidRPr="003F20AD" w:rsidRDefault="00D5130B" w:rsidP="003F20AD">
            <w:pPr>
              <w:spacing w:before="100" w:beforeAutospacing="1" w:after="100" w:afterAutospacing="1"/>
              <w:rPr>
                <w:rFonts w:ascii="Times New Roman" w:eastAsia="Times New Roman" w:hAnsi="Times New Roman" w:cs="Times New Roman"/>
                <w:color w:val="000000"/>
                <w:kern w:val="0"/>
                <w:lang w:eastAsia="ro-MD"/>
                <w14:ligatures w14:val="none"/>
              </w:rPr>
            </w:pPr>
          </w:p>
        </w:tc>
        <w:tc>
          <w:tcPr>
            <w:tcW w:w="3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C3C57E" w14:textId="77777777" w:rsidR="00D5130B" w:rsidRPr="00512160" w:rsidRDefault="00D5130B" w:rsidP="003F20AD">
            <w:pPr>
              <w:spacing w:before="100" w:beforeAutospacing="1" w:after="100" w:afterAutospacing="1"/>
              <w:rPr>
                <w:rFonts w:ascii="Times New Roman" w:eastAsia="Times New Roman" w:hAnsi="Times New Roman" w:cs="Times New Roman"/>
                <w:color w:val="000000"/>
                <w:kern w:val="0"/>
                <w:highlight w:val="lightGray"/>
                <w:lang w:eastAsia="ro-MD"/>
                <w14:ligatures w14:val="none"/>
              </w:rPr>
            </w:pPr>
          </w:p>
        </w:tc>
        <w:tc>
          <w:tcPr>
            <w:tcW w:w="531" w:type="pct"/>
            <w:shd w:val="clear" w:color="auto" w:fill="D0CECE" w:themeFill="background2" w:themeFillShade="E6"/>
          </w:tcPr>
          <w:p w14:paraId="02F11352" w14:textId="692B0A0A" w:rsidR="00D5130B" w:rsidRPr="00512160" w:rsidRDefault="00D5130B" w:rsidP="00AD210B">
            <w:pPr>
              <w:spacing w:before="100" w:beforeAutospacing="1" w:after="100" w:afterAutospacing="1"/>
              <w:jc w:val="center"/>
              <w:rPr>
                <w:rFonts w:ascii="Times New Roman" w:eastAsia="Times New Roman" w:hAnsi="Times New Roman" w:cs="Times New Roman"/>
                <w:color w:val="000000"/>
                <w:kern w:val="0"/>
                <w:highlight w:val="lightGray"/>
                <w:lang w:eastAsia="ro-MD"/>
                <w14:ligatures w14:val="none"/>
              </w:rPr>
            </w:pPr>
            <w:r w:rsidRPr="00512160">
              <w:rPr>
                <w:rFonts w:ascii="Times New Roman" w:eastAsia="Times New Roman" w:hAnsi="Times New Roman" w:cs="Times New Roman"/>
                <w:color w:val="000000"/>
                <w:kern w:val="0"/>
                <w:highlight w:val="lightGray"/>
                <w:lang w:eastAsia="ro-MD"/>
                <w14:ligatures w14:val="none"/>
              </w:rPr>
              <w:t>0010</w:t>
            </w:r>
          </w:p>
        </w:tc>
        <w:tc>
          <w:tcPr>
            <w:tcW w:w="53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7C7BE5" w14:textId="6FB9C026" w:rsidR="00D5130B" w:rsidRPr="00512160" w:rsidRDefault="00D5130B" w:rsidP="00AD210B">
            <w:pPr>
              <w:spacing w:before="100" w:beforeAutospacing="1" w:after="100" w:afterAutospacing="1"/>
              <w:jc w:val="center"/>
              <w:rPr>
                <w:rFonts w:ascii="Times New Roman" w:eastAsia="Times New Roman" w:hAnsi="Times New Roman" w:cs="Times New Roman"/>
                <w:color w:val="000000"/>
                <w:kern w:val="0"/>
                <w:highlight w:val="lightGray"/>
                <w:lang w:eastAsia="ro-MD"/>
                <w14:ligatures w14:val="none"/>
              </w:rPr>
            </w:pPr>
            <w:r w:rsidRPr="00512160">
              <w:rPr>
                <w:rFonts w:ascii="Times New Roman" w:eastAsia="Times New Roman" w:hAnsi="Times New Roman" w:cs="Times New Roman"/>
                <w:color w:val="000000"/>
                <w:kern w:val="0"/>
                <w:highlight w:val="lightGray"/>
                <w:lang w:eastAsia="ro-MD"/>
                <w14:ligatures w14:val="none"/>
              </w:rPr>
              <w:t>0020</w:t>
            </w:r>
          </w:p>
        </w:tc>
      </w:tr>
      <w:tr w:rsidR="00D5130B" w:rsidRPr="002A677E" w14:paraId="2A313C96" w14:textId="0C43A2B4"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29994417" w14:textId="77777777" w:rsidR="00D5130B" w:rsidRPr="003F20AD" w:rsidRDefault="00D5130B" w:rsidP="009F37FB">
            <w:pPr>
              <w:spacing w:after="0"/>
              <w:rPr>
                <w:rFonts w:ascii="Times New Roman" w:eastAsia="Times New Roman" w:hAnsi="Times New Roman" w:cs="Times New Roman"/>
                <w:color w:val="000000"/>
                <w:kern w:val="0"/>
                <w:lang w:eastAsia="ro-MD"/>
                <w14:ligatures w14:val="none"/>
              </w:rPr>
            </w:pPr>
            <w:r w:rsidRPr="003F20AD">
              <w:rPr>
                <w:rFonts w:ascii="Times New Roman" w:eastAsia="Times New Roman" w:hAnsi="Times New Roman" w:cs="Times New Roman"/>
                <w:color w:val="000000"/>
                <w:kern w:val="0"/>
                <w:lang w:eastAsia="ro-MD"/>
                <w14:ligatures w14:val="none"/>
              </w:rPr>
              <w:t>0010</w:t>
            </w:r>
          </w:p>
        </w:tc>
        <w:tc>
          <w:tcPr>
            <w:tcW w:w="3534" w:type="pct"/>
            <w:tcBorders>
              <w:top w:val="single" w:sz="4" w:space="0" w:color="auto"/>
              <w:left w:val="single" w:sz="4" w:space="0" w:color="auto"/>
              <w:bottom w:val="single" w:sz="4" w:space="0" w:color="auto"/>
              <w:right w:val="single" w:sz="4" w:space="0" w:color="auto"/>
            </w:tcBorders>
            <w:hideMark/>
          </w:tcPr>
          <w:p w14:paraId="77D5F0E8" w14:textId="1DD12C25" w:rsidR="00D5130B" w:rsidRPr="00B603AB" w:rsidRDefault="00D5130B" w:rsidP="009F37FB">
            <w:pPr>
              <w:spacing w:after="0"/>
              <w:rPr>
                <w:rFonts w:ascii="Times New Roman" w:eastAsia="Times New Roman" w:hAnsi="Times New Roman" w:cs="Times New Roman"/>
                <w:color w:val="000000"/>
                <w:kern w:val="0"/>
                <w:lang w:eastAsia="ro-MD"/>
                <w14:ligatures w14:val="none"/>
              </w:rPr>
            </w:pPr>
            <w:r w:rsidRPr="00B603AB">
              <w:rPr>
                <w:rStyle w:val="InstructionsTabelleberschrift"/>
                <w:rFonts w:ascii="Times New Roman" w:eastAsia="Times New Roman" w:hAnsi="Times New Roman"/>
                <w:color w:val="000000"/>
                <w:kern w:val="0"/>
                <w:sz w:val="22"/>
                <w:u w:val="none"/>
                <w:lang w:eastAsia="ro-MD"/>
                <w14:ligatures w14:val="none"/>
              </w:rPr>
              <w:t>1.</w:t>
            </w:r>
            <w:r w:rsidRPr="00B603AB">
              <w:rPr>
                <w:rStyle w:val="InstructionsTabelleberschrift"/>
                <w:rFonts w:ascii="Times New Roman" w:eastAsia="Times New Roman" w:hAnsi="Times New Roman"/>
                <w:color w:val="000000"/>
                <w:kern w:val="0"/>
                <w:sz w:val="22"/>
                <w:u w:val="none"/>
                <w:lang w:eastAsia="ro-MD"/>
                <w14:ligatures w14:val="none"/>
              </w:rPr>
              <w:tab/>
              <w:t>CUANTUMUL TOTAL AL EXPUNERII LA RISC</w:t>
            </w:r>
          </w:p>
          <w:p w14:paraId="6587EA37" w14:textId="22DB5193" w:rsidR="00D5130B" w:rsidRPr="003F20AD" w:rsidRDefault="00D5130B" w:rsidP="009F37FB">
            <w:pPr>
              <w:spacing w:after="0"/>
              <w:rPr>
                <w:rFonts w:ascii="Times New Roman" w:eastAsia="Times New Roman" w:hAnsi="Times New Roman" w:cs="Times New Roman"/>
                <w:color w:val="000000"/>
                <w:kern w:val="0"/>
                <w:lang w:eastAsia="ro-MD"/>
                <w14:ligatures w14:val="none"/>
              </w:rPr>
            </w:pPr>
            <w:r w:rsidRPr="00534602">
              <w:rPr>
                <w:rFonts w:ascii="Times New Roman" w:eastAsia="Times New Roman" w:hAnsi="Times New Roman" w:cs="Times New Roman"/>
                <w:color w:val="000000"/>
                <w:kern w:val="0"/>
                <w:lang w:eastAsia="ro-MD"/>
                <w14:ligatures w14:val="none"/>
              </w:rPr>
              <w:t>Punctul 13</w:t>
            </w:r>
            <w:r>
              <w:rPr>
                <w:rFonts w:ascii="Times New Roman" w:eastAsia="Times New Roman" w:hAnsi="Times New Roman" w:cs="Times New Roman"/>
                <w:color w:val="000000"/>
                <w:kern w:val="0"/>
                <w:lang w:eastAsia="ro-MD"/>
                <w14:ligatures w14:val="none"/>
              </w:rPr>
              <w:t>1</w:t>
            </w:r>
            <w:r w:rsidRPr="006F6C14">
              <w:rPr>
                <w:rFonts w:ascii="Times New Roman" w:eastAsia="Times New Roman" w:hAnsi="Times New Roman" w:cs="Times New Roman"/>
                <w:color w:val="000000"/>
                <w:kern w:val="0"/>
                <w:vertAlign w:val="superscript"/>
                <w:lang w:eastAsia="ro-MD"/>
                <w14:ligatures w14:val="none"/>
              </w:rPr>
              <w:t>1</w:t>
            </w:r>
            <w:r w:rsidRPr="00534602">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sidRPr="003F20AD">
              <w:rPr>
                <w:rFonts w:ascii="Times New Roman" w:eastAsia="Times New Roman" w:hAnsi="Times New Roman" w:cs="Times New Roman"/>
                <w:color w:val="000000"/>
                <w:kern w:val="0"/>
                <w:lang w:eastAsia="ro-MD"/>
                <w14:ligatures w14:val="none"/>
              </w:rPr>
              <w:t>.</w:t>
            </w:r>
          </w:p>
        </w:tc>
        <w:tc>
          <w:tcPr>
            <w:tcW w:w="531" w:type="pct"/>
          </w:tcPr>
          <w:p w14:paraId="227D5A0F" w14:textId="77777777"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19C5903C" w14:textId="757EF4AC"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2A943C5C" w14:textId="4B3B1427"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3DEE22F4" w14:textId="77777777" w:rsidR="00D5130B" w:rsidRPr="003F20AD" w:rsidRDefault="00D5130B" w:rsidP="009F37FB">
            <w:pPr>
              <w:spacing w:after="0"/>
              <w:rPr>
                <w:rFonts w:ascii="Times New Roman" w:eastAsia="Times New Roman" w:hAnsi="Times New Roman" w:cs="Times New Roman"/>
                <w:color w:val="000000"/>
                <w:kern w:val="0"/>
                <w:lang w:eastAsia="ro-MD"/>
                <w14:ligatures w14:val="none"/>
              </w:rPr>
            </w:pPr>
            <w:r w:rsidRPr="003F20AD">
              <w:rPr>
                <w:rFonts w:ascii="Times New Roman" w:eastAsia="Times New Roman" w:hAnsi="Times New Roman" w:cs="Times New Roman"/>
                <w:color w:val="000000"/>
                <w:kern w:val="0"/>
                <w:lang w:eastAsia="ro-MD"/>
                <w14:ligatures w14:val="none"/>
              </w:rPr>
              <w:t>0020</w:t>
            </w:r>
          </w:p>
        </w:tc>
        <w:tc>
          <w:tcPr>
            <w:tcW w:w="3534" w:type="pct"/>
            <w:tcBorders>
              <w:top w:val="single" w:sz="4" w:space="0" w:color="auto"/>
              <w:left w:val="single" w:sz="4" w:space="0" w:color="auto"/>
              <w:bottom w:val="single" w:sz="4" w:space="0" w:color="auto"/>
              <w:right w:val="single" w:sz="4" w:space="0" w:color="auto"/>
            </w:tcBorders>
            <w:hideMark/>
          </w:tcPr>
          <w:p w14:paraId="73BFCA06" w14:textId="7A1D5AF9" w:rsidR="00D5130B" w:rsidRPr="009F37FB" w:rsidRDefault="00D5130B" w:rsidP="009F37FB">
            <w:pPr>
              <w:spacing w:after="0"/>
              <w:rPr>
                <w:rFonts w:ascii="Times New Roman" w:eastAsia="Times New Roman" w:hAnsi="Times New Roman" w:cs="Times New Roman"/>
                <w:color w:val="000000"/>
                <w:kern w:val="0"/>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w:t>
            </w:r>
            <w:r w:rsidRPr="009F37FB">
              <w:rPr>
                <w:rStyle w:val="InstructionsTabelleberschrift"/>
                <w:rFonts w:ascii="Times New Roman" w:eastAsia="Times New Roman" w:hAnsi="Times New Roman"/>
                <w:color w:val="000000"/>
                <w:kern w:val="0"/>
                <w:sz w:val="22"/>
                <w:u w:val="none"/>
                <w:lang w:eastAsia="ro-MD"/>
                <w14:ligatures w14:val="none"/>
              </w:rPr>
              <w:tab/>
              <w:t xml:space="preserve">Din care: firme de investiții </w:t>
            </w:r>
          </w:p>
          <w:p w14:paraId="1FB62ACA" w14:textId="50402B7E" w:rsidR="00D5130B" w:rsidRPr="00A1036F" w:rsidRDefault="00D5130B" w:rsidP="009F37FB">
            <w:pPr>
              <w:spacing w:after="0"/>
              <w:rPr>
                <w:rFonts w:ascii="Times New Roman" w:eastAsia="Times New Roman" w:hAnsi="Times New Roman" w:cs="Times New Roman"/>
                <w:color w:val="000000"/>
                <w:kern w:val="0"/>
                <w:lang w:eastAsia="ro-MD"/>
                <w14:ligatures w14:val="none"/>
              </w:rPr>
            </w:pPr>
          </w:p>
        </w:tc>
        <w:tc>
          <w:tcPr>
            <w:tcW w:w="531" w:type="pct"/>
          </w:tcPr>
          <w:p w14:paraId="6DC3E5A1" w14:textId="3483F798"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c>
          <w:tcPr>
            <w:tcW w:w="530" w:type="pct"/>
            <w:tcBorders>
              <w:top w:val="single" w:sz="4" w:space="0" w:color="auto"/>
              <w:left w:val="single" w:sz="4" w:space="0" w:color="auto"/>
              <w:bottom w:val="single" w:sz="4" w:space="0" w:color="auto"/>
              <w:right w:val="single" w:sz="4" w:space="0" w:color="auto"/>
            </w:tcBorders>
          </w:tcPr>
          <w:p w14:paraId="34810B83" w14:textId="4E63C39E"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highlight w:val="yellow"/>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D5130B" w:rsidRPr="002A677E" w14:paraId="7517B3AF" w14:textId="55A37748"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13DC5903" w14:textId="77777777" w:rsidR="00D5130B" w:rsidRPr="003F20AD" w:rsidRDefault="00D5130B" w:rsidP="009F37FB">
            <w:pPr>
              <w:spacing w:after="0"/>
              <w:rPr>
                <w:rFonts w:ascii="Times New Roman" w:eastAsia="Times New Roman" w:hAnsi="Times New Roman" w:cs="Times New Roman"/>
                <w:color w:val="000000"/>
                <w:kern w:val="0"/>
                <w:lang w:eastAsia="ro-MD"/>
                <w14:ligatures w14:val="none"/>
              </w:rPr>
            </w:pPr>
            <w:r w:rsidRPr="003F20AD">
              <w:rPr>
                <w:rFonts w:ascii="Times New Roman" w:eastAsia="Times New Roman" w:hAnsi="Times New Roman" w:cs="Times New Roman"/>
                <w:color w:val="000000"/>
                <w:kern w:val="0"/>
                <w:lang w:eastAsia="ro-MD"/>
                <w14:ligatures w14:val="none"/>
              </w:rPr>
              <w:t>0030</w:t>
            </w:r>
          </w:p>
        </w:tc>
        <w:tc>
          <w:tcPr>
            <w:tcW w:w="3534" w:type="pct"/>
            <w:tcBorders>
              <w:top w:val="single" w:sz="4" w:space="0" w:color="auto"/>
              <w:left w:val="single" w:sz="4" w:space="0" w:color="auto"/>
              <w:bottom w:val="single" w:sz="4" w:space="0" w:color="auto"/>
              <w:right w:val="single" w:sz="4" w:space="0" w:color="auto"/>
            </w:tcBorders>
            <w:hideMark/>
          </w:tcPr>
          <w:p w14:paraId="0E5885F5" w14:textId="5337EEE1" w:rsidR="00D5130B" w:rsidRPr="00A1036F" w:rsidRDefault="00D5130B" w:rsidP="00AA48A4">
            <w:pPr>
              <w:spacing w:after="0"/>
              <w:rPr>
                <w:rFonts w:ascii="Times New Roman" w:eastAsia="Times New Roman" w:hAnsi="Times New Roman" w:cs="Times New Roman"/>
                <w:color w:val="000000"/>
                <w:kern w:val="0"/>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w:t>
            </w:r>
            <w:r w:rsidRPr="009F37FB">
              <w:rPr>
                <w:rStyle w:val="InstructionsTabelleberschrift"/>
                <w:rFonts w:ascii="Times New Roman" w:eastAsia="Times New Roman" w:hAnsi="Times New Roman"/>
                <w:color w:val="000000"/>
                <w:kern w:val="0"/>
                <w:sz w:val="22"/>
                <w:u w:val="none"/>
                <w:lang w:eastAsia="ro-MD"/>
                <w14:ligatures w14:val="none"/>
              </w:rPr>
              <w:tab/>
              <w:t xml:space="preserve">Din care: firme de investiții </w:t>
            </w:r>
          </w:p>
        </w:tc>
        <w:tc>
          <w:tcPr>
            <w:tcW w:w="531" w:type="pct"/>
          </w:tcPr>
          <w:p w14:paraId="21AEA2CB" w14:textId="2D038DCD"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c>
          <w:tcPr>
            <w:tcW w:w="530" w:type="pct"/>
            <w:tcBorders>
              <w:top w:val="single" w:sz="4" w:space="0" w:color="auto"/>
              <w:left w:val="single" w:sz="4" w:space="0" w:color="auto"/>
              <w:bottom w:val="single" w:sz="4" w:space="0" w:color="auto"/>
              <w:right w:val="single" w:sz="4" w:space="0" w:color="auto"/>
            </w:tcBorders>
          </w:tcPr>
          <w:p w14:paraId="7B23E510" w14:textId="2F2CB2AB"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highlight w:val="yellow"/>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D5130B" w:rsidRPr="002A677E" w14:paraId="25383086" w14:textId="2B1783D6"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29553CCF" w14:textId="77777777" w:rsidR="00D5130B" w:rsidRPr="003F20AD" w:rsidRDefault="00D5130B" w:rsidP="009F37FB">
            <w:pPr>
              <w:spacing w:after="0"/>
              <w:rPr>
                <w:rFonts w:ascii="Times New Roman" w:eastAsia="Times New Roman" w:hAnsi="Times New Roman" w:cs="Times New Roman"/>
                <w:color w:val="000000"/>
                <w:kern w:val="0"/>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0035</w:t>
            </w:r>
          </w:p>
        </w:tc>
        <w:tc>
          <w:tcPr>
            <w:tcW w:w="3534" w:type="pct"/>
            <w:tcBorders>
              <w:top w:val="single" w:sz="4" w:space="0" w:color="auto"/>
              <w:left w:val="single" w:sz="4" w:space="0" w:color="auto"/>
              <w:bottom w:val="single" w:sz="4" w:space="0" w:color="auto"/>
              <w:right w:val="single" w:sz="4" w:space="0" w:color="auto"/>
            </w:tcBorders>
            <w:hideMark/>
          </w:tcPr>
          <w:p w14:paraId="460A8AF8" w14:textId="77777777" w:rsidR="00D5130B" w:rsidRPr="009F37FB" w:rsidRDefault="00D5130B" w:rsidP="009F37FB">
            <w:pPr>
              <w:spacing w:after="0"/>
              <w:rPr>
                <w:rFonts w:ascii="Times New Roman" w:eastAsia="Times New Roman" w:hAnsi="Times New Roman" w:cs="Times New Roman"/>
                <w:color w:val="000000"/>
                <w:kern w:val="0"/>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w:t>
            </w:r>
            <w:r w:rsidRPr="009F37FB">
              <w:rPr>
                <w:rStyle w:val="InstructionsTabelleberschrift"/>
                <w:rFonts w:ascii="Times New Roman" w:eastAsia="Times New Roman" w:hAnsi="Times New Roman"/>
                <w:color w:val="000000"/>
                <w:kern w:val="0"/>
                <w:sz w:val="22"/>
                <w:u w:val="none"/>
                <w:lang w:eastAsia="ro-MD"/>
                <w14:ligatures w14:val="none"/>
              </w:rPr>
              <w:tab/>
              <w:t>Din care: ajustarea la pragul minim</w:t>
            </w:r>
          </w:p>
          <w:p w14:paraId="1D8227A9" w14:textId="5EE482A9" w:rsidR="00D5130B" w:rsidRPr="00886AF4"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886AF4">
              <w:rPr>
                <w:rFonts w:ascii="Times New Roman" w:eastAsia="Times New Roman" w:hAnsi="Times New Roman" w:cs="Times New Roman"/>
                <w:color w:val="000000"/>
                <w:kern w:val="0"/>
                <w:lang w:eastAsia="ro-MD"/>
                <w14:ligatures w14:val="none"/>
              </w:rPr>
              <w:t xml:space="preserve">Băncile care fac obiectul pragului minim privind cerințele de capital în conformitate cu </w:t>
            </w:r>
            <w:r w:rsidRPr="006F6C14">
              <w:rPr>
                <w:rFonts w:ascii="Times New Roman" w:eastAsia="Times New Roman" w:hAnsi="Times New Roman" w:cs="Times New Roman"/>
                <w:color w:val="000000"/>
                <w:kern w:val="0"/>
                <w:lang w:eastAsia="ro-MD"/>
                <w14:ligatures w14:val="none"/>
              </w:rPr>
              <w:t xml:space="preserve">punctul </w:t>
            </w:r>
            <w:r w:rsidRPr="00534602">
              <w:rPr>
                <w:rFonts w:ascii="Times New Roman" w:eastAsia="Times New Roman" w:hAnsi="Times New Roman" w:cs="Times New Roman"/>
                <w:color w:val="000000"/>
                <w:kern w:val="0"/>
                <w:lang w:eastAsia="ro-MD"/>
                <w14:ligatures w14:val="none"/>
              </w:rPr>
              <w:t>13</w:t>
            </w:r>
            <w:r>
              <w:rPr>
                <w:rFonts w:ascii="Times New Roman" w:eastAsia="Times New Roman" w:hAnsi="Times New Roman" w:cs="Times New Roman"/>
                <w:color w:val="000000"/>
                <w:kern w:val="0"/>
                <w:lang w:eastAsia="ro-MD"/>
                <w14:ligatures w14:val="none"/>
              </w:rPr>
              <w:t>1</w:t>
            </w:r>
            <w:r w:rsidRPr="00680511">
              <w:rPr>
                <w:rFonts w:ascii="Times New Roman" w:eastAsia="Times New Roman" w:hAnsi="Times New Roman" w:cs="Times New Roman"/>
                <w:color w:val="000000"/>
                <w:kern w:val="0"/>
                <w:vertAlign w:val="superscript"/>
                <w:lang w:eastAsia="ro-MD"/>
                <w14:ligatures w14:val="none"/>
              </w:rPr>
              <w:t>1</w:t>
            </w:r>
            <w:r w:rsidRPr="006F6C14">
              <w:rPr>
                <w:rFonts w:ascii="Times New Roman" w:eastAsia="Times New Roman" w:hAnsi="Times New Roman" w:cs="Times New Roman"/>
                <w:color w:val="000000"/>
                <w:kern w:val="0"/>
                <w:lang w:eastAsia="ro-MD"/>
                <w14:ligatures w14:val="none"/>
              </w:rPr>
              <w:t xml:space="preserve"> din Regulamentul nr.109/2018</w:t>
            </w:r>
            <w:r w:rsidR="00AA48A4">
              <w:rPr>
                <w:rFonts w:ascii="Times New Roman" w:eastAsia="Times New Roman" w:hAnsi="Times New Roman" w:cs="Times New Roman"/>
                <w:color w:val="000000"/>
                <w:kern w:val="0"/>
                <w:lang w:eastAsia="ro-MD"/>
                <w14:ligatures w14:val="none"/>
              </w:rPr>
              <w:t xml:space="preserve"> </w:t>
            </w:r>
            <w:r w:rsidRPr="00886AF4">
              <w:rPr>
                <w:rFonts w:ascii="Times New Roman" w:eastAsia="Times New Roman" w:hAnsi="Times New Roman" w:cs="Times New Roman"/>
                <w:color w:val="000000"/>
                <w:kern w:val="0"/>
                <w:lang w:eastAsia="ro-MD"/>
                <w14:ligatures w14:val="none"/>
              </w:rPr>
              <w:t>raportează diferența dintre cuantumul raportat la coloana 0010 și cuantumul raportat pe rândul 0036. Valoarea este fie pozitivă, fie egală cu zero.</w:t>
            </w:r>
          </w:p>
        </w:tc>
        <w:tc>
          <w:tcPr>
            <w:tcW w:w="531" w:type="pct"/>
          </w:tcPr>
          <w:p w14:paraId="231B7750" w14:textId="7F75892C"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4029674F" w14:textId="2C947E59"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D5130B" w:rsidRPr="002A677E" w14:paraId="3B5979FC" w14:textId="0F6D0EE1"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7AA4C02" w14:textId="77777777" w:rsidR="00D5130B" w:rsidRPr="003F20AD" w:rsidRDefault="00D5130B" w:rsidP="009F37FB">
            <w:pPr>
              <w:spacing w:after="0"/>
              <w:rPr>
                <w:rFonts w:ascii="Times New Roman" w:eastAsia="Times New Roman" w:hAnsi="Times New Roman" w:cs="Times New Roman"/>
                <w:color w:val="000000"/>
                <w:kern w:val="0"/>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0036</w:t>
            </w:r>
          </w:p>
        </w:tc>
        <w:tc>
          <w:tcPr>
            <w:tcW w:w="3534" w:type="pct"/>
            <w:tcBorders>
              <w:top w:val="single" w:sz="4" w:space="0" w:color="auto"/>
              <w:left w:val="single" w:sz="4" w:space="0" w:color="auto"/>
              <w:bottom w:val="single" w:sz="4" w:space="0" w:color="auto"/>
              <w:right w:val="single" w:sz="4" w:space="0" w:color="auto"/>
            </w:tcBorders>
            <w:hideMark/>
          </w:tcPr>
          <w:p w14:paraId="5B32E5EE" w14:textId="77777777"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1a CUANTUMUL TOTAL AL EXPUNERII LA RISC ÎNAINTE DE APLICAREA PRAGULUI MINIM</w:t>
            </w:r>
          </w:p>
          <w:p w14:paraId="4AABC961" w14:textId="47428204" w:rsidR="00D5130B" w:rsidRPr="00886AF4"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886AF4">
              <w:rPr>
                <w:rFonts w:ascii="Times New Roman" w:eastAsia="Times New Roman" w:hAnsi="Times New Roman" w:cs="Times New Roman"/>
                <w:color w:val="000000"/>
                <w:kern w:val="0"/>
                <w:lang w:eastAsia="ro-MD"/>
                <w14:ligatures w14:val="none"/>
              </w:rPr>
              <w:t xml:space="preserve">Băncile care fac obiectul pragului minim privind cerințele de capital în conformitate cu </w:t>
            </w:r>
            <w:r w:rsidRPr="006F6C14">
              <w:rPr>
                <w:rFonts w:ascii="Times New Roman" w:hAnsi="Times New Roman" w:cs="Times New Roman"/>
              </w:rPr>
              <w:t xml:space="preserve">punctul </w:t>
            </w:r>
            <w:r w:rsidRPr="00534602">
              <w:rPr>
                <w:rFonts w:ascii="Times New Roman" w:eastAsia="Times New Roman" w:hAnsi="Times New Roman" w:cs="Times New Roman"/>
                <w:color w:val="000000"/>
                <w:kern w:val="0"/>
                <w:lang w:eastAsia="ro-MD"/>
                <w14:ligatures w14:val="none"/>
              </w:rPr>
              <w:t>13</w:t>
            </w:r>
            <w:r>
              <w:rPr>
                <w:rFonts w:ascii="Times New Roman" w:eastAsia="Times New Roman" w:hAnsi="Times New Roman" w:cs="Times New Roman"/>
                <w:color w:val="000000"/>
                <w:kern w:val="0"/>
                <w:lang w:eastAsia="ro-MD"/>
                <w14:ligatures w14:val="none"/>
              </w:rPr>
              <w:t>1</w:t>
            </w:r>
            <w:r w:rsidRPr="00680511">
              <w:rPr>
                <w:rFonts w:ascii="Times New Roman" w:eastAsia="Times New Roman" w:hAnsi="Times New Roman" w:cs="Times New Roman"/>
                <w:color w:val="000000"/>
                <w:kern w:val="0"/>
                <w:vertAlign w:val="superscript"/>
                <w:lang w:eastAsia="ro-MD"/>
                <w14:ligatures w14:val="none"/>
              </w:rPr>
              <w:t>1</w:t>
            </w:r>
            <w:r w:rsidRPr="006F6C14">
              <w:rPr>
                <w:rFonts w:ascii="Times New Roman" w:hAnsi="Times New Roman" w:cs="Times New Roman"/>
              </w:rPr>
              <w:t xml:space="preserve"> din Regulamentul nr.109/2018</w:t>
            </w:r>
            <w:r w:rsidR="00983728">
              <w:rPr>
                <w:rFonts w:ascii="Times New Roman" w:hAnsi="Times New Roman" w:cs="Times New Roman"/>
              </w:rPr>
              <w:t xml:space="preserve"> </w:t>
            </w:r>
            <w:r w:rsidRPr="00886AF4">
              <w:rPr>
                <w:rFonts w:ascii="Times New Roman" w:eastAsia="Times New Roman" w:hAnsi="Times New Roman" w:cs="Times New Roman"/>
                <w:color w:val="000000"/>
                <w:kern w:val="0"/>
                <w:lang w:eastAsia="ro-MD"/>
                <w14:ligatures w14:val="none"/>
              </w:rPr>
              <w:t xml:space="preserve">raportează TREA fără aplicarea pragului minim, astfel cum este definit la </w:t>
            </w:r>
            <w:r w:rsidRPr="006F6C14">
              <w:rPr>
                <w:rFonts w:ascii="Times New Roman" w:hAnsi="Times New Roman" w:cs="Times New Roman"/>
              </w:rPr>
              <w:t>punctul 132 din Regulamentul nr.109/2018</w:t>
            </w:r>
            <w:r w:rsidRPr="00886AF4">
              <w:rPr>
                <w:rFonts w:ascii="Times New Roman" w:eastAsia="Times New Roman" w:hAnsi="Times New Roman" w:cs="Times New Roman"/>
                <w:color w:val="000000"/>
                <w:kern w:val="0"/>
                <w:lang w:eastAsia="ro-MD"/>
                <w14:ligatures w14:val="none"/>
              </w:rPr>
              <w:t>.</w:t>
            </w:r>
          </w:p>
        </w:tc>
        <w:tc>
          <w:tcPr>
            <w:tcW w:w="531" w:type="pct"/>
          </w:tcPr>
          <w:p w14:paraId="41FD4CC1" w14:textId="77777777"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65E084A9" w14:textId="42153A70" w:rsidR="00D5130B" w:rsidRPr="00AA48A4" w:rsidRDefault="00BA1259"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D5130B" w:rsidRPr="002A677E" w14:paraId="29DB644B" w14:textId="714E26B3"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2A99A07"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0040</w:t>
            </w:r>
          </w:p>
        </w:tc>
        <w:tc>
          <w:tcPr>
            <w:tcW w:w="3534" w:type="pct"/>
            <w:tcBorders>
              <w:top w:val="single" w:sz="4" w:space="0" w:color="auto"/>
              <w:left w:val="single" w:sz="4" w:space="0" w:color="auto"/>
              <w:bottom w:val="single" w:sz="4" w:space="0" w:color="auto"/>
              <w:right w:val="single" w:sz="4" w:space="0" w:color="auto"/>
            </w:tcBorders>
            <w:hideMark/>
          </w:tcPr>
          <w:p w14:paraId="6F86E471" w14:textId="0E25D109" w:rsidR="00D5130B" w:rsidRPr="00B603AB" w:rsidRDefault="00D5130B" w:rsidP="009F37FB">
            <w:pPr>
              <w:spacing w:after="0"/>
              <w:rPr>
                <w:rStyle w:val="FormatvorlageInstructionsTabelleText"/>
                <w:rFonts w:ascii="Times New Roman" w:eastAsia="Times New Roman" w:hAnsi="Times New Roman"/>
                <w:color w:val="000000"/>
                <w:kern w:val="0"/>
                <w:sz w:val="22"/>
                <w:lang w:eastAsia="ro-MD"/>
                <w14:ligatures w14:val="none"/>
              </w:rPr>
            </w:pPr>
            <w:r w:rsidRPr="00B603AB">
              <w:rPr>
                <w:rStyle w:val="InstructionsTabelleberschrift"/>
                <w:rFonts w:ascii="Times New Roman" w:eastAsia="Times New Roman" w:hAnsi="Times New Roman"/>
                <w:color w:val="000000"/>
                <w:kern w:val="0"/>
                <w:sz w:val="22"/>
                <w:u w:val="none"/>
                <w:lang w:eastAsia="ro-MD"/>
                <w14:ligatures w14:val="none"/>
              </w:rPr>
              <w:t>1.1.</w:t>
            </w:r>
            <w:r w:rsidRPr="00B603AB">
              <w:rPr>
                <w:rStyle w:val="InstructionsTabelleberschrift"/>
                <w:rFonts w:ascii="Times New Roman" w:eastAsia="Times New Roman" w:hAnsi="Times New Roman"/>
                <w:color w:val="000000"/>
                <w:kern w:val="0"/>
                <w:sz w:val="22"/>
                <w:u w:val="none"/>
                <w:lang w:eastAsia="ro-MD"/>
                <w14:ligatures w14:val="none"/>
              </w:rPr>
              <w:tab/>
              <w:t>CUANTUMURILE PONDERATE LA RISC ALE EXPUNERILOR PENTRU RISCUL DE CREDIT, RISCUL DE CREDIT AL CONTRAPĂRȚII, RISCUL DE DIMINUARE A VALORII CREANȚEI ȘI TRANZACȚIILE INCOMPLETE</w:t>
            </w:r>
          </w:p>
          <w:p w14:paraId="24F6C474" w14:textId="5EB6D3E4" w:rsidR="00D5130B" w:rsidRPr="00886AF4"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886AF4">
              <w:rPr>
                <w:rFonts w:ascii="Times New Roman" w:eastAsia="Times New Roman" w:hAnsi="Times New Roman" w:cs="Times New Roman"/>
                <w:color w:val="000000"/>
                <w:kern w:val="0"/>
                <w:lang w:eastAsia="ro-MD"/>
                <w14:ligatures w14:val="none"/>
              </w:rPr>
              <w:t xml:space="preserve">Punctul </w:t>
            </w:r>
            <w:r w:rsidRPr="00534602">
              <w:rPr>
                <w:rFonts w:ascii="Times New Roman" w:eastAsia="Times New Roman" w:hAnsi="Times New Roman" w:cs="Times New Roman"/>
                <w:color w:val="000000"/>
                <w:kern w:val="0"/>
                <w:lang w:eastAsia="ro-MD"/>
                <w14:ligatures w14:val="none"/>
              </w:rPr>
              <w:t>13</w:t>
            </w:r>
            <w:r>
              <w:rPr>
                <w:rFonts w:ascii="Times New Roman" w:eastAsia="Times New Roman" w:hAnsi="Times New Roman" w:cs="Times New Roman"/>
                <w:color w:val="000000"/>
                <w:kern w:val="0"/>
                <w:lang w:eastAsia="ro-MD"/>
                <w14:ligatures w14:val="none"/>
              </w:rPr>
              <w:t>1</w:t>
            </w:r>
            <w:r w:rsidRPr="00680511">
              <w:rPr>
                <w:rFonts w:ascii="Times New Roman" w:eastAsia="Times New Roman" w:hAnsi="Times New Roman" w:cs="Times New Roman"/>
                <w:color w:val="000000"/>
                <w:kern w:val="0"/>
                <w:vertAlign w:val="superscript"/>
                <w:lang w:eastAsia="ro-MD"/>
                <w14:ligatures w14:val="none"/>
              </w:rPr>
              <w:t>1</w:t>
            </w:r>
            <w:r w:rsidRPr="00886AF4">
              <w:rPr>
                <w:rFonts w:ascii="Times New Roman" w:eastAsia="Times New Roman" w:hAnsi="Times New Roman" w:cs="Times New Roman"/>
                <w:color w:val="000000"/>
                <w:kern w:val="0"/>
                <w:lang w:eastAsia="ro-MD"/>
                <w14:ligatures w14:val="none"/>
              </w:rPr>
              <w:t xml:space="preserve"> și 132</w:t>
            </w:r>
            <w:r>
              <w:rPr>
                <w:rFonts w:ascii="Times New Roman" w:eastAsia="Times New Roman" w:hAnsi="Times New Roman" w:cs="Times New Roman"/>
                <w:color w:val="000000"/>
                <w:kern w:val="0"/>
                <w:lang w:eastAsia="ro-MD"/>
                <w14:ligatures w14:val="none"/>
              </w:rPr>
              <w:t xml:space="preserve"> subpct.1)</w:t>
            </w:r>
            <w:r w:rsidRPr="00886AF4">
              <w:rPr>
                <w:rFonts w:ascii="Times New Roman" w:eastAsia="Times New Roman" w:hAnsi="Times New Roman" w:cs="Times New Roman"/>
                <w:color w:val="000000"/>
                <w:kern w:val="0"/>
                <w:lang w:eastAsia="ro-MD"/>
                <w14:ligatures w14:val="none"/>
              </w:rPr>
              <w:t xml:space="preserve"> din Regulamentul nr.109/2018</w:t>
            </w:r>
          </w:p>
        </w:tc>
        <w:tc>
          <w:tcPr>
            <w:tcW w:w="531" w:type="pct"/>
          </w:tcPr>
          <w:p w14:paraId="33FFC3A3" w14:textId="77777777"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5E2FA307" w14:textId="2D7671FD"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11657A0E" w14:textId="648E2313"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60A35607"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0050</w:t>
            </w:r>
          </w:p>
        </w:tc>
        <w:tc>
          <w:tcPr>
            <w:tcW w:w="3534" w:type="pct"/>
            <w:tcBorders>
              <w:top w:val="single" w:sz="4" w:space="0" w:color="auto"/>
              <w:left w:val="single" w:sz="4" w:space="0" w:color="auto"/>
              <w:bottom w:val="single" w:sz="4" w:space="0" w:color="auto"/>
              <w:right w:val="single" w:sz="4" w:space="0" w:color="auto"/>
            </w:tcBorders>
            <w:hideMark/>
          </w:tcPr>
          <w:p w14:paraId="75284100" w14:textId="5BD11013" w:rsidR="00D5130B" w:rsidRPr="00B603A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B603AB">
              <w:rPr>
                <w:rStyle w:val="InstructionsTabelleberschrift"/>
                <w:rFonts w:ascii="Times New Roman" w:eastAsia="Times New Roman" w:hAnsi="Times New Roman"/>
                <w:color w:val="000000"/>
                <w:kern w:val="0"/>
                <w:sz w:val="22"/>
                <w:u w:val="none"/>
                <w:lang w:eastAsia="ro-MD"/>
                <w14:ligatures w14:val="none"/>
              </w:rPr>
              <w:t>1.1.1.</w:t>
            </w:r>
            <w:r w:rsidRPr="00B603AB">
              <w:rPr>
                <w:rStyle w:val="InstructionsTabelleberschrift"/>
                <w:rFonts w:ascii="Times New Roman" w:eastAsia="Times New Roman" w:hAnsi="Times New Roman"/>
                <w:color w:val="000000"/>
                <w:kern w:val="0"/>
                <w:sz w:val="22"/>
                <w:u w:val="none"/>
                <w:lang w:eastAsia="ro-MD"/>
                <w14:ligatures w14:val="none"/>
              </w:rPr>
              <w:tab/>
              <w:t>Abordarea standardizată (SA)</w:t>
            </w:r>
          </w:p>
          <w:p w14:paraId="2452A3DF" w14:textId="4E2155F3"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InstructionsTabelleberschrift"/>
                <w:rFonts w:ascii="Times New Roman" w:eastAsia="Times New Roman" w:hAnsi="Times New Roman"/>
                <w:b w:val="0"/>
                <w:bCs w:val="0"/>
                <w:color w:val="000000"/>
                <w:kern w:val="0"/>
                <w:sz w:val="22"/>
                <w:u w:val="none"/>
                <w:lang w:eastAsia="ro-MD"/>
                <w14:ligatures w14:val="none"/>
              </w:rPr>
              <w:t>Formular</w:t>
            </w:r>
            <w:r>
              <w:rPr>
                <w:rStyle w:val="InstructionsTabelleberschrift"/>
                <w:rFonts w:ascii="Times New Roman" w:eastAsia="Times New Roman" w:hAnsi="Times New Roman"/>
                <w:b w:val="0"/>
                <w:bCs w:val="0"/>
                <w:color w:val="000000"/>
                <w:kern w:val="0"/>
                <w:sz w:val="22"/>
                <w:u w:val="none"/>
                <w:lang w:eastAsia="ro-MD"/>
                <w14:ligatures w14:val="none"/>
              </w:rPr>
              <w:t>u</w:t>
            </w:r>
            <w:r w:rsidRPr="003F20AD">
              <w:rPr>
                <w:rStyle w:val="InstructionsTabelleberschrift"/>
                <w:rFonts w:ascii="Times New Roman" w:eastAsia="Times New Roman" w:hAnsi="Times New Roman"/>
                <w:b w:val="0"/>
                <w:bCs w:val="0"/>
                <w:color w:val="000000"/>
                <w:kern w:val="0"/>
                <w:sz w:val="22"/>
                <w:u w:val="none"/>
                <w:lang w:eastAsia="ro-MD"/>
                <w14:ligatures w14:val="none"/>
              </w:rPr>
              <w:t>l CR SA (CR – riscul de credit) la nivelul expunerilor totale</w:t>
            </w:r>
          </w:p>
        </w:tc>
        <w:tc>
          <w:tcPr>
            <w:tcW w:w="531" w:type="pct"/>
          </w:tcPr>
          <w:p w14:paraId="23EAD0C3" w14:textId="77777777"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3BE48072" w14:textId="76011E0D"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6231D0B0" w14:textId="48206882"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D082EF8"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0051</w:t>
            </w:r>
          </w:p>
        </w:tc>
        <w:tc>
          <w:tcPr>
            <w:tcW w:w="3534" w:type="pct"/>
            <w:tcBorders>
              <w:top w:val="single" w:sz="4" w:space="0" w:color="auto"/>
              <w:left w:val="single" w:sz="4" w:space="0" w:color="auto"/>
              <w:bottom w:val="single" w:sz="4" w:space="0" w:color="auto"/>
              <w:right w:val="single" w:sz="4" w:space="0" w:color="auto"/>
            </w:tcBorders>
            <w:hideMark/>
          </w:tcPr>
          <w:p w14:paraId="73717210" w14:textId="766A79D3" w:rsidR="00D5130B" w:rsidRPr="003F20AD" w:rsidRDefault="00D5130B" w:rsidP="0014142A">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w:t>
            </w:r>
            <w:r w:rsidRPr="009F37FB">
              <w:rPr>
                <w:rStyle w:val="InstructionsTabelleberschrift"/>
                <w:rFonts w:ascii="Times New Roman" w:eastAsia="Times New Roman" w:hAnsi="Times New Roman"/>
                <w:color w:val="000000"/>
                <w:kern w:val="0"/>
                <w:sz w:val="22"/>
                <w:u w:val="none"/>
                <w:lang w:eastAsia="ro-MD"/>
                <w14:ligatures w14:val="none"/>
              </w:rPr>
              <w:tab/>
              <w:t xml:space="preserve">Din care: cerințe prudențiale suplimentare mai </w:t>
            </w:r>
            <w:r w:rsidRPr="00586EB4">
              <w:rPr>
                <w:rStyle w:val="InstructionsTabelleberschrift"/>
                <w:rFonts w:ascii="Times New Roman" w:eastAsia="Times New Roman" w:hAnsi="Times New Roman"/>
                <w:color w:val="000000"/>
                <w:kern w:val="0"/>
                <w:sz w:val="22"/>
                <w:u w:val="none"/>
                <w:lang w:eastAsia="ro-MD"/>
                <w14:ligatures w14:val="none"/>
              </w:rPr>
              <w:t xml:space="preserve">stricte </w:t>
            </w:r>
            <w:r w:rsidR="00586EB4" w:rsidRPr="00EA59DC">
              <w:rPr>
                <w:rStyle w:val="InstructionsTabelleberschrift"/>
                <w:rFonts w:ascii="Times New Roman" w:hAnsi="Times New Roman"/>
                <w:sz w:val="22"/>
                <w:u w:val="none"/>
              </w:rPr>
              <w:t>în baza punctelor 68</w:t>
            </w:r>
            <w:r w:rsidR="00586EB4" w:rsidRPr="00EA59DC">
              <w:rPr>
                <w:rStyle w:val="InstructionsTabelleberschrift"/>
                <w:rFonts w:ascii="Times New Roman" w:hAnsi="Times New Roman"/>
                <w:sz w:val="22"/>
                <w:u w:val="none"/>
                <w:vertAlign w:val="superscript"/>
              </w:rPr>
              <w:t>4</w:t>
            </w:r>
            <w:r w:rsidR="00586EB4" w:rsidRPr="00EA59DC">
              <w:rPr>
                <w:rStyle w:val="InstructionsTabelleberschrift"/>
                <w:rFonts w:ascii="Times New Roman" w:hAnsi="Times New Roman"/>
                <w:sz w:val="22"/>
                <w:u w:val="none"/>
              </w:rPr>
              <w:t xml:space="preserve"> – 68</w:t>
            </w:r>
            <w:r w:rsidR="00586EB4" w:rsidRPr="00EA59DC">
              <w:rPr>
                <w:rStyle w:val="InstructionsTabelleberschrift"/>
                <w:rFonts w:ascii="Times New Roman" w:hAnsi="Times New Roman"/>
                <w:sz w:val="22"/>
                <w:u w:val="none"/>
                <w:vertAlign w:val="superscript"/>
              </w:rPr>
              <w:t>9</w:t>
            </w:r>
            <w:r w:rsidR="00586EB4" w:rsidRPr="00EA59DC">
              <w:rPr>
                <w:rStyle w:val="InstructionsTabelleberschrift"/>
                <w:rFonts w:ascii="Times New Roman" w:hAnsi="Times New Roman"/>
                <w:sz w:val="22"/>
                <w:u w:val="none"/>
              </w:rPr>
              <w:t xml:space="preserve"> </w:t>
            </w:r>
            <w:r w:rsidR="00586EB4" w:rsidRPr="00EA59DC">
              <w:rPr>
                <w:rFonts w:ascii="Times New Roman" w:eastAsia="Times New Roman" w:hAnsi="Times New Roman" w:cs="Times New Roman"/>
                <w:b/>
                <w:bCs/>
                <w:color w:val="000000"/>
                <w:kern w:val="0"/>
                <w:lang w:eastAsia="ro-MD"/>
                <w14:ligatures w14:val="none"/>
              </w:rPr>
              <w:t>din Regulamentul nr.</w:t>
            </w:r>
            <w:r w:rsidR="0014142A">
              <w:rPr>
                <w:rFonts w:ascii="Times New Roman" w:eastAsia="Times New Roman" w:hAnsi="Times New Roman" w:cs="Times New Roman"/>
                <w:b/>
                <w:bCs/>
                <w:color w:val="000000"/>
                <w:kern w:val="0"/>
                <w:lang w:eastAsia="ro-MD"/>
                <w14:ligatures w14:val="none"/>
              </w:rPr>
              <w:t xml:space="preserve"> </w:t>
            </w:r>
            <w:r w:rsidR="00586EB4" w:rsidRPr="00EA59DC">
              <w:rPr>
                <w:rFonts w:ascii="Times New Roman" w:eastAsia="Times New Roman" w:hAnsi="Times New Roman" w:cs="Times New Roman"/>
                <w:b/>
                <w:bCs/>
                <w:color w:val="000000"/>
                <w:kern w:val="0"/>
                <w:lang w:eastAsia="ro-MD"/>
                <w14:ligatures w14:val="none"/>
              </w:rPr>
              <w:t>1</w:t>
            </w:r>
            <w:r w:rsidR="0014142A">
              <w:rPr>
                <w:rFonts w:ascii="Times New Roman" w:eastAsia="Times New Roman" w:hAnsi="Times New Roman" w:cs="Times New Roman"/>
                <w:b/>
                <w:bCs/>
                <w:color w:val="000000"/>
                <w:kern w:val="0"/>
                <w:lang w:eastAsia="ro-MD"/>
                <w14:ligatures w14:val="none"/>
              </w:rPr>
              <w:t>11</w:t>
            </w:r>
            <w:r w:rsidR="00586EB4" w:rsidRPr="00EA59DC">
              <w:rPr>
                <w:rFonts w:ascii="Times New Roman" w:eastAsia="Times New Roman" w:hAnsi="Times New Roman" w:cs="Times New Roman"/>
                <w:b/>
                <w:bCs/>
                <w:color w:val="000000"/>
                <w:kern w:val="0"/>
                <w:lang w:eastAsia="ro-MD"/>
                <w14:ligatures w14:val="none"/>
              </w:rPr>
              <w:t>/2018</w:t>
            </w:r>
          </w:p>
        </w:tc>
        <w:tc>
          <w:tcPr>
            <w:tcW w:w="531" w:type="pct"/>
          </w:tcPr>
          <w:p w14:paraId="713D819D" w14:textId="3F1BF451" w:rsidR="00D5130B" w:rsidRPr="00AA48A4" w:rsidRDefault="00BA1259"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c>
          <w:tcPr>
            <w:tcW w:w="530" w:type="pct"/>
            <w:tcBorders>
              <w:top w:val="single" w:sz="4" w:space="0" w:color="auto"/>
              <w:left w:val="single" w:sz="4" w:space="0" w:color="auto"/>
              <w:bottom w:val="single" w:sz="4" w:space="0" w:color="auto"/>
              <w:right w:val="single" w:sz="4" w:space="0" w:color="auto"/>
            </w:tcBorders>
          </w:tcPr>
          <w:p w14:paraId="1E562DED" w14:textId="63B00C4E" w:rsidR="00D5130B" w:rsidRPr="00AA48A4" w:rsidRDefault="00BA1259"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D5130B" w:rsidRPr="002A677E" w14:paraId="73D85048" w14:textId="6B2CA9BF"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2C1FD9F6"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0060</w:t>
            </w:r>
          </w:p>
        </w:tc>
        <w:tc>
          <w:tcPr>
            <w:tcW w:w="3534" w:type="pct"/>
            <w:tcBorders>
              <w:top w:val="single" w:sz="4" w:space="0" w:color="auto"/>
              <w:left w:val="single" w:sz="4" w:space="0" w:color="auto"/>
              <w:bottom w:val="single" w:sz="4" w:space="0" w:color="auto"/>
              <w:right w:val="single" w:sz="4" w:space="0" w:color="auto"/>
            </w:tcBorders>
            <w:hideMark/>
          </w:tcPr>
          <w:p w14:paraId="5CF98D07" w14:textId="7E627F84" w:rsidR="00D5130B" w:rsidRPr="009F37FB" w:rsidRDefault="00D5130B" w:rsidP="009F37FB">
            <w:pPr>
              <w:spacing w:after="0"/>
              <w:rPr>
                <w:rStyle w:val="FormatvorlageInstructionsTabelleText"/>
                <w:rFonts w:ascii="Times New Roman" w:eastAsia="Times New Roman" w:hAnsi="Times New Roman"/>
                <w:color w:val="000000"/>
                <w:kern w:val="0"/>
                <w:sz w:val="22"/>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w:t>
            </w:r>
            <w:r w:rsidRPr="009F37FB">
              <w:rPr>
                <w:rStyle w:val="InstructionsTabelleberschrift"/>
                <w:rFonts w:ascii="Times New Roman" w:eastAsia="Times New Roman" w:hAnsi="Times New Roman"/>
                <w:color w:val="000000"/>
                <w:kern w:val="0"/>
                <w:sz w:val="22"/>
                <w:u w:val="none"/>
                <w:lang w:eastAsia="ro-MD"/>
                <w14:ligatures w14:val="none"/>
              </w:rPr>
              <w:tab/>
              <w:t>Clasele de expuneri SA excluzând pozițiile din securitizare</w:t>
            </w:r>
          </w:p>
          <w:p w14:paraId="6CA43D80" w14:textId="60D247B6" w:rsidR="00D5130B" w:rsidRPr="003F20AD" w:rsidRDefault="00D5130B" w:rsidP="009F37FB">
            <w:pPr>
              <w:pStyle w:val="tt"/>
              <w:spacing w:before="0" w:beforeAutospacing="0" w:after="0" w:afterAutospacing="0"/>
              <w:rPr>
                <w:rStyle w:val="FormatvorlageInstructionsTabelleText"/>
                <w:rFonts w:ascii="Times New Roman" w:hAnsi="Times New Roman"/>
                <w:bCs w:val="0"/>
                <w:color w:val="000000"/>
                <w:sz w:val="22"/>
              </w:rPr>
            </w:pPr>
            <w:r w:rsidRPr="00C315B3">
              <w:rPr>
                <w:rStyle w:val="FormatvorlageInstructionsTabelleText"/>
                <w:rFonts w:ascii="Times New Roman" w:hAnsi="Times New Roman"/>
                <w:bCs w:val="0"/>
                <w:color w:val="000000"/>
                <w:sz w:val="22"/>
                <w:szCs w:val="22"/>
              </w:rPr>
              <w:t xml:space="preserve">Formularul CR SA la nivelul expunerilor totale. Clasele de expuneri SA sunt cele </w:t>
            </w:r>
            <w:r w:rsidRPr="00C315B3">
              <w:rPr>
                <w:rStyle w:val="FormatvorlageInstructionsTabelleText"/>
                <w:rFonts w:ascii="Times New Roman" w:hAnsi="Times New Roman"/>
                <w:bCs w:val="0"/>
                <w:sz w:val="22"/>
                <w:szCs w:val="22"/>
              </w:rPr>
              <w:t>menționate</w:t>
            </w:r>
            <w:r w:rsidRPr="00C315B3">
              <w:rPr>
                <w:rStyle w:val="FormatvorlageInstructionsTabelleText"/>
                <w:rFonts w:ascii="Times New Roman" w:hAnsi="Times New Roman"/>
                <w:bCs w:val="0"/>
                <w:color w:val="000000"/>
                <w:sz w:val="22"/>
                <w:szCs w:val="22"/>
              </w:rPr>
              <w:t xml:space="preserve"> la </w:t>
            </w:r>
            <w:r w:rsidRPr="00C315B3">
              <w:rPr>
                <w:rStyle w:val="FormatvorlageInstructionsTabelleText"/>
                <w:rFonts w:ascii="Times New Roman" w:hAnsi="Times New Roman"/>
                <w:bCs w:val="0"/>
                <w:sz w:val="22"/>
                <w:szCs w:val="22"/>
              </w:rPr>
              <w:t xml:space="preserve">punctul 11 </w:t>
            </w:r>
            <w:r w:rsidRPr="00C315B3">
              <w:rPr>
                <w:rStyle w:val="FormatvorlageInstructionsTabelleText"/>
                <w:rFonts w:ascii="Times New Roman" w:hAnsi="Times New Roman"/>
                <w:bCs w:val="0"/>
                <w:color w:val="000000"/>
                <w:sz w:val="22"/>
              </w:rPr>
              <w:t>din</w:t>
            </w:r>
            <w:r w:rsidRPr="00C315B3">
              <w:rPr>
                <w:rStyle w:val="InstructionsTabelleberschrift"/>
                <w:rFonts w:ascii="Times New Roman" w:hAnsi="Times New Roman"/>
                <w:b w:val="0"/>
                <w:bCs w:val="0"/>
                <w:sz w:val="22"/>
                <w:szCs w:val="22"/>
                <w:u w:val="none"/>
              </w:rPr>
              <w:t xml:space="preserve"> Regulamentul </w:t>
            </w:r>
            <w:r>
              <w:rPr>
                <w:rStyle w:val="InstructionsTabelleberschrift"/>
                <w:rFonts w:ascii="Times New Roman" w:hAnsi="Times New Roman"/>
                <w:b w:val="0"/>
                <w:bCs w:val="0"/>
                <w:color w:val="000000"/>
                <w:sz w:val="22"/>
                <w:u w:val="none"/>
              </w:rPr>
              <w:t xml:space="preserve">nr. 111/2018 </w:t>
            </w:r>
            <w:r w:rsidRPr="00C315B3">
              <w:rPr>
                <w:rStyle w:val="InstructionsTabelleberschrift"/>
                <w:rFonts w:ascii="Times New Roman" w:hAnsi="Times New Roman"/>
                <w:b w:val="0"/>
                <w:bCs w:val="0"/>
                <w:color w:val="000000"/>
                <w:sz w:val="22"/>
                <w:szCs w:val="22"/>
                <w:u w:val="none"/>
              </w:rPr>
              <w:t>cu privire la tratamentul riscului de credit pentru bănci potrivit abordării standardizate</w:t>
            </w:r>
            <w:r>
              <w:rPr>
                <w:rStyle w:val="InstructionsTabelleberschrift"/>
                <w:rFonts w:ascii="Times New Roman" w:hAnsi="Times New Roman"/>
                <w:b w:val="0"/>
                <w:bCs w:val="0"/>
                <w:color w:val="000000"/>
                <w:sz w:val="22"/>
                <w:u w:val="none"/>
              </w:rPr>
              <w:t xml:space="preserve"> (în continuare Regulamentul nr. 111/2018)</w:t>
            </w:r>
            <w:r w:rsidRPr="003F20AD">
              <w:rPr>
                <w:rStyle w:val="FormatvorlageInstructionsTabelleText"/>
                <w:rFonts w:ascii="Times New Roman" w:hAnsi="Times New Roman"/>
                <w:bCs w:val="0"/>
                <w:color w:val="000000"/>
                <w:sz w:val="22"/>
              </w:rPr>
              <w:t>, pozițiile din securitizare fiind excluse.</w:t>
            </w:r>
          </w:p>
        </w:tc>
        <w:tc>
          <w:tcPr>
            <w:tcW w:w="531" w:type="pct"/>
          </w:tcPr>
          <w:p w14:paraId="7093C75F"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szCs w:val="24"/>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2B78FD9F" w14:textId="5FA24DE9"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szCs w:val="24"/>
                <w:u w:val="none"/>
                <w:lang w:eastAsia="ro-MD"/>
                <w14:ligatures w14:val="none"/>
              </w:rPr>
            </w:pPr>
          </w:p>
        </w:tc>
      </w:tr>
      <w:tr w:rsidR="00D5130B" w:rsidRPr="002A677E" w14:paraId="4DD07503" w14:textId="5BA692B4"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4C8CD2DE"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0070</w:t>
            </w:r>
          </w:p>
        </w:tc>
        <w:tc>
          <w:tcPr>
            <w:tcW w:w="3534" w:type="pct"/>
            <w:tcBorders>
              <w:top w:val="single" w:sz="4" w:space="0" w:color="auto"/>
              <w:left w:val="single" w:sz="4" w:space="0" w:color="auto"/>
              <w:bottom w:val="single" w:sz="4" w:space="0" w:color="auto"/>
              <w:right w:val="single" w:sz="4" w:space="0" w:color="auto"/>
            </w:tcBorders>
            <w:hideMark/>
          </w:tcPr>
          <w:p w14:paraId="51825A1A" w14:textId="23C2EA42" w:rsidR="00D5130B" w:rsidRPr="009F37FB" w:rsidRDefault="00D5130B" w:rsidP="009F37FB">
            <w:pPr>
              <w:spacing w:after="0"/>
              <w:rPr>
                <w:rStyle w:val="FormatvorlageInstructionsTabelleText"/>
                <w:rFonts w:ascii="Times New Roman" w:eastAsia="Times New Roman" w:hAnsi="Times New Roman"/>
                <w:color w:val="000000"/>
                <w:kern w:val="0"/>
                <w:sz w:val="22"/>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1.1.1.1.01.</w:t>
            </w:r>
            <w:r w:rsidRPr="009F37FB">
              <w:rPr>
                <w:rStyle w:val="InstructionsTabelleberschrift"/>
                <w:rFonts w:ascii="Times New Roman" w:eastAsia="Times New Roman" w:hAnsi="Times New Roman"/>
                <w:color w:val="000000"/>
                <w:kern w:val="0"/>
                <w:sz w:val="22"/>
                <w:u w:val="none"/>
                <w:lang w:eastAsia="ro-MD"/>
                <w14:ligatures w14:val="none"/>
              </w:rPr>
              <w:tab/>
              <w:t>Administrații centrale sau bănci centrale</w:t>
            </w:r>
          </w:p>
          <w:p w14:paraId="10C76DEA"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748B78F3"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2056EA58" w14:textId="70547EA5"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2BD5AECC" w14:textId="4168FB79"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5125C71C"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0080</w:t>
            </w:r>
          </w:p>
        </w:tc>
        <w:tc>
          <w:tcPr>
            <w:tcW w:w="3534" w:type="pct"/>
            <w:tcBorders>
              <w:top w:val="single" w:sz="4" w:space="0" w:color="auto"/>
              <w:left w:val="single" w:sz="4" w:space="0" w:color="auto"/>
              <w:bottom w:val="single" w:sz="4" w:space="0" w:color="auto"/>
              <w:right w:val="single" w:sz="4" w:space="0" w:color="auto"/>
            </w:tcBorders>
            <w:hideMark/>
          </w:tcPr>
          <w:p w14:paraId="315460E7" w14:textId="07A1B0D5" w:rsidR="00D5130B" w:rsidRPr="009F37FB" w:rsidRDefault="00D5130B" w:rsidP="009F37FB">
            <w:pPr>
              <w:spacing w:after="0"/>
              <w:rPr>
                <w:rStyle w:val="FormatvorlageInstructionsTabelleText"/>
                <w:rFonts w:ascii="Times New Roman" w:eastAsia="Times New Roman" w:hAnsi="Times New Roman"/>
                <w:color w:val="000000"/>
                <w:kern w:val="0"/>
                <w:sz w:val="22"/>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1.1.1.1.02.</w:t>
            </w:r>
            <w:r w:rsidRPr="009F37FB">
              <w:rPr>
                <w:rStyle w:val="InstructionsTabelleberschrift"/>
                <w:rFonts w:ascii="Times New Roman" w:eastAsia="Times New Roman" w:hAnsi="Times New Roman"/>
                <w:color w:val="000000"/>
                <w:kern w:val="0"/>
                <w:sz w:val="22"/>
                <w:u w:val="none"/>
                <w:lang w:eastAsia="ro-MD"/>
                <w14:ligatures w14:val="none"/>
              </w:rPr>
              <w:tab/>
              <w:t>Administrații regionale sau autorități locale</w:t>
            </w:r>
          </w:p>
          <w:p w14:paraId="0D164EB2"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4F2DA55E"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73843210" w14:textId="25ABE99B"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13040BEE" w14:textId="3181793D"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3F9FA16D"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0090</w:t>
            </w:r>
          </w:p>
        </w:tc>
        <w:tc>
          <w:tcPr>
            <w:tcW w:w="3534" w:type="pct"/>
            <w:tcBorders>
              <w:top w:val="single" w:sz="4" w:space="0" w:color="auto"/>
              <w:left w:val="single" w:sz="4" w:space="0" w:color="auto"/>
              <w:bottom w:val="single" w:sz="4" w:space="0" w:color="auto"/>
              <w:right w:val="single" w:sz="4" w:space="0" w:color="auto"/>
            </w:tcBorders>
            <w:hideMark/>
          </w:tcPr>
          <w:p w14:paraId="6A0099DA" w14:textId="6109A076" w:rsidR="00D5130B" w:rsidRPr="009F37FB" w:rsidRDefault="00D5130B" w:rsidP="009F37FB">
            <w:pPr>
              <w:spacing w:after="0"/>
              <w:rPr>
                <w:rStyle w:val="FormatvorlageInstructionsTabelleText"/>
                <w:rFonts w:ascii="Times New Roman" w:eastAsia="Times New Roman" w:hAnsi="Times New Roman"/>
                <w:color w:val="000000"/>
                <w:kern w:val="0"/>
                <w:sz w:val="22"/>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1.1.1.1.03.</w:t>
            </w:r>
            <w:r w:rsidRPr="009F37FB">
              <w:rPr>
                <w:rStyle w:val="InstructionsTabelleberschrift"/>
                <w:rFonts w:ascii="Times New Roman" w:eastAsia="Times New Roman" w:hAnsi="Times New Roman"/>
                <w:color w:val="000000"/>
                <w:kern w:val="0"/>
                <w:sz w:val="22"/>
                <w:u w:val="none"/>
                <w:lang w:eastAsia="ro-MD"/>
                <w14:ligatures w14:val="none"/>
              </w:rPr>
              <w:tab/>
              <w:t>Entități din sectorul public</w:t>
            </w:r>
          </w:p>
          <w:p w14:paraId="341B366F"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6B28C693"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4F14E284" w14:textId="252DDA9F"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2C14B8E1" w14:textId="6F42B51F"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1D4A6781"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0100</w:t>
            </w:r>
          </w:p>
        </w:tc>
        <w:tc>
          <w:tcPr>
            <w:tcW w:w="3534" w:type="pct"/>
            <w:tcBorders>
              <w:top w:val="single" w:sz="4" w:space="0" w:color="auto"/>
              <w:left w:val="single" w:sz="4" w:space="0" w:color="auto"/>
              <w:bottom w:val="single" w:sz="4" w:space="0" w:color="auto"/>
              <w:right w:val="single" w:sz="4" w:space="0" w:color="auto"/>
            </w:tcBorders>
            <w:hideMark/>
          </w:tcPr>
          <w:p w14:paraId="4A7182A0" w14:textId="495DBAD7" w:rsidR="00D5130B" w:rsidRPr="009F37FB" w:rsidRDefault="00D5130B" w:rsidP="009F37FB">
            <w:pPr>
              <w:spacing w:after="0"/>
              <w:rPr>
                <w:rStyle w:val="FormatvorlageInstructionsTabelleText"/>
                <w:rFonts w:ascii="Times New Roman" w:eastAsia="Times New Roman" w:hAnsi="Times New Roman"/>
                <w:color w:val="000000"/>
                <w:kern w:val="0"/>
                <w:sz w:val="22"/>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1.1.1.1.04.</w:t>
            </w:r>
            <w:r w:rsidRPr="009F37FB">
              <w:rPr>
                <w:rStyle w:val="InstructionsTabelleberschrift"/>
                <w:rFonts w:ascii="Times New Roman" w:eastAsia="Times New Roman" w:hAnsi="Times New Roman"/>
                <w:color w:val="000000"/>
                <w:kern w:val="0"/>
                <w:sz w:val="22"/>
                <w:u w:val="none"/>
                <w:lang w:eastAsia="ro-MD"/>
                <w14:ligatures w14:val="none"/>
              </w:rPr>
              <w:tab/>
              <w:t>Bănci multilaterale de dezvoltare</w:t>
            </w:r>
          </w:p>
          <w:p w14:paraId="7FAD07E4"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 xml:space="preserve">A se vedea formularul CR SA </w:t>
            </w:r>
          </w:p>
        </w:tc>
        <w:tc>
          <w:tcPr>
            <w:tcW w:w="531" w:type="pct"/>
          </w:tcPr>
          <w:p w14:paraId="1C08A74F"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6D2B57ED" w14:textId="1656D3D1"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F0B1D" w14:paraId="76A66B73" w14:textId="32D90E11"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32055DBD"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0110</w:t>
            </w:r>
          </w:p>
        </w:tc>
        <w:tc>
          <w:tcPr>
            <w:tcW w:w="3534" w:type="pct"/>
            <w:tcBorders>
              <w:top w:val="single" w:sz="4" w:space="0" w:color="auto"/>
              <w:left w:val="single" w:sz="4" w:space="0" w:color="auto"/>
              <w:bottom w:val="single" w:sz="4" w:space="0" w:color="auto"/>
              <w:right w:val="single" w:sz="4" w:space="0" w:color="auto"/>
            </w:tcBorders>
            <w:hideMark/>
          </w:tcPr>
          <w:p w14:paraId="12E9F8E0" w14:textId="2BD59A21" w:rsidR="00D5130B" w:rsidRPr="009F37FB" w:rsidRDefault="00D5130B" w:rsidP="009F37FB">
            <w:pPr>
              <w:spacing w:after="0"/>
              <w:rPr>
                <w:rStyle w:val="FormatvorlageInstructionsTabelleText"/>
                <w:rFonts w:ascii="Times New Roman" w:eastAsia="Times New Roman" w:hAnsi="Times New Roman"/>
                <w:color w:val="000000"/>
                <w:kern w:val="0"/>
                <w:sz w:val="22"/>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1.1.1.1.05.</w:t>
            </w:r>
            <w:r w:rsidRPr="009F37FB">
              <w:rPr>
                <w:rStyle w:val="InstructionsTabelleberschrift"/>
                <w:rFonts w:ascii="Times New Roman" w:eastAsia="Times New Roman" w:hAnsi="Times New Roman"/>
                <w:color w:val="000000"/>
                <w:kern w:val="0"/>
                <w:sz w:val="22"/>
                <w:u w:val="none"/>
                <w:lang w:eastAsia="ro-MD"/>
                <w14:ligatures w14:val="none"/>
              </w:rPr>
              <w:tab/>
              <w:t>Organizații internaționale</w:t>
            </w:r>
          </w:p>
          <w:p w14:paraId="34FD5B5A"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1910D42F"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4BFD7C77" w14:textId="130745E3"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F0B1D" w14:paraId="38903296" w14:textId="569CB659"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69752039"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0120</w:t>
            </w:r>
          </w:p>
        </w:tc>
        <w:tc>
          <w:tcPr>
            <w:tcW w:w="3534" w:type="pct"/>
            <w:tcBorders>
              <w:top w:val="single" w:sz="4" w:space="0" w:color="auto"/>
              <w:left w:val="single" w:sz="4" w:space="0" w:color="auto"/>
              <w:bottom w:val="single" w:sz="4" w:space="0" w:color="auto"/>
              <w:right w:val="single" w:sz="4" w:space="0" w:color="auto"/>
            </w:tcBorders>
            <w:hideMark/>
          </w:tcPr>
          <w:p w14:paraId="4D6217E1" w14:textId="16FC023E" w:rsidR="00D5130B" w:rsidRPr="009F37FB" w:rsidRDefault="00D5130B" w:rsidP="009F37FB">
            <w:pPr>
              <w:spacing w:after="0"/>
              <w:rPr>
                <w:rStyle w:val="FormatvorlageInstructionsTabelleText"/>
                <w:rFonts w:ascii="Times New Roman" w:eastAsia="Times New Roman" w:hAnsi="Times New Roman"/>
                <w:color w:val="000000"/>
                <w:kern w:val="0"/>
                <w:sz w:val="22"/>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1.1.1.1.06.</w:t>
            </w:r>
            <w:r w:rsidRPr="009F37FB">
              <w:rPr>
                <w:rStyle w:val="InstructionsTabelleberschrift"/>
                <w:rFonts w:ascii="Times New Roman" w:eastAsia="Times New Roman" w:hAnsi="Times New Roman"/>
                <w:color w:val="000000"/>
                <w:kern w:val="0"/>
                <w:sz w:val="22"/>
                <w:u w:val="none"/>
                <w:lang w:eastAsia="ro-MD"/>
                <w14:ligatures w14:val="none"/>
              </w:rPr>
              <w:tab/>
              <w:t>Bănci</w:t>
            </w:r>
          </w:p>
          <w:p w14:paraId="473ADF2A"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266D4AB3"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550C5B5C" w14:textId="35A8C3D3"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55BCE1C4" w14:textId="5619A8E5"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0EF186A7"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0125</w:t>
            </w:r>
          </w:p>
        </w:tc>
        <w:tc>
          <w:tcPr>
            <w:tcW w:w="3534" w:type="pct"/>
            <w:tcBorders>
              <w:top w:val="single" w:sz="4" w:space="0" w:color="auto"/>
              <w:left w:val="single" w:sz="4" w:space="0" w:color="auto"/>
              <w:bottom w:val="single" w:sz="4" w:space="0" w:color="auto"/>
              <w:right w:val="single" w:sz="4" w:space="0" w:color="auto"/>
            </w:tcBorders>
            <w:hideMark/>
          </w:tcPr>
          <w:p w14:paraId="62C76632" w14:textId="77777777" w:rsidR="00D5130B" w:rsidRPr="009F37FB" w:rsidRDefault="00D5130B" w:rsidP="009F37FB">
            <w:pPr>
              <w:spacing w:after="0"/>
              <w:rPr>
                <w:rStyle w:val="FormatvorlageInstructionsTabelleText"/>
                <w:rFonts w:ascii="Times New Roman" w:eastAsia="Times New Roman" w:hAnsi="Times New Roman"/>
                <w:color w:val="000000"/>
                <w:kern w:val="0"/>
                <w:sz w:val="22"/>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1.1.1.1.07a</w:t>
            </w:r>
            <w:r w:rsidRPr="009F37FB">
              <w:rPr>
                <w:rStyle w:val="InstructionsTabelleberschrift"/>
                <w:rFonts w:ascii="Times New Roman" w:eastAsia="Times New Roman" w:hAnsi="Times New Roman"/>
                <w:color w:val="000000"/>
                <w:kern w:val="0"/>
                <w:sz w:val="22"/>
                <w:u w:val="none"/>
                <w:lang w:eastAsia="ro-MD"/>
                <w14:ligatures w14:val="none"/>
              </w:rPr>
              <w:tab/>
              <w:t>Societăți – Altele</w:t>
            </w:r>
          </w:p>
          <w:p w14:paraId="16A8687B" w14:textId="77777777"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68BF83CD"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3171362E" w14:textId="49D76EB9"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6D07BFD7" w14:textId="5F384625"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4A2E070D"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0131</w:t>
            </w:r>
          </w:p>
        </w:tc>
        <w:tc>
          <w:tcPr>
            <w:tcW w:w="3534" w:type="pct"/>
            <w:tcBorders>
              <w:top w:val="single" w:sz="4" w:space="0" w:color="auto"/>
              <w:left w:val="single" w:sz="4" w:space="0" w:color="auto"/>
              <w:bottom w:val="single" w:sz="4" w:space="0" w:color="auto"/>
              <w:right w:val="single" w:sz="4" w:space="0" w:color="auto"/>
            </w:tcBorders>
            <w:hideMark/>
          </w:tcPr>
          <w:p w14:paraId="62D1584F" w14:textId="77777777" w:rsidR="00D5130B" w:rsidRPr="009F37FB" w:rsidRDefault="00D5130B" w:rsidP="009F37FB">
            <w:pPr>
              <w:spacing w:after="0"/>
              <w:rPr>
                <w:rStyle w:val="FormatvorlageInstructionsTabelleText"/>
                <w:rFonts w:ascii="Times New Roman" w:eastAsia="Times New Roman" w:hAnsi="Times New Roman"/>
                <w:color w:val="000000"/>
                <w:kern w:val="0"/>
                <w:sz w:val="22"/>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1.1.1.1.07b</w:t>
            </w:r>
            <w:r w:rsidRPr="009F37FB">
              <w:rPr>
                <w:rStyle w:val="InstructionsTabelleberschrift"/>
                <w:rFonts w:ascii="Times New Roman" w:eastAsia="Times New Roman" w:hAnsi="Times New Roman"/>
                <w:color w:val="000000"/>
                <w:kern w:val="0"/>
                <w:sz w:val="22"/>
                <w:u w:val="none"/>
                <w:lang w:eastAsia="ro-MD"/>
                <w14:ligatures w14:val="none"/>
              </w:rPr>
              <w:tab/>
              <w:t>Societăți – Finanțări specializate</w:t>
            </w:r>
          </w:p>
          <w:p w14:paraId="1435BFB2" w14:textId="77777777"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51180EF3"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0CE7E591" w14:textId="16302C16"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5295EAA2" w14:textId="375EA346"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5D579370"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0140</w:t>
            </w:r>
          </w:p>
        </w:tc>
        <w:tc>
          <w:tcPr>
            <w:tcW w:w="3534" w:type="pct"/>
            <w:tcBorders>
              <w:top w:val="single" w:sz="4" w:space="0" w:color="auto"/>
              <w:left w:val="single" w:sz="4" w:space="0" w:color="auto"/>
              <w:bottom w:val="single" w:sz="4" w:space="0" w:color="auto"/>
              <w:right w:val="single" w:sz="4" w:space="0" w:color="auto"/>
            </w:tcBorders>
            <w:hideMark/>
          </w:tcPr>
          <w:p w14:paraId="03C0251B" w14:textId="1821C035" w:rsidR="00D5130B" w:rsidRPr="009F37FB" w:rsidRDefault="00D5130B" w:rsidP="009F37FB">
            <w:pPr>
              <w:spacing w:after="0"/>
              <w:rPr>
                <w:rStyle w:val="FormatvorlageInstructionsTabelleText"/>
                <w:rFonts w:ascii="Times New Roman" w:eastAsia="Times New Roman" w:hAnsi="Times New Roman"/>
                <w:color w:val="000000"/>
                <w:kern w:val="0"/>
                <w:sz w:val="22"/>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1.1.1.1.08.</w:t>
            </w:r>
            <w:r w:rsidRPr="009F37FB">
              <w:rPr>
                <w:rStyle w:val="InstructionsTabelleberschrift"/>
                <w:rFonts w:ascii="Times New Roman" w:eastAsia="Times New Roman" w:hAnsi="Times New Roman"/>
                <w:color w:val="000000"/>
                <w:kern w:val="0"/>
                <w:sz w:val="22"/>
                <w:u w:val="none"/>
                <w:lang w:eastAsia="ro-MD"/>
                <w14:ligatures w14:val="none"/>
              </w:rPr>
              <w:tab/>
              <w:t>Retail</w:t>
            </w:r>
          </w:p>
          <w:p w14:paraId="7D5C221F"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lastRenderedPageBreak/>
              <w:t>A se vedea formularul CR SA</w:t>
            </w:r>
          </w:p>
        </w:tc>
        <w:tc>
          <w:tcPr>
            <w:tcW w:w="531" w:type="pct"/>
          </w:tcPr>
          <w:p w14:paraId="2C5C21AB"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44AA85BA" w14:textId="23025AA5"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09952F7A" w14:textId="5CD90D7B"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5C572DEE"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0150</w:t>
            </w:r>
          </w:p>
        </w:tc>
        <w:tc>
          <w:tcPr>
            <w:tcW w:w="3534" w:type="pct"/>
            <w:tcBorders>
              <w:top w:val="single" w:sz="4" w:space="0" w:color="auto"/>
              <w:left w:val="single" w:sz="4" w:space="0" w:color="auto"/>
              <w:bottom w:val="single" w:sz="4" w:space="0" w:color="auto"/>
              <w:right w:val="single" w:sz="4" w:space="0" w:color="auto"/>
            </w:tcBorders>
            <w:hideMark/>
          </w:tcPr>
          <w:p w14:paraId="1789DE94" w14:textId="61D774C3"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1.1.1.1.09.</w:t>
            </w:r>
            <w:r w:rsidRPr="009F37FB">
              <w:rPr>
                <w:rStyle w:val="InstructionsTabelleberschrift"/>
                <w:rFonts w:ascii="Times New Roman" w:eastAsia="Times New Roman" w:hAnsi="Times New Roman"/>
                <w:color w:val="000000"/>
                <w:kern w:val="0"/>
                <w:sz w:val="22"/>
                <w:u w:val="none"/>
                <w:lang w:eastAsia="ro-MD"/>
                <w14:ligatures w14:val="none"/>
              </w:rPr>
              <w:tab/>
              <w:t>Expuneri garantate cu ipoteci asupra bunurilor imobile și expuneri ADC</w:t>
            </w:r>
          </w:p>
          <w:p w14:paraId="1F2C8273"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21709F9C"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0DE70A84" w14:textId="658459A9"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7D79F763" w14:textId="738B33D4"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3B4B098D"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0151</w:t>
            </w:r>
          </w:p>
        </w:tc>
        <w:tc>
          <w:tcPr>
            <w:tcW w:w="3534" w:type="pct"/>
            <w:tcBorders>
              <w:top w:val="single" w:sz="4" w:space="0" w:color="auto"/>
              <w:left w:val="single" w:sz="4" w:space="0" w:color="auto"/>
              <w:bottom w:val="single" w:sz="4" w:space="0" w:color="auto"/>
              <w:right w:val="single" w:sz="4" w:space="0" w:color="auto"/>
            </w:tcBorders>
            <w:hideMark/>
          </w:tcPr>
          <w:p w14:paraId="48BA42D5" w14:textId="21A74FEF"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1.1.1.1.09.1.  Expuneri garantate cu ipoteci asupra bunurilor imobile locative – non-IPRE (garantate)</w:t>
            </w:r>
          </w:p>
          <w:p w14:paraId="2CA2D2B3" w14:textId="77777777"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59E73F1F"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3E504FF7" w14:textId="78A7D6C5"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5AA6796A" w14:textId="2A188BA0"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4B14936A"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0152</w:t>
            </w:r>
          </w:p>
        </w:tc>
        <w:tc>
          <w:tcPr>
            <w:tcW w:w="3534" w:type="pct"/>
            <w:tcBorders>
              <w:top w:val="single" w:sz="4" w:space="0" w:color="auto"/>
              <w:left w:val="single" w:sz="4" w:space="0" w:color="auto"/>
              <w:bottom w:val="single" w:sz="4" w:space="0" w:color="auto"/>
              <w:right w:val="single" w:sz="4" w:space="0" w:color="auto"/>
            </w:tcBorders>
            <w:hideMark/>
          </w:tcPr>
          <w:p w14:paraId="6F682C7C" w14:textId="2AB2374D"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1.1.1.1.09.2.  Expuneri garantate cu ipoteci asupra bunurilor imobile locative – non-IPRE (negarantate)</w:t>
            </w:r>
          </w:p>
          <w:p w14:paraId="0A7F8F3B" w14:textId="77777777"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5D616E33"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0AB14B40" w14:textId="176D7656"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1AD75EC9" w14:textId="4EA08CB9"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3F8CAD14"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0153</w:t>
            </w:r>
          </w:p>
        </w:tc>
        <w:tc>
          <w:tcPr>
            <w:tcW w:w="3534" w:type="pct"/>
            <w:tcBorders>
              <w:top w:val="single" w:sz="4" w:space="0" w:color="auto"/>
              <w:left w:val="single" w:sz="4" w:space="0" w:color="auto"/>
              <w:bottom w:val="single" w:sz="4" w:space="0" w:color="auto"/>
              <w:right w:val="single" w:sz="4" w:space="0" w:color="auto"/>
            </w:tcBorders>
            <w:hideMark/>
          </w:tcPr>
          <w:p w14:paraId="12D89C61" w14:textId="120056A6"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1.1.1.1.09.3.  Expuneri garantate cu ipoteci asupra bunurilor imobile locative – altele – non-IPRE</w:t>
            </w:r>
          </w:p>
          <w:p w14:paraId="1AF3ECFD" w14:textId="77777777"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4DDF0CDB"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00437113" w14:textId="7DCD73C3"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3237B017" w14:textId="36558D8A"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535BF353"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0154</w:t>
            </w:r>
          </w:p>
        </w:tc>
        <w:tc>
          <w:tcPr>
            <w:tcW w:w="3534" w:type="pct"/>
            <w:tcBorders>
              <w:top w:val="single" w:sz="4" w:space="0" w:color="auto"/>
              <w:left w:val="single" w:sz="4" w:space="0" w:color="auto"/>
              <w:bottom w:val="single" w:sz="4" w:space="0" w:color="auto"/>
              <w:right w:val="single" w:sz="4" w:space="0" w:color="auto"/>
            </w:tcBorders>
            <w:hideMark/>
          </w:tcPr>
          <w:p w14:paraId="09929ABC" w14:textId="3208D155"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1.1.1.1.09.4.  Expuneri garantate cu ipoteci asupra bunurilor imobile locative – IPRE</w:t>
            </w:r>
          </w:p>
          <w:p w14:paraId="5846E122" w14:textId="77777777"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05372F8F"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0B23C459" w14:textId="00FD01B5"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6D712521" w14:textId="76304AB1"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1D6B3AEC"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0155</w:t>
            </w:r>
          </w:p>
        </w:tc>
        <w:tc>
          <w:tcPr>
            <w:tcW w:w="3534" w:type="pct"/>
            <w:tcBorders>
              <w:top w:val="single" w:sz="4" w:space="0" w:color="auto"/>
              <w:left w:val="single" w:sz="4" w:space="0" w:color="auto"/>
              <w:bottom w:val="single" w:sz="4" w:space="0" w:color="auto"/>
              <w:right w:val="single" w:sz="4" w:space="0" w:color="auto"/>
            </w:tcBorders>
            <w:hideMark/>
          </w:tcPr>
          <w:p w14:paraId="35C03E09" w14:textId="1753781B"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1.1.1.1.09.5.  Expuneri garantate cu ipoteci asupra bunurilor imobile locative – altele – IPRE</w:t>
            </w:r>
          </w:p>
          <w:p w14:paraId="2B18B1FE" w14:textId="77777777"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6F504CAD"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35AE69A1" w14:textId="31283A46"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56D1E398" w14:textId="7F170CBE"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28AA443F"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0156</w:t>
            </w:r>
          </w:p>
        </w:tc>
        <w:tc>
          <w:tcPr>
            <w:tcW w:w="3534" w:type="pct"/>
            <w:tcBorders>
              <w:top w:val="single" w:sz="4" w:space="0" w:color="auto"/>
              <w:left w:val="single" w:sz="4" w:space="0" w:color="auto"/>
              <w:bottom w:val="single" w:sz="4" w:space="0" w:color="auto"/>
              <w:right w:val="single" w:sz="4" w:space="0" w:color="auto"/>
            </w:tcBorders>
            <w:hideMark/>
          </w:tcPr>
          <w:p w14:paraId="2708F609" w14:textId="78336F8F"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1.1.1.1.09.6.  Expuneri garantate cu ipoteci asupra bunurilor imobile comerciale – non-IPRE (garantate)</w:t>
            </w:r>
          </w:p>
          <w:p w14:paraId="1DD3863F" w14:textId="77777777"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20566748"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3250CB43" w14:textId="769A8111"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13E5F67F" w14:textId="60929517"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4D152DB6"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0157</w:t>
            </w:r>
          </w:p>
        </w:tc>
        <w:tc>
          <w:tcPr>
            <w:tcW w:w="3534" w:type="pct"/>
            <w:tcBorders>
              <w:top w:val="single" w:sz="4" w:space="0" w:color="auto"/>
              <w:left w:val="single" w:sz="4" w:space="0" w:color="auto"/>
              <w:bottom w:val="single" w:sz="4" w:space="0" w:color="auto"/>
              <w:right w:val="single" w:sz="4" w:space="0" w:color="auto"/>
            </w:tcBorders>
            <w:hideMark/>
          </w:tcPr>
          <w:p w14:paraId="408783BF" w14:textId="684BB34A"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1.1.1.1.09.7.  Expuneri garantate cu ipoteci asupra bunurilor imobile comerciale – non-IPRE (negarantate)</w:t>
            </w:r>
          </w:p>
          <w:p w14:paraId="29D60E0E" w14:textId="77777777"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7A2831F6"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726E85B1" w14:textId="2DC5039C"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5A4CDE48" w14:textId="150BDE8D"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82E1D95"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0158</w:t>
            </w:r>
          </w:p>
        </w:tc>
        <w:tc>
          <w:tcPr>
            <w:tcW w:w="3534" w:type="pct"/>
            <w:tcBorders>
              <w:top w:val="single" w:sz="4" w:space="0" w:color="auto"/>
              <w:left w:val="single" w:sz="4" w:space="0" w:color="auto"/>
              <w:bottom w:val="single" w:sz="4" w:space="0" w:color="auto"/>
              <w:right w:val="single" w:sz="4" w:space="0" w:color="auto"/>
            </w:tcBorders>
            <w:hideMark/>
          </w:tcPr>
          <w:p w14:paraId="1C31C6DB" w14:textId="3B29FEEA"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InstructionsTabelleberschrift"/>
                <w:rFonts w:ascii="Times New Roman" w:eastAsia="Times New Roman" w:hAnsi="Times New Roman"/>
                <w:b w:val="0"/>
                <w:bCs w:val="0"/>
                <w:color w:val="000000"/>
                <w:kern w:val="0"/>
                <w:sz w:val="22"/>
                <w:u w:val="none"/>
                <w:lang w:eastAsia="ro-MD"/>
                <w14:ligatures w14:val="none"/>
              </w:rPr>
              <w:t>1</w:t>
            </w:r>
            <w:r w:rsidRPr="009F37FB">
              <w:rPr>
                <w:rStyle w:val="InstructionsTabelleberschrift"/>
                <w:rFonts w:ascii="Times New Roman" w:eastAsia="Times New Roman" w:hAnsi="Times New Roman"/>
                <w:color w:val="000000"/>
                <w:kern w:val="0"/>
                <w:sz w:val="22"/>
                <w:u w:val="none"/>
                <w:lang w:eastAsia="ro-MD"/>
                <w14:ligatures w14:val="none"/>
              </w:rPr>
              <w:t>.1.1.1.09.8.  Expuneri garantate cu ipoteci asupra bunurilor imobile comerciale – altele – non-IPRE</w:t>
            </w:r>
          </w:p>
          <w:p w14:paraId="3CA67E6D" w14:textId="77777777"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099B1FD7"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03657575" w14:textId="7311B6B5"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35C4CA1E" w14:textId="6657BFC0"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51F86352"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0159</w:t>
            </w:r>
          </w:p>
        </w:tc>
        <w:tc>
          <w:tcPr>
            <w:tcW w:w="3534" w:type="pct"/>
            <w:tcBorders>
              <w:top w:val="single" w:sz="4" w:space="0" w:color="auto"/>
              <w:left w:val="single" w:sz="4" w:space="0" w:color="auto"/>
              <w:bottom w:val="single" w:sz="4" w:space="0" w:color="auto"/>
              <w:right w:val="single" w:sz="4" w:space="0" w:color="auto"/>
            </w:tcBorders>
            <w:hideMark/>
          </w:tcPr>
          <w:p w14:paraId="41072199" w14:textId="55253976"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1.1.1.1.09.9.  Expuneri garantate cu ipoteci asupra bunurilor imobile comerciale –- IPRE</w:t>
            </w:r>
          </w:p>
          <w:p w14:paraId="49A0B822" w14:textId="77777777"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55B1AB0F"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4F641612" w14:textId="1F2125BE"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23564056" w14:textId="4DAF8AE7"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598AAB9A"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0900</w:t>
            </w:r>
          </w:p>
        </w:tc>
        <w:tc>
          <w:tcPr>
            <w:tcW w:w="3534" w:type="pct"/>
            <w:tcBorders>
              <w:top w:val="single" w:sz="4" w:space="0" w:color="auto"/>
              <w:left w:val="single" w:sz="4" w:space="0" w:color="auto"/>
              <w:bottom w:val="single" w:sz="4" w:space="0" w:color="auto"/>
              <w:right w:val="single" w:sz="4" w:space="0" w:color="auto"/>
            </w:tcBorders>
            <w:hideMark/>
          </w:tcPr>
          <w:p w14:paraId="37E61075" w14:textId="1702902B"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1.1.1.1.09.9a  Expuneri garantate cu ipoteci asupra bunurilor imobile comerciale – altele – IPRE</w:t>
            </w:r>
          </w:p>
          <w:p w14:paraId="1012265C" w14:textId="77777777"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39D99496"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62709C01" w14:textId="1BFC51C4"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6B135F84" w14:textId="151DB546"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3EEEDD76"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0910</w:t>
            </w:r>
          </w:p>
        </w:tc>
        <w:tc>
          <w:tcPr>
            <w:tcW w:w="3534" w:type="pct"/>
            <w:tcBorders>
              <w:top w:val="single" w:sz="4" w:space="0" w:color="auto"/>
              <w:left w:val="single" w:sz="4" w:space="0" w:color="auto"/>
              <w:bottom w:val="single" w:sz="4" w:space="0" w:color="auto"/>
              <w:right w:val="single" w:sz="4" w:space="0" w:color="auto"/>
            </w:tcBorders>
            <w:hideMark/>
          </w:tcPr>
          <w:p w14:paraId="6CB2D6E0" w14:textId="58617C70"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1.1.1.1.09.9b  Achiziții, dezvoltare și construcții (ADC)</w:t>
            </w:r>
          </w:p>
          <w:p w14:paraId="23EA3581" w14:textId="77777777"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2C6CA9FD"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2FBFE8EA" w14:textId="6B2603CC"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527B08BA" w14:textId="70573278"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614439FF"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0160</w:t>
            </w:r>
          </w:p>
        </w:tc>
        <w:tc>
          <w:tcPr>
            <w:tcW w:w="3534" w:type="pct"/>
            <w:tcBorders>
              <w:top w:val="single" w:sz="4" w:space="0" w:color="auto"/>
              <w:left w:val="single" w:sz="4" w:space="0" w:color="auto"/>
              <w:bottom w:val="single" w:sz="4" w:space="0" w:color="auto"/>
              <w:right w:val="single" w:sz="4" w:space="0" w:color="auto"/>
            </w:tcBorders>
            <w:hideMark/>
          </w:tcPr>
          <w:p w14:paraId="1171CCF9" w14:textId="101A57A2"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1.1.1.1.10.</w:t>
            </w:r>
            <w:r w:rsidRPr="009F37FB">
              <w:rPr>
                <w:rStyle w:val="InstructionsTabelleberschrift"/>
                <w:rFonts w:ascii="Times New Roman" w:eastAsia="Times New Roman" w:hAnsi="Times New Roman"/>
                <w:color w:val="000000"/>
                <w:kern w:val="0"/>
                <w:sz w:val="22"/>
                <w:u w:val="none"/>
                <w:lang w:eastAsia="ro-MD"/>
                <w14:ligatures w14:val="none"/>
              </w:rPr>
              <w:tab/>
              <w:t>Expuneri în stare de nerambursare</w:t>
            </w:r>
          </w:p>
          <w:p w14:paraId="55D11E0F"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334F45B4"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5C382126" w14:textId="5FC21292"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038610DE" w14:textId="59BC55E7"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34DF809B"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0171</w:t>
            </w:r>
          </w:p>
        </w:tc>
        <w:tc>
          <w:tcPr>
            <w:tcW w:w="3534" w:type="pct"/>
            <w:tcBorders>
              <w:top w:val="single" w:sz="4" w:space="0" w:color="auto"/>
              <w:left w:val="single" w:sz="4" w:space="0" w:color="auto"/>
              <w:bottom w:val="single" w:sz="4" w:space="0" w:color="auto"/>
              <w:right w:val="single" w:sz="4" w:space="0" w:color="auto"/>
            </w:tcBorders>
            <w:hideMark/>
          </w:tcPr>
          <w:p w14:paraId="7D5592B8" w14:textId="77777777"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1.1.1.1.11a   Expuneri din datorii subordonate</w:t>
            </w:r>
          </w:p>
          <w:p w14:paraId="56EAA9EF" w14:textId="77777777"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564B6973"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29386592" w14:textId="3A43CE3A"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1561F465" w14:textId="739D6608"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4941BC5C"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0180</w:t>
            </w:r>
          </w:p>
        </w:tc>
        <w:tc>
          <w:tcPr>
            <w:tcW w:w="3534" w:type="pct"/>
            <w:tcBorders>
              <w:top w:val="single" w:sz="4" w:space="0" w:color="auto"/>
              <w:left w:val="single" w:sz="4" w:space="0" w:color="auto"/>
              <w:bottom w:val="single" w:sz="4" w:space="0" w:color="auto"/>
              <w:right w:val="single" w:sz="4" w:space="0" w:color="auto"/>
            </w:tcBorders>
            <w:hideMark/>
          </w:tcPr>
          <w:p w14:paraId="79E3F999" w14:textId="5DA0ADAD"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1.1.1.1.12.</w:t>
            </w:r>
            <w:r w:rsidRPr="009F37FB">
              <w:rPr>
                <w:rStyle w:val="InstructionsTabelleberschrift"/>
                <w:rFonts w:ascii="Times New Roman" w:eastAsia="Times New Roman" w:hAnsi="Times New Roman"/>
                <w:color w:val="000000"/>
                <w:kern w:val="0"/>
                <w:sz w:val="22"/>
                <w:u w:val="none"/>
                <w:lang w:eastAsia="ro-MD"/>
                <w14:ligatures w14:val="none"/>
              </w:rPr>
              <w:tab/>
              <w:t>Obligațiuni garantate</w:t>
            </w:r>
          </w:p>
          <w:p w14:paraId="39EB5D2A"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33C1D05A" w14:textId="085C14F2" w:rsidR="00D5130B"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7860327F" w14:textId="3CBBB6AE"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507A6B1A" w14:textId="1D7E1A11"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69E97BE3"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0190</w:t>
            </w:r>
          </w:p>
        </w:tc>
        <w:tc>
          <w:tcPr>
            <w:tcW w:w="3534" w:type="pct"/>
            <w:tcBorders>
              <w:top w:val="single" w:sz="4" w:space="0" w:color="auto"/>
              <w:left w:val="single" w:sz="4" w:space="0" w:color="auto"/>
              <w:bottom w:val="single" w:sz="4" w:space="0" w:color="auto"/>
              <w:right w:val="single" w:sz="4" w:space="0" w:color="auto"/>
            </w:tcBorders>
            <w:hideMark/>
          </w:tcPr>
          <w:p w14:paraId="3D42B252" w14:textId="6AD9F294"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1.1.1.1.13.</w:t>
            </w:r>
            <w:r w:rsidRPr="009F37FB">
              <w:rPr>
                <w:rStyle w:val="InstructionsTabelleberschrift"/>
                <w:rFonts w:ascii="Times New Roman" w:eastAsia="Times New Roman" w:hAnsi="Times New Roman"/>
                <w:color w:val="000000"/>
                <w:kern w:val="0"/>
                <w:sz w:val="22"/>
                <w:u w:val="none"/>
                <w:lang w:eastAsia="ro-MD"/>
                <w14:ligatures w14:val="none"/>
              </w:rPr>
              <w:tab/>
              <w:t xml:space="preserve">Creanțe asupra </w:t>
            </w:r>
            <w:r w:rsidR="008619D0">
              <w:rPr>
                <w:rStyle w:val="InstructionsTabelleberschrift"/>
                <w:rFonts w:ascii="Times New Roman" w:eastAsia="Times New Roman" w:hAnsi="Times New Roman"/>
                <w:color w:val="000000"/>
                <w:kern w:val="0"/>
                <w:sz w:val="22"/>
                <w:u w:val="none"/>
                <w:lang w:eastAsia="ro-MD"/>
                <w14:ligatures w14:val="none"/>
              </w:rPr>
              <w:t>bănci</w:t>
            </w:r>
            <w:r w:rsidRPr="009F37FB">
              <w:rPr>
                <w:rStyle w:val="InstructionsTabelleberschrift"/>
                <w:rFonts w:ascii="Times New Roman" w:eastAsia="Times New Roman" w:hAnsi="Times New Roman"/>
                <w:color w:val="000000"/>
                <w:kern w:val="0"/>
                <w:sz w:val="22"/>
                <w:u w:val="none"/>
                <w:lang w:eastAsia="ro-MD"/>
                <w14:ligatures w14:val="none"/>
              </w:rPr>
              <w:t>lor și societăților cu o evaluare de credit pe termen scurt</w:t>
            </w:r>
          </w:p>
          <w:p w14:paraId="42BFBB1F"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451C13FC"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09BAAF42" w14:textId="2D62DF45"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4DB3012A" w14:textId="59E2297A"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036BB24B"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0200</w:t>
            </w:r>
          </w:p>
        </w:tc>
        <w:tc>
          <w:tcPr>
            <w:tcW w:w="3534" w:type="pct"/>
            <w:tcBorders>
              <w:top w:val="single" w:sz="4" w:space="0" w:color="auto"/>
              <w:left w:val="single" w:sz="4" w:space="0" w:color="auto"/>
              <w:bottom w:val="single" w:sz="4" w:space="0" w:color="auto"/>
              <w:right w:val="single" w:sz="4" w:space="0" w:color="auto"/>
            </w:tcBorders>
            <w:hideMark/>
          </w:tcPr>
          <w:p w14:paraId="55A3A5A9" w14:textId="74393E4A" w:rsidR="00D5130B" w:rsidRPr="009F37FB" w:rsidRDefault="00D5130B" w:rsidP="009F37FB">
            <w:pPr>
              <w:spacing w:after="0"/>
              <w:rPr>
                <w:rStyle w:val="FormatvorlageInstructionsTabelleText"/>
                <w:rFonts w:ascii="Times New Roman" w:eastAsia="Times New Roman" w:hAnsi="Times New Roman"/>
                <w:color w:val="000000"/>
                <w:kern w:val="0"/>
                <w:sz w:val="22"/>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1.1.1.1.14.</w:t>
            </w:r>
            <w:r w:rsidRPr="009F37FB">
              <w:rPr>
                <w:rStyle w:val="InstructionsTabelleberschrift"/>
                <w:rFonts w:ascii="Times New Roman" w:eastAsia="Times New Roman" w:hAnsi="Times New Roman"/>
                <w:color w:val="000000"/>
                <w:kern w:val="0"/>
                <w:sz w:val="22"/>
                <w:u w:val="none"/>
                <w:lang w:eastAsia="ro-MD"/>
                <w14:ligatures w14:val="none"/>
              </w:rPr>
              <w:tab/>
              <w:t>Organisme de plasament colectiv (OPC)</w:t>
            </w:r>
          </w:p>
          <w:p w14:paraId="02172A00"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2C37609C"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545E177E" w14:textId="6137940B"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34E7074C" w14:textId="38B82560"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674086D1"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0210</w:t>
            </w:r>
          </w:p>
        </w:tc>
        <w:tc>
          <w:tcPr>
            <w:tcW w:w="3534" w:type="pct"/>
            <w:tcBorders>
              <w:top w:val="single" w:sz="4" w:space="0" w:color="auto"/>
              <w:left w:val="single" w:sz="4" w:space="0" w:color="auto"/>
              <w:bottom w:val="single" w:sz="4" w:space="0" w:color="auto"/>
              <w:right w:val="single" w:sz="4" w:space="0" w:color="auto"/>
            </w:tcBorders>
            <w:hideMark/>
          </w:tcPr>
          <w:p w14:paraId="3180F99C" w14:textId="5317984A"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1.1.1.1.15.</w:t>
            </w:r>
            <w:r w:rsidRPr="009F37FB">
              <w:rPr>
                <w:rStyle w:val="InstructionsTabelleberschrift"/>
                <w:rFonts w:ascii="Times New Roman" w:eastAsia="Times New Roman" w:hAnsi="Times New Roman"/>
                <w:color w:val="000000"/>
                <w:kern w:val="0"/>
                <w:sz w:val="22"/>
                <w:u w:val="none"/>
                <w:lang w:eastAsia="ro-MD"/>
                <w14:ligatures w14:val="none"/>
              </w:rPr>
              <w:tab/>
              <w:t>Titluri de capital</w:t>
            </w:r>
          </w:p>
          <w:p w14:paraId="3BF4AEE9" w14:textId="77777777" w:rsidR="00D5130B" w:rsidRPr="003F20AD"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0E96A3EA"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0B7E9D3C" w14:textId="638208C0"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5A9E8E07" w14:textId="1362B39B"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1E0FC29B"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0211</w:t>
            </w:r>
          </w:p>
        </w:tc>
        <w:tc>
          <w:tcPr>
            <w:tcW w:w="3534" w:type="pct"/>
            <w:tcBorders>
              <w:top w:val="single" w:sz="4" w:space="0" w:color="auto"/>
              <w:left w:val="single" w:sz="4" w:space="0" w:color="auto"/>
              <w:bottom w:val="single" w:sz="4" w:space="0" w:color="auto"/>
              <w:right w:val="single" w:sz="4" w:space="0" w:color="auto"/>
            </w:tcBorders>
            <w:hideMark/>
          </w:tcPr>
          <w:p w14:paraId="5DA97F89" w14:textId="4B3A2F04"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1.1.1.1.16.</w:t>
            </w:r>
            <w:r w:rsidRPr="009F37FB">
              <w:rPr>
                <w:rStyle w:val="InstructionsTabelleberschrift"/>
                <w:rFonts w:ascii="Times New Roman" w:eastAsia="Times New Roman" w:hAnsi="Times New Roman"/>
                <w:color w:val="000000"/>
                <w:kern w:val="0"/>
                <w:sz w:val="22"/>
                <w:u w:val="none"/>
                <w:lang w:eastAsia="ro-MD"/>
                <w14:ligatures w14:val="none"/>
              </w:rPr>
              <w:tab/>
              <w:t>Alte elemente</w:t>
            </w:r>
          </w:p>
          <w:p w14:paraId="4A8E92B2" w14:textId="77777777"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SA</w:t>
            </w:r>
          </w:p>
        </w:tc>
        <w:tc>
          <w:tcPr>
            <w:tcW w:w="531" w:type="pct"/>
          </w:tcPr>
          <w:p w14:paraId="5CC0D81A"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4C910C9C" w14:textId="441B0CA4"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75D06BD6" w14:textId="739DAB90"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0FBB9ACE"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lastRenderedPageBreak/>
              <w:t>0212</w:t>
            </w:r>
          </w:p>
        </w:tc>
        <w:tc>
          <w:tcPr>
            <w:tcW w:w="3534" w:type="pct"/>
            <w:tcBorders>
              <w:top w:val="single" w:sz="4" w:space="0" w:color="auto"/>
              <w:left w:val="single" w:sz="4" w:space="0" w:color="auto"/>
              <w:bottom w:val="single" w:sz="4" w:space="0" w:color="auto"/>
              <w:right w:val="single" w:sz="4" w:space="0" w:color="auto"/>
            </w:tcBorders>
            <w:hideMark/>
          </w:tcPr>
          <w:p w14:paraId="2B2E98C5" w14:textId="47B5548B"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1.1.1.1.16.1.</w:t>
            </w:r>
            <w:r w:rsidRPr="009F37FB">
              <w:rPr>
                <w:rStyle w:val="InstructionsTabelleberschrift"/>
                <w:rFonts w:ascii="Times New Roman" w:eastAsia="Times New Roman" w:hAnsi="Times New Roman"/>
                <w:color w:val="000000"/>
                <w:kern w:val="0"/>
                <w:sz w:val="22"/>
                <w:u w:val="none"/>
                <w:lang w:eastAsia="ro-MD"/>
                <w14:ligatures w14:val="none"/>
              </w:rPr>
              <w:tab/>
              <w:t xml:space="preserve">Din care: programe informatice contabilizate drept </w:t>
            </w:r>
            <w:r w:rsidRPr="00EA59DC">
              <w:rPr>
                <w:rFonts w:ascii="Times New Roman" w:eastAsia="Times New Roman" w:hAnsi="Times New Roman" w:cs="Times New Roman"/>
                <w:b/>
                <w:bCs/>
                <w:color w:val="000000"/>
                <w:kern w:val="0"/>
                <w:lang w:eastAsia="ro-MD"/>
                <w14:ligatures w14:val="none"/>
              </w:rPr>
              <w:t>imobilizări</w:t>
            </w:r>
            <w:r w:rsidRPr="00EA59DC">
              <w:rPr>
                <w:rStyle w:val="InstructionsTabelleberschrift"/>
                <w:rFonts w:ascii="Times New Roman" w:eastAsia="Times New Roman" w:hAnsi="Times New Roman"/>
                <w:b w:val="0"/>
                <w:color w:val="000000"/>
                <w:kern w:val="0"/>
                <w:sz w:val="22"/>
                <w:u w:val="none"/>
                <w:lang w:eastAsia="ro-MD"/>
                <w14:ligatures w14:val="none"/>
              </w:rPr>
              <w:t xml:space="preserve"> </w:t>
            </w:r>
            <w:r w:rsidRPr="009F37FB">
              <w:rPr>
                <w:rStyle w:val="InstructionsTabelleberschrift"/>
                <w:rFonts w:ascii="Times New Roman" w:eastAsia="Times New Roman" w:hAnsi="Times New Roman"/>
                <w:color w:val="000000"/>
                <w:kern w:val="0"/>
                <w:sz w:val="22"/>
                <w:u w:val="none"/>
                <w:lang w:eastAsia="ro-MD"/>
                <w14:ligatures w14:val="none"/>
              </w:rPr>
              <w:t>necorporale</w:t>
            </w:r>
          </w:p>
          <w:p w14:paraId="35A77F6E" w14:textId="2D1CA870"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 xml:space="preserve">Cuantumul ponderat la risc al expunerilor aferent acelei părți din programele informatice contabilizate drept </w:t>
            </w:r>
            <w:r>
              <w:rPr>
                <w:rFonts w:ascii="Times New Roman" w:eastAsia="Times New Roman" w:hAnsi="Times New Roman" w:cs="Times New Roman"/>
                <w:color w:val="000000"/>
                <w:kern w:val="0"/>
                <w:lang w:eastAsia="ro-MD"/>
                <w14:ligatures w14:val="none"/>
              </w:rPr>
              <w:t>imobilizări</w:t>
            </w:r>
            <w:r w:rsidRPr="003F20AD">
              <w:rPr>
                <w:rStyle w:val="FormatvorlageInstructionsTabelleText"/>
                <w:rFonts w:ascii="Times New Roman" w:eastAsia="Times New Roman" w:hAnsi="Times New Roman"/>
                <w:bCs w:val="0"/>
                <w:color w:val="000000"/>
                <w:kern w:val="0"/>
                <w:sz w:val="22"/>
                <w:lang w:eastAsia="ro-MD"/>
                <w14:ligatures w14:val="none"/>
              </w:rPr>
              <w:t xml:space="preserve"> necorporale care nu este dedusă din elementele de fonduri proprii de nivel 1 de bază în conformitate cu </w:t>
            </w:r>
            <w:r w:rsidRPr="00680511">
              <w:rPr>
                <w:rFonts w:ascii="Times New Roman" w:hAnsi="Times New Roman" w:cs="Times New Roman"/>
              </w:rPr>
              <w:t>punctul 3</w:t>
            </w:r>
            <w:r>
              <w:rPr>
                <w:rFonts w:ascii="Times New Roman" w:hAnsi="Times New Roman" w:cs="Times New Roman"/>
              </w:rPr>
              <w:t xml:space="preserve">0 </w:t>
            </w:r>
            <w:proofErr w:type="spellStart"/>
            <w:r>
              <w:rPr>
                <w:rFonts w:ascii="Times New Roman" w:hAnsi="Times New Roman" w:cs="Times New Roman"/>
              </w:rPr>
              <w:t>subpct</w:t>
            </w:r>
            <w:proofErr w:type="spellEnd"/>
            <w:r>
              <w:rPr>
                <w:rFonts w:ascii="Times New Roman" w:hAnsi="Times New Roman" w:cs="Times New Roman"/>
              </w:rPr>
              <w:t>. 2)</w:t>
            </w:r>
            <w:r w:rsidRPr="00680511">
              <w:rPr>
                <w:rFonts w:ascii="Times New Roman" w:hAnsi="Times New Roman" w:cs="Times New Roman"/>
              </w:rPr>
              <w:t xml:space="preserve"> din Regulamentul nr.109/2018</w:t>
            </w:r>
            <w:r w:rsidRPr="003F20AD">
              <w:rPr>
                <w:rStyle w:val="FormatvorlageInstructionsTabelleText"/>
                <w:rFonts w:ascii="Times New Roman" w:eastAsia="Times New Roman" w:hAnsi="Times New Roman"/>
                <w:bCs w:val="0"/>
                <w:color w:val="000000"/>
                <w:kern w:val="0"/>
                <w:sz w:val="22"/>
                <w:lang w:eastAsia="ro-MD"/>
                <w14:ligatures w14:val="none"/>
              </w:rPr>
              <w:t xml:space="preserve">, ci este ponderată la risc în conformitate cu </w:t>
            </w:r>
            <w:r w:rsidRPr="00680511">
              <w:rPr>
                <w:rFonts w:ascii="Times New Roman" w:hAnsi="Times New Roman" w:cs="Times New Roman"/>
              </w:rPr>
              <w:t>punctul 1</w:t>
            </w:r>
            <w:r>
              <w:rPr>
                <w:rFonts w:ascii="Times New Roman" w:hAnsi="Times New Roman" w:cs="Times New Roman"/>
              </w:rPr>
              <w:t>7</w:t>
            </w:r>
            <w:r w:rsidRPr="00680511">
              <w:rPr>
                <w:rFonts w:ascii="Times New Roman" w:hAnsi="Times New Roman" w:cs="Times New Roman"/>
              </w:rPr>
              <w:t xml:space="preserve"> din Regulamentul nr.1</w:t>
            </w:r>
            <w:r>
              <w:rPr>
                <w:rFonts w:ascii="Times New Roman" w:hAnsi="Times New Roman" w:cs="Times New Roman"/>
              </w:rPr>
              <w:t>11</w:t>
            </w:r>
            <w:r w:rsidRPr="00680511">
              <w:rPr>
                <w:rFonts w:ascii="Times New Roman" w:hAnsi="Times New Roman" w:cs="Times New Roman"/>
              </w:rPr>
              <w:t>/2018</w:t>
            </w:r>
            <w:r w:rsidRPr="003F20AD">
              <w:rPr>
                <w:rStyle w:val="FormatvorlageInstructionsTabelleText"/>
                <w:rFonts w:ascii="Times New Roman" w:eastAsia="Times New Roman" w:hAnsi="Times New Roman"/>
                <w:bCs w:val="0"/>
                <w:color w:val="000000"/>
                <w:kern w:val="0"/>
                <w:sz w:val="22"/>
                <w:lang w:eastAsia="ro-MD"/>
                <w14:ligatures w14:val="none"/>
              </w:rPr>
              <w:t>.</w:t>
            </w:r>
          </w:p>
        </w:tc>
        <w:tc>
          <w:tcPr>
            <w:tcW w:w="531" w:type="pct"/>
          </w:tcPr>
          <w:p w14:paraId="49A4C375" w14:textId="77777777" w:rsidR="00D5130B" w:rsidRDefault="00D5130B" w:rsidP="009F37FB">
            <w:pPr>
              <w:spacing w:after="0"/>
              <w:jc w:val="center"/>
              <w:rPr>
                <w:rStyle w:val="InstructionsTabelleberschrift"/>
                <w:rFonts w:ascii="Times New Roman" w:eastAsia="Times New Roman" w:hAnsi="Times New Roman"/>
                <w:kern w:val="0"/>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0327E118" w14:textId="6D2F4631" w:rsidR="00D5130B" w:rsidRDefault="00D5130B" w:rsidP="009F37FB">
            <w:pPr>
              <w:spacing w:after="0"/>
              <w:jc w:val="center"/>
              <w:rPr>
                <w:rStyle w:val="InstructionsTabelleberschrift"/>
                <w:rFonts w:ascii="Times New Roman" w:eastAsia="Times New Roman" w:hAnsi="Times New Roman"/>
                <w:kern w:val="0"/>
                <w:lang w:eastAsia="ro-MD"/>
                <w14:ligatures w14:val="none"/>
              </w:rPr>
            </w:pPr>
          </w:p>
          <w:p w14:paraId="02CBACED" w14:textId="12D4BA7D"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74076C65" w14:textId="5AB5AC14"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57C5D884"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0240</w:t>
            </w:r>
          </w:p>
        </w:tc>
        <w:tc>
          <w:tcPr>
            <w:tcW w:w="3534" w:type="pct"/>
            <w:tcBorders>
              <w:top w:val="single" w:sz="4" w:space="0" w:color="auto"/>
              <w:left w:val="single" w:sz="4" w:space="0" w:color="auto"/>
              <w:bottom w:val="single" w:sz="4" w:space="0" w:color="auto"/>
              <w:right w:val="single" w:sz="4" w:space="0" w:color="auto"/>
            </w:tcBorders>
            <w:hideMark/>
          </w:tcPr>
          <w:p w14:paraId="5C102FD2" w14:textId="04B0D9F3" w:rsidR="00D5130B" w:rsidRPr="00B603AB" w:rsidRDefault="00D5130B" w:rsidP="009F37FB">
            <w:pPr>
              <w:spacing w:after="0"/>
              <w:rPr>
                <w:rStyle w:val="FormatvorlageInstructionsTabelleText"/>
                <w:rFonts w:ascii="Times New Roman" w:eastAsia="Times New Roman" w:hAnsi="Times New Roman"/>
                <w:color w:val="000000"/>
                <w:kern w:val="0"/>
                <w:sz w:val="22"/>
                <w:lang w:eastAsia="ro-MD"/>
                <w14:ligatures w14:val="none"/>
              </w:rPr>
            </w:pPr>
            <w:r w:rsidRPr="00B603AB">
              <w:rPr>
                <w:rStyle w:val="InstructionsTabelleberschrift"/>
                <w:rFonts w:ascii="Times New Roman" w:eastAsia="Times New Roman" w:hAnsi="Times New Roman"/>
                <w:color w:val="000000"/>
                <w:kern w:val="0"/>
                <w:sz w:val="22"/>
                <w:u w:val="none"/>
                <w:lang w:eastAsia="ro-MD"/>
                <w14:ligatures w14:val="none"/>
              </w:rPr>
              <w:t>1.1.2.</w:t>
            </w:r>
            <w:r w:rsidRPr="00B603AB">
              <w:rPr>
                <w:rStyle w:val="InstructionsTabelleberschrift"/>
                <w:rFonts w:ascii="Times New Roman" w:eastAsia="Times New Roman" w:hAnsi="Times New Roman"/>
                <w:color w:val="000000"/>
                <w:kern w:val="0"/>
                <w:sz w:val="22"/>
                <w:u w:val="none"/>
                <w:lang w:eastAsia="ro-MD"/>
                <w14:ligatures w14:val="none"/>
              </w:rPr>
              <w:tab/>
              <w:t xml:space="preserve">Abordarea bazată pe modele interne de rating (IRB) </w:t>
            </w:r>
          </w:p>
        </w:tc>
        <w:tc>
          <w:tcPr>
            <w:tcW w:w="531" w:type="pct"/>
          </w:tcPr>
          <w:p w14:paraId="68CA903F" w14:textId="77777777"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06976D03" w14:textId="50EB2A82"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11E62A53" w14:textId="7A3DCC3A"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5BD6481D"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0241</w:t>
            </w:r>
          </w:p>
        </w:tc>
        <w:tc>
          <w:tcPr>
            <w:tcW w:w="3534" w:type="pct"/>
            <w:tcBorders>
              <w:top w:val="single" w:sz="4" w:space="0" w:color="auto"/>
              <w:left w:val="single" w:sz="4" w:space="0" w:color="auto"/>
              <w:bottom w:val="single" w:sz="4" w:space="0" w:color="auto"/>
              <w:right w:val="single" w:sz="4" w:space="0" w:color="auto"/>
            </w:tcBorders>
            <w:hideMark/>
          </w:tcPr>
          <w:p w14:paraId="1F898F79" w14:textId="6C72CF01" w:rsidR="00D5130B" w:rsidRPr="009F37FB" w:rsidRDefault="00D5130B" w:rsidP="009F37FB">
            <w:pPr>
              <w:spacing w:after="0" w:line="240" w:lineRule="auto"/>
              <w:rPr>
                <w:rFonts w:ascii="Times New Roman" w:eastAsia="Times New Roman" w:hAnsi="Times New Roman" w:cs="Times New Roman"/>
                <w:b/>
                <w:bCs/>
                <w:color w:val="000000"/>
                <w:kern w:val="0"/>
                <w:lang w:eastAsia="ro-MD"/>
                <w14:ligatures w14:val="none"/>
              </w:rPr>
            </w:pPr>
            <w:r w:rsidRPr="009F37FB">
              <w:rPr>
                <w:rFonts w:ascii="Times New Roman" w:eastAsia="Times New Roman" w:hAnsi="Times New Roman" w:cs="Times New Roman"/>
                <w:b/>
                <w:bCs/>
                <w:color w:val="000000"/>
                <w:kern w:val="0"/>
                <w:lang w:eastAsia="ro-MD"/>
                <w14:ligatures w14:val="none"/>
              </w:rPr>
              <w:t>1.1.2*  Din care: cerințe prudențiale suplimentare mai stricte pe baza punctelor 134 – 141 a Regulamentului privind tratamentul riscului de credit pentru bănci potrivit abordării bazate pe modele interne de rating</w:t>
            </w:r>
            <w:r w:rsidRPr="009F37FB">
              <w:rPr>
                <w:rFonts w:ascii="Times New Roman" w:eastAsia="Times New Roman" w:hAnsi="Times New Roman" w:cs="Times New Roman"/>
                <w:b/>
                <w:bCs/>
                <w:color w:val="000000"/>
                <w:kern w:val="0"/>
                <w:highlight w:val="yellow"/>
                <w:lang w:eastAsia="ro-MD"/>
                <w14:ligatures w14:val="none"/>
              </w:rPr>
              <w:t xml:space="preserve"> </w:t>
            </w:r>
          </w:p>
          <w:p w14:paraId="077440CA" w14:textId="4AF9A1E7"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Pr>
                <w:rFonts w:ascii="Times New Roman" w:eastAsia="Times New Roman" w:hAnsi="Times New Roman" w:cs="Times New Roman"/>
                <w:color w:val="000000"/>
                <w:kern w:val="0"/>
                <w:lang w:eastAsia="ro-MD"/>
                <w14:ligatures w14:val="none"/>
              </w:rPr>
              <w:t>Bănci</w:t>
            </w:r>
            <w:r w:rsidRPr="00260C32">
              <w:rPr>
                <w:rFonts w:ascii="Times New Roman" w:eastAsia="Times New Roman" w:hAnsi="Times New Roman" w:cs="Times New Roman"/>
                <w:color w:val="000000"/>
                <w:kern w:val="0"/>
                <w:lang w:eastAsia="ro-MD"/>
                <w14:ligatures w14:val="none"/>
              </w:rPr>
              <w:t xml:space="preserve">le raportează cuantumurile suplimentare ale expunerii la risc necesare pentru respectarea cerințelor prudențiale mai stricte comunicate </w:t>
            </w:r>
            <w:r w:rsidRPr="002B024E">
              <w:rPr>
                <w:rFonts w:ascii="Times New Roman" w:eastAsia="Times New Roman" w:hAnsi="Times New Roman" w:cs="Times New Roman"/>
                <w:color w:val="000000"/>
                <w:kern w:val="0"/>
                <w:lang w:eastAsia="ro-MD"/>
                <w14:ligatures w14:val="none"/>
              </w:rPr>
              <w:t>băncilor, în conformitate cu punctul 140 a Regulamentului privind tratamentul riscului de credit pentru bănci potrivit abordării bazate pe modele interne de rating.</w:t>
            </w:r>
          </w:p>
        </w:tc>
        <w:tc>
          <w:tcPr>
            <w:tcW w:w="531" w:type="pct"/>
          </w:tcPr>
          <w:p w14:paraId="0614122D" w14:textId="77777777" w:rsidR="00D5130B" w:rsidRPr="00260C32" w:rsidRDefault="00D5130B" w:rsidP="009F37FB">
            <w:pPr>
              <w:spacing w:after="0" w:line="240" w:lineRule="auto"/>
              <w:jc w:val="center"/>
              <w:rPr>
                <w:rFonts w:ascii="Times New Roman" w:eastAsia="Times New Roman" w:hAnsi="Times New Roman" w:cs="Times New Roman"/>
                <w:color w:val="000000"/>
                <w:kern w:val="0"/>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2FD0B97E" w14:textId="0E42B0F5" w:rsidR="00D5130B" w:rsidRPr="00AA48A4" w:rsidRDefault="00811389" w:rsidP="009F37FB">
            <w:pPr>
              <w:spacing w:after="0" w:line="240" w:lineRule="auto"/>
              <w:jc w:val="center"/>
              <w:rPr>
                <w:rFonts w:ascii="Times New Roman" w:eastAsia="Times New Roman" w:hAnsi="Times New Roman" w:cs="Times New Roman"/>
                <w:color w:val="000000"/>
                <w:kern w:val="0"/>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D5130B" w:rsidRPr="002A677E" w14:paraId="01C608BA" w14:textId="7568EA51"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45F27AAF"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0242</w:t>
            </w:r>
          </w:p>
        </w:tc>
        <w:tc>
          <w:tcPr>
            <w:tcW w:w="3534" w:type="pct"/>
            <w:tcBorders>
              <w:top w:val="single" w:sz="4" w:space="0" w:color="auto"/>
              <w:left w:val="single" w:sz="4" w:space="0" w:color="auto"/>
              <w:bottom w:val="single" w:sz="4" w:space="0" w:color="auto"/>
              <w:right w:val="single" w:sz="4" w:space="0" w:color="auto"/>
            </w:tcBorders>
            <w:hideMark/>
          </w:tcPr>
          <w:p w14:paraId="7C11BBD0" w14:textId="4CEEF294" w:rsidR="00D5130B" w:rsidRPr="009F37FB" w:rsidRDefault="00D5130B" w:rsidP="009F37FB">
            <w:pPr>
              <w:spacing w:after="0" w:line="240" w:lineRule="auto"/>
              <w:rPr>
                <w:rFonts w:ascii="Times New Roman" w:eastAsia="Times New Roman" w:hAnsi="Times New Roman" w:cs="Times New Roman"/>
                <w:b/>
                <w:bCs/>
                <w:color w:val="000000"/>
                <w:kern w:val="0"/>
                <w:lang w:val="ro-RO" w:eastAsia="ro-MD"/>
                <w14:ligatures w14:val="none"/>
              </w:rPr>
            </w:pPr>
            <w:r w:rsidRPr="009F37FB">
              <w:rPr>
                <w:rFonts w:ascii="Times New Roman" w:eastAsia="Times New Roman" w:hAnsi="Times New Roman" w:cs="Times New Roman"/>
                <w:b/>
                <w:bCs/>
                <w:color w:val="000000"/>
                <w:kern w:val="0"/>
                <w:lang w:eastAsia="ro-MD"/>
                <w14:ligatures w14:val="none"/>
              </w:rPr>
              <w:t>1.1.2**  Din care: cerințe prudențiale suplimentare mai stricte pe baza punctelor 65 - 68</w:t>
            </w:r>
            <w:r w:rsidRPr="009F37FB">
              <w:rPr>
                <w:rFonts w:ascii="Times New Roman" w:eastAsia="Times New Roman" w:hAnsi="Times New Roman" w:cs="Times New Roman"/>
                <w:b/>
                <w:bCs/>
                <w:color w:val="000000"/>
                <w:kern w:val="0"/>
                <w:vertAlign w:val="superscript"/>
                <w:lang w:eastAsia="ro-MD"/>
                <w14:ligatures w14:val="none"/>
              </w:rPr>
              <w:t>9</w:t>
            </w:r>
            <w:r w:rsidRPr="009F37FB">
              <w:rPr>
                <w:rFonts w:ascii="Times New Roman" w:eastAsia="Times New Roman" w:hAnsi="Times New Roman" w:cs="Times New Roman"/>
                <w:b/>
                <w:bCs/>
                <w:color w:val="000000"/>
                <w:kern w:val="0"/>
                <w:lang w:eastAsia="ro-MD"/>
                <w14:ligatures w14:val="none"/>
              </w:rPr>
              <w:t xml:space="preserve"> </w:t>
            </w:r>
            <w:r w:rsidRPr="00B675F3">
              <w:rPr>
                <w:rStyle w:val="FormatvorlageInstructionsTabelleText"/>
                <w:rFonts w:ascii="Times New Roman" w:hAnsi="Times New Roman"/>
                <w:b/>
                <w:bCs w:val="0"/>
                <w:color w:val="000000"/>
                <w:sz w:val="22"/>
              </w:rPr>
              <w:t>din</w:t>
            </w:r>
            <w:r w:rsidRPr="00EA59DC">
              <w:rPr>
                <w:rStyle w:val="InstructionsTabelleberschrift"/>
                <w:rFonts w:ascii="Times New Roman" w:hAnsi="Times New Roman"/>
                <w:sz w:val="22"/>
                <w:u w:val="none"/>
              </w:rPr>
              <w:t xml:space="preserve"> Regulamentul </w:t>
            </w:r>
            <w:r w:rsidRPr="00EA59DC">
              <w:rPr>
                <w:rStyle w:val="InstructionsTabelleberschrift"/>
                <w:rFonts w:ascii="Times New Roman" w:hAnsi="Times New Roman"/>
                <w:color w:val="000000"/>
                <w:sz w:val="22"/>
                <w:u w:val="none"/>
              </w:rPr>
              <w:t>nr. 111/2018</w:t>
            </w:r>
            <w:r w:rsidRPr="009F37FB">
              <w:rPr>
                <w:rStyle w:val="InstructionsTabelleberschrift"/>
                <w:rFonts w:ascii="Times New Roman" w:hAnsi="Times New Roman"/>
                <w:b w:val="0"/>
                <w:bCs w:val="0"/>
                <w:color w:val="000000"/>
                <w:sz w:val="22"/>
                <w:u w:val="none"/>
              </w:rPr>
              <w:t xml:space="preserve"> </w:t>
            </w:r>
          </w:p>
          <w:p w14:paraId="39977090" w14:textId="61BCB3B2"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Pr>
                <w:rFonts w:ascii="Times New Roman" w:eastAsia="Times New Roman" w:hAnsi="Times New Roman" w:cs="Times New Roman"/>
                <w:color w:val="000000"/>
                <w:kern w:val="0"/>
                <w:lang w:eastAsia="ro-MD"/>
                <w14:ligatures w14:val="none"/>
              </w:rPr>
              <w:t>Bănci</w:t>
            </w:r>
            <w:r w:rsidRPr="00260C32">
              <w:rPr>
                <w:rFonts w:ascii="Times New Roman" w:eastAsia="Times New Roman" w:hAnsi="Times New Roman" w:cs="Times New Roman"/>
                <w:color w:val="000000"/>
                <w:kern w:val="0"/>
                <w:lang w:eastAsia="ro-MD"/>
                <w14:ligatures w14:val="none"/>
              </w:rPr>
              <w:t xml:space="preserve">le raportează cuantumurile suplimentare ale expunerii la risc necesare pentru respectarea cerințelor prudențiale mai stricte stabilite de </w:t>
            </w:r>
            <w:r>
              <w:rPr>
                <w:rFonts w:ascii="Times New Roman" w:eastAsia="Times New Roman" w:hAnsi="Times New Roman" w:cs="Times New Roman"/>
                <w:color w:val="000000"/>
                <w:kern w:val="0"/>
                <w:lang w:eastAsia="ro-MD"/>
                <w14:ligatures w14:val="none"/>
              </w:rPr>
              <w:t xml:space="preserve">Banca Națională a </w:t>
            </w:r>
            <w:r w:rsidRPr="002B024E">
              <w:rPr>
                <w:rFonts w:ascii="Times New Roman" w:eastAsia="Times New Roman" w:hAnsi="Times New Roman" w:cs="Times New Roman"/>
                <w:color w:val="000000"/>
                <w:kern w:val="0"/>
                <w:lang w:eastAsia="ro-MD"/>
                <w14:ligatures w14:val="none"/>
              </w:rPr>
              <w:t>Moldovei, astfel cum se prevede în punctele 6</w:t>
            </w:r>
            <w:r w:rsidR="00572635">
              <w:rPr>
                <w:rFonts w:ascii="Times New Roman" w:eastAsia="Times New Roman" w:hAnsi="Times New Roman" w:cs="Times New Roman"/>
                <w:color w:val="000000"/>
                <w:kern w:val="0"/>
                <w:lang w:eastAsia="ro-MD"/>
                <w14:ligatures w14:val="none"/>
              </w:rPr>
              <w:t>8</w:t>
            </w:r>
            <w:r w:rsidR="00572635" w:rsidRPr="00EA59DC">
              <w:rPr>
                <w:rFonts w:ascii="Times New Roman" w:eastAsia="Times New Roman" w:hAnsi="Times New Roman" w:cs="Times New Roman"/>
                <w:color w:val="000000"/>
                <w:kern w:val="0"/>
                <w:vertAlign w:val="superscript"/>
                <w:lang w:eastAsia="ro-MD"/>
                <w14:ligatures w14:val="none"/>
              </w:rPr>
              <w:t>4</w:t>
            </w:r>
            <w:r w:rsidRPr="002B024E">
              <w:rPr>
                <w:rFonts w:ascii="Times New Roman" w:eastAsia="Times New Roman" w:hAnsi="Times New Roman" w:cs="Times New Roman"/>
                <w:color w:val="000000"/>
                <w:kern w:val="0"/>
                <w:lang w:eastAsia="ro-MD"/>
                <w14:ligatures w14:val="none"/>
              </w:rPr>
              <w:t xml:space="preserve"> </w:t>
            </w:r>
            <w:r w:rsidR="00572635">
              <w:rPr>
                <w:rFonts w:ascii="Times New Roman" w:eastAsia="Times New Roman" w:hAnsi="Times New Roman" w:cs="Times New Roman"/>
                <w:color w:val="000000"/>
                <w:kern w:val="0"/>
                <w:lang w:eastAsia="ro-MD"/>
                <w14:ligatures w14:val="none"/>
              </w:rPr>
              <w:t xml:space="preserve"> -</w:t>
            </w:r>
            <w:r w:rsidRPr="002B024E">
              <w:rPr>
                <w:rFonts w:ascii="Times New Roman" w:eastAsia="Times New Roman" w:hAnsi="Times New Roman" w:cs="Times New Roman"/>
                <w:color w:val="000000"/>
                <w:kern w:val="0"/>
                <w:lang w:eastAsia="ro-MD"/>
                <w14:ligatures w14:val="none"/>
              </w:rPr>
              <w:t xml:space="preserve"> 6</w:t>
            </w:r>
            <w:r w:rsidR="00572635">
              <w:rPr>
                <w:rFonts w:ascii="Times New Roman" w:eastAsia="Times New Roman" w:hAnsi="Times New Roman" w:cs="Times New Roman"/>
                <w:color w:val="000000"/>
                <w:kern w:val="0"/>
                <w:lang w:eastAsia="ro-MD"/>
                <w14:ligatures w14:val="none"/>
              </w:rPr>
              <w:t>8</w:t>
            </w:r>
            <w:r w:rsidR="00572635">
              <w:rPr>
                <w:rFonts w:ascii="Times New Roman" w:eastAsia="Times New Roman" w:hAnsi="Times New Roman" w:cs="Times New Roman"/>
                <w:color w:val="000000"/>
                <w:kern w:val="0"/>
                <w:vertAlign w:val="superscript"/>
                <w:lang w:eastAsia="ro-MD"/>
                <w14:ligatures w14:val="none"/>
              </w:rPr>
              <w:t>9</w:t>
            </w:r>
            <w:r w:rsidRPr="002B024E">
              <w:rPr>
                <w:rFonts w:ascii="Times New Roman" w:eastAsia="Times New Roman" w:hAnsi="Times New Roman" w:cs="Times New Roman"/>
                <w:color w:val="000000"/>
                <w:kern w:val="0"/>
                <w:lang w:eastAsia="ro-MD"/>
                <w14:ligatures w14:val="none"/>
              </w:rPr>
              <w:t xml:space="preserve"> din</w:t>
            </w:r>
            <w:r w:rsidRPr="008D2583">
              <w:rPr>
                <w:rStyle w:val="InstructionsTabelleberschrift"/>
                <w:rFonts w:ascii="Times New Roman" w:hAnsi="Times New Roman"/>
                <w:b w:val="0"/>
                <w:bCs w:val="0"/>
                <w:sz w:val="22"/>
                <w:u w:val="none"/>
              </w:rPr>
              <w:t xml:space="preserve"> Regulamentul </w:t>
            </w:r>
            <w:r w:rsidRPr="008D2583">
              <w:rPr>
                <w:rStyle w:val="InstructionsTabelleberschrift"/>
                <w:rFonts w:ascii="Times New Roman" w:hAnsi="Times New Roman"/>
                <w:b w:val="0"/>
                <w:bCs w:val="0"/>
                <w:color w:val="000000"/>
                <w:sz w:val="22"/>
                <w:u w:val="none"/>
              </w:rPr>
              <w:t>nr. 111/2018</w:t>
            </w:r>
            <w:r w:rsidRPr="002B024E">
              <w:rPr>
                <w:rFonts w:ascii="Times New Roman" w:eastAsia="Times New Roman" w:hAnsi="Times New Roman" w:cs="Times New Roman"/>
                <w:color w:val="000000"/>
                <w:kern w:val="0"/>
                <w:lang w:eastAsia="ro-MD"/>
                <w14:ligatures w14:val="none"/>
              </w:rPr>
              <w:t>, care sunt legate de limitarea valorii de piață eligibile a garanțiilor reale</w:t>
            </w:r>
            <w:r w:rsidR="00572635">
              <w:rPr>
                <w:rFonts w:ascii="Times New Roman" w:eastAsia="Times New Roman" w:hAnsi="Times New Roman" w:cs="Times New Roman"/>
                <w:color w:val="000000"/>
                <w:kern w:val="0"/>
                <w:lang w:eastAsia="ro-MD"/>
                <w14:ligatures w14:val="none"/>
              </w:rPr>
              <w:t>, astfel cum se prevede în punctul 70</w:t>
            </w:r>
            <w:r w:rsidR="00572635" w:rsidRPr="00EA59DC">
              <w:rPr>
                <w:rFonts w:ascii="Times New Roman" w:eastAsia="Times New Roman" w:hAnsi="Times New Roman" w:cs="Times New Roman"/>
                <w:color w:val="000000"/>
                <w:kern w:val="0"/>
                <w:vertAlign w:val="superscript"/>
                <w:lang w:eastAsia="ro-MD"/>
                <w14:ligatures w14:val="none"/>
              </w:rPr>
              <w:t>2</w:t>
            </w:r>
            <w:r w:rsidR="00572635">
              <w:rPr>
                <w:rFonts w:ascii="Times New Roman" w:eastAsia="Times New Roman" w:hAnsi="Times New Roman" w:cs="Times New Roman"/>
                <w:color w:val="000000"/>
                <w:kern w:val="0"/>
                <w:lang w:eastAsia="ro-MD"/>
                <w14:ligatures w14:val="none"/>
              </w:rPr>
              <w:t xml:space="preserve"> și 72</w:t>
            </w:r>
            <w:r w:rsidR="00572635" w:rsidRPr="00EA59DC">
              <w:rPr>
                <w:rFonts w:ascii="Times New Roman" w:eastAsia="Times New Roman" w:hAnsi="Times New Roman" w:cs="Times New Roman"/>
                <w:color w:val="000000"/>
                <w:kern w:val="0"/>
                <w:vertAlign w:val="superscript"/>
                <w:lang w:eastAsia="ro-MD"/>
                <w14:ligatures w14:val="none"/>
              </w:rPr>
              <w:t>2</w:t>
            </w:r>
            <w:r w:rsidRPr="002B024E">
              <w:rPr>
                <w:rFonts w:ascii="Times New Roman" w:eastAsia="Times New Roman" w:hAnsi="Times New Roman" w:cs="Times New Roman"/>
                <w:color w:val="000000"/>
                <w:kern w:val="0"/>
                <w:lang w:eastAsia="ro-MD"/>
                <w14:ligatures w14:val="none"/>
              </w:rPr>
              <w:t>.</w:t>
            </w:r>
          </w:p>
        </w:tc>
        <w:tc>
          <w:tcPr>
            <w:tcW w:w="531" w:type="pct"/>
          </w:tcPr>
          <w:p w14:paraId="57F4EBFF" w14:textId="77777777" w:rsidR="00D5130B" w:rsidRPr="00260C32" w:rsidRDefault="00D5130B" w:rsidP="009F37FB">
            <w:pPr>
              <w:spacing w:after="0" w:line="240" w:lineRule="auto"/>
              <w:jc w:val="center"/>
              <w:rPr>
                <w:rFonts w:ascii="Times New Roman" w:eastAsia="Times New Roman" w:hAnsi="Times New Roman" w:cs="Times New Roman"/>
                <w:color w:val="000000"/>
                <w:kern w:val="0"/>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54F21392" w14:textId="57DB73B1" w:rsidR="00D5130B" w:rsidRPr="00AA48A4" w:rsidRDefault="00811389" w:rsidP="009F37FB">
            <w:pPr>
              <w:spacing w:after="0" w:line="240" w:lineRule="auto"/>
              <w:jc w:val="center"/>
              <w:rPr>
                <w:rFonts w:ascii="Times New Roman" w:eastAsia="Times New Roman" w:hAnsi="Times New Roman" w:cs="Times New Roman"/>
                <w:color w:val="000000"/>
                <w:kern w:val="0"/>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D5130B" w:rsidRPr="002A677E" w14:paraId="59DAA88D" w14:textId="65E5A27A"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25498BD5"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0250</w:t>
            </w:r>
          </w:p>
        </w:tc>
        <w:tc>
          <w:tcPr>
            <w:tcW w:w="3534" w:type="pct"/>
            <w:tcBorders>
              <w:top w:val="single" w:sz="4" w:space="0" w:color="auto"/>
              <w:left w:val="single" w:sz="4" w:space="0" w:color="auto"/>
              <w:bottom w:val="single" w:sz="4" w:space="0" w:color="auto"/>
              <w:right w:val="single" w:sz="4" w:space="0" w:color="auto"/>
            </w:tcBorders>
            <w:hideMark/>
          </w:tcPr>
          <w:p w14:paraId="7E6F5BB7" w14:textId="77777777" w:rsidR="00D5130B" w:rsidRPr="009F37FB" w:rsidRDefault="00D5130B" w:rsidP="009F37FB">
            <w:pPr>
              <w:spacing w:after="0" w:line="240" w:lineRule="auto"/>
              <w:rPr>
                <w:rFonts w:ascii="Times New Roman" w:eastAsia="Times New Roman" w:hAnsi="Times New Roman" w:cs="Times New Roman"/>
                <w:b/>
                <w:bCs/>
                <w:color w:val="000000"/>
                <w:kern w:val="0"/>
                <w:lang w:eastAsia="ro-MD"/>
                <w14:ligatures w14:val="none"/>
              </w:rPr>
            </w:pPr>
            <w:r w:rsidRPr="009F37FB">
              <w:rPr>
                <w:rFonts w:ascii="Times New Roman" w:eastAsia="Times New Roman" w:hAnsi="Times New Roman" w:cs="Times New Roman"/>
                <w:b/>
                <w:bCs/>
                <w:color w:val="000000"/>
                <w:kern w:val="0"/>
                <w:lang w:eastAsia="ro-MD"/>
                <w14:ligatures w14:val="none"/>
              </w:rPr>
              <w:t>1.1.2.1. Abordări IRB în care nu se utilizează nici estimări proprii ale pierderii în caz de nerambursare (LGD), nici factori de conversie</w:t>
            </w:r>
          </w:p>
          <w:p w14:paraId="63EEC3CE" w14:textId="6935FF55" w:rsidR="00D5130B" w:rsidRPr="003F20AD"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2B024E">
              <w:rPr>
                <w:rFonts w:ascii="Times New Roman" w:eastAsia="Times New Roman" w:hAnsi="Times New Roman" w:cs="Times New Roman"/>
                <w:color w:val="000000"/>
                <w:kern w:val="0"/>
                <w:lang w:eastAsia="ro-MD"/>
                <w14:ligatures w14:val="none"/>
              </w:rPr>
              <w:t xml:space="preserve">Formularul CR IRB la nivelul expunerilor totale </w:t>
            </w:r>
          </w:p>
        </w:tc>
        <w:tc>
          <w:tcPr>
            <w:tcW w:w="531" w:type="pct"/>
          </w:tcPr>
          <w:p w14:paraId="49CE4ADA" w14:textId="77777777" w:rsidR="00D5130B" w:rsidRPr="00260C32" w:rsidRDefault="00D5130B" w:rsidP="009F37FB">
            <w:pPr>
              <w:spacing w:after="0" w:line="240" w:lineRule="auto"/>
              <w:jc w:val="center"/>
              <w:rPr>
                <w:rFonts w:ascii="Times New Roman" w:eastAsia="Times New Roman" w:hAnsi="Times New Roman" w:cs="Times New Roman"/>
                <w:color w:val="000000"/>
                <w:kern w:val="0"/>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35970560" w14:textId="6A0E8341" w:rsidR="00D5130B" w:rsidRPr="00260C32" w:rsidRDefault="00D5130B" w:rsidP="009F37FB">
            <w:pPr>
              <w:spacing w:after="0" w:line="240" w:lineRule="auto"/>
              <w:jc w:val="center"/>
              <w:rPr>
                <w:rFonts w:ascii="Times New Roman" w:eastAsia="Times New Roman" w:hAnsi="Times New Roman" w:cs="Times New Roman"/>
                <w:color w:val="000000"/>
                <w:kern w:val="0"/>
                <w:lang w:eastAsia="ro-MD"/>
                <w14:ligatures w14:val="none"/>
              </w:rPr>
            </w:pPr>
          </w:p>
        </w:tc>
      </w:tr>
      <w:tr w:rsidR="00D5130B" w:rsidRPr="002A677E" w14:paraId="08498472" w14:textId="7DB612A8"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34810696"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0260</w:t>
            </w:r>
          </w:p>
        </w:tc>
        <w:tc>
          <w:tcPr>
            <w:tcW w:w="3534" w:type="pct"/>
            <w:tcBorders>
              <w:top w:val="single" w:sz="4" w:space="0" w:color="auto"/>
              <w:left w:val="single" w:sz="4" w:space="0" w:color="auto"/>
              <w:bottom w:val="single" w:sz="4" w:space="0" w:color="auto"/>
              <w:right w:val="single" w:sz="4" w:space="0" w:color="auto"/>
            </w:tcBorders>
            <w:hideMark/>
          </w:tcPr>
          <w:p w14:paraId="54E66868" w14:textId="0FA5E040"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1.1.2.1.01.</w:t>
            </w:r>
            <w:r w:rsidRPr="00AA48A4">
              <w:rPr>
                <w:rStyle w:val="InstructionsTabelleberschrift"/>
                <w:rFonts w:ascii="Times New Roman" w:eastAsia="Times New Roman" w:hAnsi="Times New Roman"/>
                <w:color w:val="000000"/>
                <w:kern w:val="0"/>
                <w:sz w:val="22"/>
                <w:u w:val="none"/>
                <w:lang w:eastAsia="ro-MD"/>
                <w14:ligatures w14:val="none"/>
              </w:rPr>
              <w:tab/>
              <w:t>Administrații centrale și bănci centrale</w:t>
            </w:r>
          </w:p>
          <w:p w14:paraId="2640354D" w14:textId="33BFE7C9" w:rsidR="00D5130B" w:rsidRPr="006B1CE5" w:rsidRDefault="00D5130B" w:rsidP="009F37FB">
            <w:pPr>
              <w:spacing w:after="0" w:line="240" w:lineRule="auto"/>
              <w:rPr>
                <w:rStyle w:val="FormatvorlageInstructionsTabelleText"/>
                <w:rFonts w:ascii="Times New Roman" w:eastAsia="Times New Roman" w:hAnsi="Times New Roman"/>
                <w:bCs w:val="0"/>
                <w:color w:val="000000"/>
                <w:kern w:val="0"/>
                <w:sz w:val="22"/>
                <w:lang w:val="it-CH"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2FCD6E84" w14:textId="77777777" w:rsidR="00D5130B"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4CF6AE9E" w14:textId="219DCCFD"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14:paraId="58581D1A" w14:textId="2E95B958"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076AC91B"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0261</w:t>
            </w:r>
          </w:p>
        </w:tc>
        <w:tc>
          <w:tcPr>
            <w:tcW w:w="3534" w:type="pct"/>
            <w:tcBorders>
              <w:top w:val="single" w:sz="4" w:space="0" w:color="auto"/>
              <w:left w:val="single" w:sz="4" w:space="0" w:color="auto"/>
              <w:bottom w:val="single" w:sz="4" w:space="0" w:color="auto"/>
              <w:right w:val="single" w:sz="4" w:space="0" w:color="auto"/>
            </w:tcBorders>
            <w:hideMark/>
          </w:tcPr>
          <w:p w14:paraId="26B1D36C" w14:textId="77777777"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1.1.2.1.01a</w:t>
            </w:r>
            <w:r w:rsidRPr="00AA48A4">
              <w:rPr>
                <w:rFonts w:ascii="Times New Roman" w:eastAsia="Times New Roman" w:hAnsi="Times New Roman" w:cs="Times New Roman"/>
                <w:color w:val="000000"/>
                <w:kern w:val="0"/>
                <w:lang w:eastAsia="ro-MD"/>
                <w14:ligatures w14:val="none"/>
              </w:rPr>
              <w:tab/>
            </w:r>
            <w:r w:rsidRPr="00AA48A4">
              <w:rPr>
                <w:rStyle w:val="InstructionsTabelleberschrift"/>
                <w:rFonts w:ascii="Times New Roman" w:eastAsia="Times New Roman" w:hAnsi="Times New Roman"/>
                <w:color w:val="000000"/>
                <w:kern w:val="0"/>
                <w:sz w:val="22"/>
                <w:u w:val="none"/>
                <w:lang w:eastAsia="ro-MD"/>
                <w14:ligatures w14:val="none"/>
              </w:rPr>
              <w:t>Administrații regionale sau autorități locale</w:t>
            </w:r>
          </w:p>
          <w:p w14:paraId="0F089C12" w14:textId="3CF54D09" w:rsidR="00D5130B" w:rsidRPr="00AA48A4"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0EF7C041" w14:textId="77777777" w:rsidR="00D5130B"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40F4258F" w14:textId="3DCDB7BD"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14:paraId="26F72294" w14:textId="7151A874"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476161FC"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0262</w:t>
            </w:r>
          </w:p>
        </w:tc>
        <w:tc>
          <w:tcPr>
            <w:tcW w:w="3534" w:type="pct"/>
            <w:tcBorders>
              <w:top w:val="single" w:sz="4" w:space="0" w:color="auto"/>
              <w:left w:val="single" w:sz="4" w:space="0" w:color="auto"/>
              <w:bottom w:val="single" w:sz="4" w:space="0" w:color="auto"/>
              <w:right w:val="single" w:sz="4" w:space="0" w:color="auto"/>
            </w:tcBorders>
            <w:hideMark/>
          </w:tcPr>
          <w:p w14:paraId="7DF8DDD4" w14:textId="77777777"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1.1.2.1.01b</w:t>
            </w:r>
            <w:r w:rsidRPr="00AA48A4">
              <w:rPr>
                <w:rFonts w:ascii="Times New Roman" w:eastAsia="Times New Roman" w:hAnsi="Times New Roman" w:cs="Times New Roman"/>
                <w:color w:val="000000"/>
                <w:kern w:val="0"/>
                <w:lang w:eastAsia="ro-MD"/>
                <w14:ligatures w14:val="none"/>
              </w:rPr>
              <w:tab/>
            </w:r>
            <w:r w:rsidRPr="00AA48A4">
              <w:rPr>
                <w:rStyle w:val="InstructionsTabelleberschrift"/>
                <w:rFonts w:ascii="Times New Roman" w:eastAsia="Times New Roman" w:hAnsi="Times New Roman"/>
                <w:color w:val="000000"/>
                <w:kern w:val="0"/>
                <w:sz w:val="22"/>
                <w:u w:val="none"/>
                <w:lang w:eastAsia="ro-MD"/>
                <w14:ligatures w14:val="none"/>
              </w:rPr>
              <w:t>Entități din sectorul public</w:t>
            </w:r>
          </w:p>
          <w:p w14:paraId="4F6313B0" w14:textId="0D92476E" w:rsidR="00D5130B" w:rsidRPr="00AA48A4"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30B60BDB" w14:textId="77777777" w:rsidR="00D5130B"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64B84B3F" w14:textId="180E9F7C"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21BD32E4" w14:textId="0D2B9950"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1F640DC"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0270</w:t>
            </w:r>
          </w:p>
        </w:tc>
        <w:tc>
          <w:tcPr>
            <w:tcW w:w="3534" w:type="pct"/>
            <w:tcBorders>
              <w:top w:val="single" w:sz="4" w:space="0" w:color="auto"/>
              <w:left w:val="single" w:sz="4" w:space="0" w:color="auto"/>
              <w:bottom w:val="single" w:sz="4" w:space="0" w:color="auto"/>
              <w:right w:val="single" w:sz="4" w:space="0" w:color="auto"/>
            </w:tcBorders>
            <w:hideMark/>
          </w:tcPr>
          <w:p w14:paraId="0F232180" w14:textId="6998A7BA"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1.1.2.1.02.</w:t>
            </w:r>
            <w:r w:rsidRPr="00AA48A4">
              <w:rPr>
                <w:rStyle w:val="InstructionsTabelleberschrift"/>
                <w:rFonts w:ascii="Times New Roman" w:eastAsia="Times New Roman" w:hAnsi="Times New Roman"/>
                <w:color w:val="000000"/>
                <w:kern w:val="0"/>
                <w:sz w:val="22"/>
                <w:u w:val="none"/>
                <w:lang w:eastAsia="ro-MD"/>
                <w14:ligatures w14:val="none"/>
              </w:rPr>
              <w:tab/>
              <w:t>Bănci</w:t>
            </w:r>
          </w:p>
          <w:p w14:paraId="51C8DC6D" w14:textId="65B22817" w:rsidR="00D5130B" w:rsidRPr="00AA48A4"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1A5CB12A" w14:textId="77777777" w:rsidR="00D5130B"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5CA55B57" w14:textId="04091904"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026ED774" w14:textId="4EAE0B2C"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25620E1"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0290</w:t>
            </w:r>
          </w:p>
        </w:tc>
        <w:tc>
          <w:tcPr>
            <w:tcW w:w="3534" w:type="pct"/>
            <w:tcBorders>
              <w:top w:val="single" w:sz="4" w:space="0" w:color="auto"/>
              <w:left w:val="single" w:sz="4" w:space="0" w:color="auto"/>
              <w:bottom w:val="single" w:sz="4" w:space="0" w:color="auto"/>
              <w:right w:val="single" w:sz="4" w:space="0" w:color="auto"/>
            </w:tcBorders>
            <w:hideMark/>
          </w:tcPr>
          <w:p w14:paraId="6D383F96" w14:textId="2067786B"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1.1.2.1.04.</w:t>
            </w:r>
            <w:r w:rsidRPr="00AA48A4">
              <w:rPr>
                <w:rStyle w:val="InstructionsTabelleberschrift"/>
                <w:rFonts w:ascii="Times New Roman" w:eastAsia="Times New Roman" w:hAnsi="Times New Roman"/>
                <w:color w:val="000000"/>
                <w:kern w:val="0"/>
                <w:sz w:val="22"/>
                <w:u w:val="none"/>
                <w:lang w:eastAsia="ro-MD"/>
                <w14:ligatures w14:val="none"/>
              </w:rPr>
              <w:tab/>
              <w:t>Societăți – Finanțări specializate</w:t>
            </w:r>
          </w:p>
          <w:p w14:paraId="21EC5468" w14:textId="131E61A2" w:rsidR="00D5130B" w:rsidRPr="00AA48A4"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 xml:space="preserve">A se vedea formularul CR IRB </w:t>
            </w:r>
          </w:p>
        </w:tc>
        <w:tc>
          <w:tcPr>
            <w:tcW w:w="531" w:type="pct"/>
          </w:tcPr>
          <w:p w14:paraId="72FDBF8D" w14:textId="77777777" w:rsidR="00D5130B"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05EF666A" w14:textId="6C114E12"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14:paraId="33845210" w14:textId="4C38924D"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14C1D0F"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0295</w:t>
            </w:r>
          </w:p>
        </w:tc>
        <w:tc>
          <w:tcPr>
            <w:tcW w:w="3534" w:type="pct"/>
            <w:tcBorders>
              <w:top w:val="single" w:sz="4" w:space="0" w:color="auto"/>
              <w:left w:val="single" w:sz="4" w:space="0" w:color="auto"/>
              <w:bottom w:val="single" w:sz="4" w:space="0" w:color="auto"/>
              <w:right w:val="single" w:sz="4" w:space="0" w:color="auto"/>
            </w:tcBorders>
            <w:hideMark/>
          </w:tcPr>
          <w:p w14:paraId="1003B0D4" w14:textId="77777777"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1.1.2.1.04a</w:t>
            </w:r>
            <w:r w:rsidRPr="00AA48A4">
              <w:rPr>
                <w:rFonts w:ascii="Times New Roman" w:eastAsia="Times New Roman" w:hAnsi="Times New Roman" w:cs="Times New Roman"/>
                <w:color w:val="000000"/>
                <w:kern w:val="0"/>
                <w:lang w:eastAsia="ro-MD"/>
                <w14:ligatures w14:val="none"/>
              </w:rPr>
              <w:tab/>
            </w:r>
            <w:r w:rsidRPr="00AA48A4">
              <w:rPr>
                <w:rStyle w:val="InstructionsTabelleberschrift"/>
                <w:rFonts w:ascii="Times New Roman" w:eastAsia="Times New Roman" w:hAnsi="Times New Roman"/>
                <w:color w:val="000000"/>
                <w:kern w:val="0"/>
                <w:sz w:val="22"/>
                <w:u w:val="none"/>
                <w:lang w:eastAsia="ro-MD"/>
                <w14:ligatures w14:val="none"/>
              </w:rPr>
              <w:t>Societăți – Creanțe achiziționate</w:t>
            </w:r>
          </w:p>
          <w:p w14:paraId="78A38077" w14:textId="5DD80162" w:rsidR="00D5130B" w:rsidRPr="00AA48A4"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28761209" w14:textId="77777777" w:rsidR="00D5130B"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31516ABE" w14:textId="6EECFB6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17763BDE" w14:textId="1B78BB8A"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64CFAF6"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0300</w:t>
            </w:r>
          </w:p>
        </w:tc>
        <w:tc>
          <w:tcPr>
            <w:tcW w:w="3534" w:type="pct"/>
            <w:tcBorders>
              <w:top w:val="single" w:sz="4" w:space="0" w:color="auto"/>
              <w:left w:val="single" w:sz="4" w:space="0" w:color="auto"/>
              <w:bottom w:val="single" w:sz="4" w:space="0" w:color="auto"/>
              <w:right w:val="single" w:sz="4" w:space="0" w:color="auto"/>
            </w:tcBorders>
            <w:hideMark/>
          </w:tcPr>
          <w:p w14:paraId="0244B6B1" w14:textId="3C835F49"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1.1.2.1.05.</w:t>
            </w:r>
            <w:r w:rsidRPr="00AA48A4">
              <w:rPr>
                <w:rStyle w:val="InstructionsTabelleberschrift"/>
                <w:rFonts w:ascii="Times New Roman" w:eastAsia="Times New Roman" w:hAnsi="Times New Roman"/>
                <w:color w:val="000000"/>
                <w:kern w:val="0"/>
                <w:sz w:val="22"/>
                <w:u w:val="none"/>
                <w:lang w:eastAsia="ro-MD"/>
                <w14:ligatures w14:val="none"/>
              </w:rPr>
              <w:tab/>
              <w:t>Societăți – Altele</w:t>
            </w:r>
          </w:p>
          <w:p w14:paraId="21215994" w14:textId="23E4B793" w:rsidR="00D5130B" w:rsidRPr="00AA48A4"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658AF238" w14:textId="77777777" w:rsidR="00D5130B"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01BF5FAC" w14:textId="147589CB"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A001B7" w:rsidRPr="002A677E" w14:paraId="740CD03C" w14:textId="25C6085A"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2DE36780" w14:textId="77777777" w:rsidR="00A001B7" w:rsidRPr="003F20AD" w:rsidRDefault="00A001B7"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0305</w:t>
            </w:r>
          </w:p>
        </w:tc>
        <w:tc>
          <w:tcPr>
            <w:tcW w:w="3534" w:type="pct"/>
            <w:tcBorders>
              <w:top w:val="single" w:sz="4" w:space="0" w:color="auto"/>
              <w:left w:val="single" w:sz="4" w:space="0" w:color="auto"/>
              <w:bottom w:val="single" w:sz="4" w:space="0" w:color="auto"/>
              <w:right w:val="single" w:sz="4" w:space="0" w:color="auto"/>
            </w:tcBorders>
            <w:hideMark/>
          </w:tcPr>
          <w:p w14:paraId="080667A7" w14:textId="2661C0F6" w:rsidR="00A001B7" w:rsidRPr="00AA48A4" w:rsidRDefault="00A001B7"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1.1.2.1.06*  Element memorandum: Societăți – Societăți mari</w:t>
            </w:r>
          </w:p>
          <w:p w14:paraId="78C33673" w14:textId="207AE1FA" w:rsidR="00A001B7" w:rsidRPr="00AA48A4" w:rsidRDefault="00A001B7"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75F2428B" w14:textId="78B45171" w:rsidR="00A001B7" w:rsidRPr="00AA48A4" w:rsidRDefault="00A001B7"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c>
          <w:tcPr>
            <w:tcW w:w="530" w:type="pct"/>
            <w:tcBorders>
              <w:top w:val="single" w:sz="4" w:space="0" w:color="auto"/>
              <w:left w:val="single" w:sz="4" w:space="0" w:color="auto"/>
              <w:bottom w:val="single" w:sz="4" w:space="0" w:color="auto"/>
              <w:right w:val="single" w:sz="4" w:space="0" w:color="auto"/>
            </w:tcBorders>
          </w:tcPr>
          <w:p w14:paraId="393B2762" w14:textId="3C6928FF" w:rsidR="00A001B7" w:rsidRPr="00AA48A4" w:rsidRDefault="00A001B7"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A001B7" w:rsidRPr="002A677E" w14:paraId="634B9DBD" w14:textId="2D62BE68"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2A9D94BF" w14:textId="77777777" w:rsidR="00A001B7" w:rsidRPr="003F20AD" w:rsidRDefault="00A001B7"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0306</w:t>
            </w:r>
          </w:p>
        </w:tc>
        <w:tc>
          <w:tcPr>
            <w:tcW w:w="3534" w:type="pct"/>
            <w:tcBorders>
              <w:top w:val="single" w:sz="4" w:space="0" w:color="auto"/>
              <w:left w:val="single" w:sz="4" w:space="0" w:color="auto"/>
              <w:bottom w:val="single" w:sz="4" w:space="0" w:color="auto"/>
              <w:right w:val="single" w:sz="4" w:space="0" w:color="auto"/>
            </w:tcBorders>
            <w:hideMark/>
          </w:tcPr>
          <w:p w14:paraId="7A601C1B" w14:textId="0F346946" w:rsidR="00A001B7" w:rsidRPr="00AA48A4" w:rsidRDefault="00A001B7"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1.1.2.1.06**  Element memorandum: Societăți – IMM-uri</w:t>
            </w:r>
          </w:p>
          <w:p w14:paraId="542324E7" w14:textId="08439655" w:rsidR="00A001B7" w:rsidRPr="00AA48A4" w:rsidRDefault="00A001B7"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30C8101E" w14:textId="38A566E5" w:rsidR="00A001B7" w:rsidRPr="00AA48A4" w:rsidRDefault="00A001B7"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c>
          <w:tcPr>
            <w:tcW w:w="530" w:type="pct"/>
            <w:tcBorders>
              <w:top w:val="single" w:sz="4" w:space="0" w:color="auto"/>
              <w:left w:val="single" w:sz="4" w:space="0" w:color="auto"/>
              <w:bottom w:val="single" w:sz="4" w:space="0" w:color="auto"/>
              <w:right w:val="single" w:sz="4" w:space="0" w:color="auto"/>
            </w:tcBorders>
          </w:tcPr>
          <w:p w14:paraId="402F7386" w14:textId="29569541" w:rsidR="00A001B7" w:rsidRPr="00AA48A4" w:rsidRDefault="00A001B7"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D5130B" w:rsidRPr="002A677E" w14:paraId="56465EA3" w14:textId="776FAA0D"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66EF441C"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0310</w:t>
            </w:r>
          </w:p>
        </w:tc>
        <w:tc>
          <w:tcPr>
            <w:tcW w:w="3534" w:type="pct"/>
            <w:tcBorders>
              <w:top w:val="single" w:sz="4" w:space="0" w:color="auto"/>
              <w:left w:val="single" w:sz="4" w:space="0" w:color="auto"/>
              <w:bottom w:val="single" w:sz="4" w:space="0" w:color="auto"/>
              <w:right w:val="single" w:sz="4" w:space="0" w:color="auto"/>
            </w:tcBorders>
            <w:hideMark/>
          </w:tcPr>
          <w:p w14:paraId="0414C7F5" w14:textId="16EB5920"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1.1.2.2.</w:t>
            </w:r>
            <w:r w:rsidRPr="00AA48A4">
              <w:rPr>
                <w:rStyle w:val="InstructionsTabelleberschrift"/>
                <w:rFonts w:ascii="Times New Roman" w:eastAsia="Times New Roman" w:hAnsi="Times New Roman"/>
                <w:color w:val="000000"/>
                <w:kern w:val="0"/>
                <w:sz w:val="22"/>
                <w:u w:val="none"/>
                <w:lang w:eastAsia="ro-MD"/>
                <w14:ligatures w14:val="none"/>
              </w:rPr>
              <w:tab/>
              <w:t xml:space="preserve"> Abordări IRB în care se utilizează estimările proprii ale pierderii în caz de nerambursare (LGD) și/sau factori de conversie</w:t>
            </w:r>
          </w:p>
          <w:p w14:paraId="2C47B70E" w14:textId="0F45D7BC" w:rsidR="00D5130B" w:rsidRPr="00AA48A4"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 xml:space="preserve">Formularul CR IRB la nivelul expunerilor totale </w:t>
            </w:r>
          </w:p>
        </w:tc>
        <w:tc>
          <w:tcPr>
            <w:tcW w:w="531" w:type="pct"/>
          </w:tcPr>
          <w:p w14:paraId="712BF1B4"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11DBB4C7" w14:textId="061F1316"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0A02C8EA" w14:textId="34B2FA1B"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64A98926"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0320</w:t>
            </w:r>
          </w:p>
        </w:tc>
        <w:tc>
          <w:tcPr>
            <w:tcW w:w="3534" w:type="pct"/>
            <w:tcBorders>
              <w:top w:val="single" w:sz="4" w:space="0" w:color="auto"/>
              <w:left w:val="single" w:sz="4" w:space="0" w:color="auto"/>
              <w:bottom w:val="single" w:sz="4" w:space="0" w:color="auto"/>
              <w:right w:val="single" w:sz="4" w:space="0" w:color="auto"/>
            </w:tcBorders>
            <w:hideMark/>
          </w:tcPr>
          <w:p w14:paraId="56FF7342" w14:textId="5DC6DFCA"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1.1.2.2.01.</w:t>
            </w:r>
            <w:r w:rsidRPr="00AA48A4">
              <w:rPr>
                <w:rStyle w:val="InstructionsTabelleberschrift"/>
                <w:rFonts w:ascii="Times New Roman" w:eastAsia="Times New Roman" w:hAnsi="Times New Roman"/>
                <w:color w:val="000000"/>
                <w:kern w:val="0"/>
                <w:sz w:val="22"/>
                <w:u w:val="none"/>
                <w:lang w:eastAsia="ro-MD"/>
                <w14:ligatures w14:val="none"/>
              </w:rPr>
              <w:tab/>
              <w:t>Administrații centrale și bănci centrale</w:t>
            </w:r>
          </w:p>
          <w:p w14:paraId="20F59FDE" w14:textId="282D48EB" w:rsidR="00D5130B" w:rsidRPr="00AA48A4"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033D24B2" w14:textId="77777777" w:rsidR="00D5130B" w:rsidRPr="001660B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5131A00B" w14:textId="6BE36840"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14:paraId="1D73BFB8" w14:textId="77D5B5B6"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27E27481"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lastRenderedPageBreak/>
              <w:t>0325</w:t>
            </w:r>
          </w:p>
        </w:tc>
        <w:tc>
          <w:tcPr>
            <w:tcW w:w="3534" w:type="pct"/>
            <w:tcBorders>
              <w:top w:val="single" w:sz="4" w:space="0" w:color="auto"/>
              <w:left w:val="single" w:sz="4" w:space="0" w:color="auto"/>
              <w:bottom w:val="single" w:sz="4" w:space="0" w:color="auto"/>
              <w:right w:val="single" w:sz="4" w:space="0" w:color="auto"/>
            </w:tcBorders>
            <w:hideMark/>
          </w:tcPr>
          <w:p w14:paraId="359C34E2" w14:textId="77777777"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1.1.2.2.01a</w:t>
            </w:r>
            <w:r w:rsidRPr="00AA48A4">
              <w:rPr>
                <w:rFonts w:ascii="Times New Roman" w:eastAsia="Times New Roman" w:hAnsi="Times New Roman" w:cs="Times New Roman"/>
                <w:color w:val="000000"/>
                <w:kern w:val="0"/>
                <w:lang w:eastAsia="ro-MD"/>
                <w14:ligatures w14:val="none"/>
              </w:rPr>
              <w:tab/>
            </w:r>
            <w:r w:rsidRPr="00AA48A4">
              <w:rPr>
                <w:rStyle w:val="InstructionsTabelleberschrift"/>
                <w:rFonts w:ascii="Times New Roman" w:eastAsia="Times New Roman" w:hAnsi="Times New Roman"/>
                <w:color w:val="000000"/>
                <w:kern w:val="0"/>
                <w:sz w:val="22"/>
                <w:u w:val="none"/>
                <w:lang w:eastAsia="ro-MD"/>
                <w14:ligatures w14:val="none"/>
              </w:rPr>
              <w:t>Administrații regionale sau autorități locale</w:t>
            </w:r>
          </w:p>
          <w:p w14:paraId="44A58889" w14:textId="36AD2D07" w:rsidR="00D5130B" w:rsidRPr="00AA48A4"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5C23F004" w14:textId="77777777" w:rsidR="00D5130B" w:rsidRPr="001660B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5CA900A6" w14:textId="0E234528"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14:paraId="788D7E38" w14:textId="5A8AD21F"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C8EC869"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0326</w:t>
            </w:r>
          </w:p>
        </w:tc>
        <w:tc>
          <w:tcPr>
            <w:tcW w:w="3534" w:type="pct"/>
            <w:tcBorders>
              <w:top w:val="single" w:sz="4" w:space="0" w:color="auto"/>
              <w:left w:val="single" w:sz="4" w:space="0" w:color="auto"/>
              <w:bottom w:val="single" w:sz="4" w:space="0" w:color="auto"/>
              <w:right w:val="single" w:sz="4" w:space="0" w:color="auto"/>
            </w:tcBorders>
            <w:hideMark/>
          </w:tcPr>
          <w:p w14:paraId="0CAB6ACB" w14:textId="77777777"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1.1.2.2.01b</w:t>
            </w:r>
            <w:r w:rsidRPr="00AA48A4">
              <w:rPr>
                <w:rFonts w:ascii="Times New Roman" w:eastAsia="Times New Roman" w:hAnsi="Times New Roman" w:cs="Times New Roman"/>
                <w:color w:val="000000"/>
                <w:kern w:val="0"/>
                <w:lang w:eastAsia="ro-MD"/>
                <w14:ligatures w14:val="none"/>
              </w:rPr>
              <w:tab/>
            </w:r>
            <w:r w:rsidRPr="00AA48A4">
              <w:rPr>
                <w:rStyle w:val="InstructionsTabelleberschrift"/>
                <w:rFonts w:ascii="Times New Roman" w:eastAsia="Times New Roman" w:hAnsi="Times New Roman"/>
                <w:color w:val="000000"/>
                <w:kern w:val="0"/>
                <w:sz w:val="22"/>
                <w:u w:val="none"/>
                <w:lang w:eastAsia="ro-MD"/>
                <w14:ligatures w14:val="none"/>
              </w:rPr>
              <w:t>Entități din sectorul public</w:t>
            </w:r>
          </w:p>
          <w:p w14:paraId="272CB0F5" w14:textId="68E2E291" w:rsidR="00D5130B" w:rsidRPr="00AA48A4"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6251196E" w14:textId="77777777" w:rsidR="00D5130B" w:rsidRPr="001660B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1AABC5BB" w14:textId="7A20C434"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47FA5F04" w14:textId="4ACD61F0"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673014AA"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0350</w:t>
            </w:r>
          </w:p>
        </w:tc>
        <w:tc>
          <w:tcPr>
            <w:tcW w:w="3534" w:type="pct"/>
            <w:tcBorders>
              <w:top w:val="single" w:sz="4" w:space="0" w:color="auto"/>
              <w:left w:val="single" w:sz="4" w:space="0" w:color="auto"/>
              <w:bottom w:val="single" w:sz="4" w:space="0" w:color="auto"/>
              <w:right w:val="single" w:sz="4" w:space="0" w:color="auto"/>
            </w:tcBorders>
            <w:hideMark/>
          </w:tcPr>
          <w:p w14:paraId="3A95B45F" w14:textId="318426F2"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1.1.2.2.04.</w:t>
            </w:r>
            <w:r w:rsidRPr="00AA48A4">
              <w:rPr>
                <w:rStyle w:val="InstructionsTabelleberschrift"/>
                <w:rFonts w:ascii="Times New Roman" w:eastAsia="Times New Roman" w:hAnsi="Times New Roman"/>
                <w:color w:val="000000"/>
                <w:kern w:val="0"/>
                <w:sz w:val="22"/>
                <w:u w:val="none"/>
                <w:lang w:eastAsia="ro-MD"/>
                <w14:ligatures w14:val="none"/>
              </w:rPr>
              <w:tab/>
              <w:t>Societăți – Finanțări specializate</w:t>
            </w:r>
          </w:p>
          <w:p w14:paraId="1C356898" w14:textId="27B9F1CF" w:rsidR="00D5130B" w:rsidRPr="00AA48A4"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07C6C9D2" w14:textId="77777777" w:rsidR="00D5130B" w:rsidRPr="001660B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44330735" w14:textId="5613F354"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14:paraId="3D3B415F" w14:textId="74A85FFB"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6B1C0773"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0355</w:t>
            </w:r>
          </w:p>
        </w:tc>
        <w:tc>
          <w:tcPr>
            <w:tcW w:w="3534" w:type="pct"/>
            <w:tcBorders>
              <w:top w:val="single" w:sz="4" w:space="0" w:color="auto"/>
              <w:left w:val="single" w:sz="4" w:space="0" w:color="auto"/>
              <w:bottom w:val="single" w:sz="4" w:space="0" w:color="auto"/>
              <w:right w:val="single" w:sz="4" w:space="0" w:color="auto"/>
            </w:tcBorders>
            <w:hideMark/>
          </w:tcPr>
          <w:p w14:paraId="2D56AF4E" w14:textId="77777777"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1.1.2.2.04a</w:t>
            </w:r>
            <w:r w:rsidRPr="00AA48A4">
              <w:rPr>
                <w:rFonts w:ascii="Times New Roman" w:eastAsia="Times New Roman" w:hAnsi="Times New Roman" w:cs="Times New Roman"/>
                <w:color w:val="000000"/>
                <w:kern w:val="0"/>
                <w:lang w:eastAsia="ro-MD"/>
                <w14:ligatures w14:val="none"/>
              </w:rPr>
              <w:tab/>
            </w:r>
            <w:r w:rsidRPr="00AA48A4">
              <w:rPr>
                <w:rStyle w:val="InstructionsTabelleberschrift"/>
                <w:rFonts w:ascii="Times New Roman" w:eastAsia="Times New Roman" w:hAnsi="Times New Roman"/>
                <w:color w:val="000000"/>
                <w:kern w:val="0"/>
                <w:sz w:val="22"/>
                <w:u w:val="none"/>
                <w:lang w:eastAsia="ro-MD"/>
                <w14:ligatures w14:val="none"/>
              </w:rPr>
              <w:t>Societăți – Creanțe achiziționate</w:t>
            </w:r>
          </w:p>
          <w:p w14:paraId="719005CB" w14:textId="2A4A6466" w:rsidR="00D5130B" w:rsidRPr="00AA48A4"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5D611D41" w14:textId="77777777" w:rsidR="00D5130B" w:rsidRPr="001660B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7A771751" w14:textId="566AC1D8"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60C11942" w14:textId="45C6776F"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2547A079"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0360</w:t>
            </w:r>
          </w:p>
        </w:tc>
        <w:tc>
          <w:tcPr>
            <w:tcW w:w="3534" w:type="pct"/>
            <w:tcBorders>
              <w:top w:val="single" w:sz="4" w:space="0" w:color="auto"/>
              <w:left w:val="single" w:sz="4" w:space="0" w:color="auto"/>
              <w:bottom w:val="single" w:sz="4" w:space="0" w:color="auto"/>
              <w:right w:val="single" w:sz="4" w:space="0" w:color="auto"/>
            </w:tcBorders>
            <w:hideMark/>
          </w:tcPr>
          <w:p w14:paraId="47E3F5F5" w14:textId="35D6CE3B"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1.1.2.2.05.</w:t>
            </w:r>
            <w:r w:rsidRPr="00AA48A4">
              <w:rPr>
                <w:rStyle w:val="InstructionsTabelleberschrift"/>
                <w:rFonts w:ascii="Times New Roman" w:eastAsia="Times New Roman" w:hAnsi="Times New Roman"/>
                <w:color w:val="000000"/>
                <w:kern w:val="0"/>
                <w:sz w:val="22"/>
                <w:u w:val="none"/>
                <w:lang w:eastAsia="ro-MD"/>
                <w14:ligatures w14:val="none"/>
              </w:rPr>
              <w:tab/>
              <w:t>Societăți – Altele</w:t>
            </w:r>
          </w:p>
          <w:p w14:paraId="0F5F9418" w14:textId="61CEBE04" w:rsidR="00D5130B" w:rsidRPr="00AA48A4"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734ED4D8" w14:textId="77777777" w:rsidR="00D5130B" w:rsidRPr="001660B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69E0C4A6" w14:textId="589B5DA0"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A001B7" w:rsidRPr="002A677E" w14:paraId="3CC230E9" w14:textId="6EE500A6"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6AF2F02F" w14:textId="77777777" w:rsidR="00A001B7" w:rsidRPr="003F20AD" w:rsidRDefault="00A001B7"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0415</w:t>
            </w:r>
          </w:p>
        </w:tc>
        <w:tc>
          <w:tcPr>
            <w:tcW w:w="3534" w:type="pct"/>
            <w:tcBorders>
              <w:top w:val="single" w:sz="4" w:space="0" w:color="auto"/>
              <w:left w:val="single" w:sz="4" w:space="0" w:color="auto"/>
              <w:bottom w:val="single" w:sz="4" w:space="0" w:color="auto"/>
              <w:right w:val="single" w:sz="4" w:space="0" w:color="auto"/>
            </w:tcBorders>
            <w:hideMark/>
          </w:tcPr>
          <w:p w14:paraId="04F53AE8" w14:textId="5C6A56D3" w:rsidR="00A001B7" w:rsidRPr="00AA48A4" w:rsidRDefault="00A001B7"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1.1.2.2.05a*  Element memorandum: Societăți – Societăți mari</w:t>
            </w:r>
          </w:p>
          <w:p w14:paraId="4EE18543" w14:textId="7996D109" w:rsidR="00A001B7" w:rsidRPr="00AA48A4" w:rsidRDefault="00A001B7"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1D23BC10" w14:textId="19666996" w:rsidR="00A001B7" w:rsidRPr="00AA48A4" w:rsidRDefault="00A001B7"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c>
          <w:tcPr>
            <w:tcW w:w="530" w:type="pct"/>
            <w:tcBorders>
              <w:top w:val="single" w:sz="4" w:space="0" w:color="auto"/>
              <w:left w:val="single" w:sz="4" w:space="0" w:color="auto"/>
              <w:bottom w:val="single" w:sz="4" w:space="0" w:color="auto"/>
              <w:right w:val="single" w:sz="4" w:space="0" w:color="auto"/>
            </w:tcBorders>
          </w:tcPr>
          <w:p w14:paraId="6256D32B" w14:textId="13022C5D" w:rsidR="00A001B7" w:rsidRPr="00AA48A4" w:rsidRDefault="00A001B7"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A001B7" w:rsidRPr="002A677E" w14:paraId="713752D5" w14:textId="37F003FF"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00DB1EC2" w14:textId="77777777" w:rsidR="00A001B7" w:rsidRPr="003F20AD" w:rsidRDefault="00A001B7"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0416</w:t>
            </w:r>
          </w:p>
        </w:tc>
        <w:tc>
          <w:tcPr>
            <w:tcW w:w="3534" w:type="pct"/>
            <w:tcBorders>
              <w:top w:val="single" w:sz="4" w:space="0" w:color="auto"/>
              <w:left w:val="single" w:sz="4" w:space="0" w:color="auto"/>
              <w:bottom w:val="single" w:sz="4" w:space="0" w:color="auto"/>
              <w:right w:val="single" w:sz="4" w:space="0" w:color="auto"/>
            </w:tcBorders>
            <w:hideMark/>
          </w:tcPr>
          <w:p w14:paraId="7137B038" w14:textId="7691B1EB" w:rsidR="00A001B7" w:rsidRPr="00AA48A4" w:rsidRDefault="00A001B7"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1.1.2.2.05a**  Element memorandum: Societăți – IMM-uri</w:t>
            </w:r>
          </w:p>
          <w:p w14:paraId="007059F2" w14:textId="57AC48A2" w:rsidR="00A001B7" w:rsidRPr="00AA48A4" w:rsidRDefault="00A001B7"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36102371" w14:textId="08ED4F26" w:rsidR="00A001B7" w:rsidRPr="00AA48A4" w:rsidRDefault="00A001B7"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c>
          <w:tcPr>
            <w:tcW w:w="530" w:type="pct"/>
            <w:tcBorders>
              <w:top w:val="single" w:sz="4" w:space="0" w:color="auto"/>
              <w:left w:val="single" w:sz="4" w:space="0" w:color="auto"/>
              <w:bottom w:val="single" w:sz="4" w:space="0" w:color="auto"/>
              <w:right w:val="single" w:sz="4" w:space="0" w:color="auto"/>
            </w:tcBorders>
          </w:tcPr>
          <w:p w14:paraId="0DD60C48" w14:textId="556CB12B" w:rsidR="00A001B7" w:rsidRPr="00AA48A4" w:rsidRDefault="00A001B7"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D5130B" w:rsidRPr="002A677E" w14:paraId="7D1CD51A" w14:textId="67A1D3EF"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2719EE0"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0371</w:t>
            </w:r>
          </w:p>
        </w:tc>
        <w:tc>
          <w:tcPr>
            <w:tcW w:w="3534" w:type="pct"/>
            <w:tcBorders>
              <w:top w:val="single" w:sz="4" w:space="0" w:color="auto"/>
              <w:left w:val="single" w:sz="4" w:space="0" w:color="auto"/>
              <w:bottom w:val="single" w:sz="4" w:space="0" w:color="auto"/>
              <w:right w:val="single" w:sz="4" w:space="0" w:color="auto"/>
            </w:tcBorders>
            <w:hideMark/>
          </w:tcPr>
          <w:p w14:paraId="0BE8F987" w14:textId="0CB28FBE"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1.1.2.2.06.</w:t>
            </w:r>
            <w:r w:rsidRPr="00AA48A4">
              <w:rPr>
                <w:rFonts w:ascii="Times New Roman" w:eastAsia="Times New Roman" w:hAnsi="Times New Roman" w:cs="Times New Roman"/>
                <w:color w:val="000000"/>
                <w:kern w:val="0"/>
                <w:lang w:eastAsia="ro-MD"/>
                <w14:ligatures w14:val="none"/>
              </w:rPr>
              <w:tab/>
            </w:r>
            <w:r w:rsidRPr="00AA48A4">
              <w:rPr>
                <w:rStyle w:val="InstructionsTabelleberschrift"/>
                <w:rFonts w:ascii="Times New Roman" w:eastAsia="Times New Roman" w:hAnsi="Times New Roman"/>
                <w:color w:val="000000"/>
                <w:kern w:val="0"/>
                <w:sz w:val="22"/>
                <w:u w:val="none"/>
                <w:lang w:eastAsia="ro-MD"/>
                <w14:ligatures w14:val="none"/>
              </w:rPr>
              <w:t>Retail – Garantate cu bunuri imobile locative</w:t>
            </w:r>
          </w:p>
          <w:p w14:paraId="03B97727" w14:textId="3B86F4D5" w:rsidR="00D5130B" w:rsidRPr="00AA48A4"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58057897" w14:textId="77777777"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464C775A" w14:textId="5E0F64A6"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6567A682" w14:textId="7E8B9760"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562840A7"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0390</w:t>
            </w:r>
          </w:p>
        </w:tc>
        <w:tc>
          <w:tcPr>
            <w:tcW w:w="3534" w:type="pct"/>
            <w:tcBorders>
              <w:top w:val="single" w:sz="4" w:space="0" w:color="auto"/>
              <w:left w:val="single" w:sz="4" w:space="0" w:color="auto"/>
              <w:bottom w:val="single" w:sz="4" w:space="0" w:color="auto"/>
              <w:right w:val="single" w:sz="4" w:space="0" w:color="auto"/>
            </w:tcBorders>
            <w:hideMark/>
          </w:tcPr>
          <w:p w14:paraId="61452A65" w14:textId="39412B7D"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1.1.2.2.08.</w:t>
            </w:r>
            <w:r w:rsidRPr="00AA48A4">
              <w:rPr>
                <w:rStyle w:val="InstructionsTabelleberschrift"/>
                <w:rFonts w:ascii="Times New Roman" w:eastAsia="Times New Roman" w:hAnsi="Times New Roman"/>
                <w:color w:val="000000"/>
                <w:kern w:val="0"/>
                <w:sz w:val="22"/>
                <w:u w:val="none"/>
                <w:lang w:eastAsia="ro-MD"/>
                <w14:ligatures w14:val="none"/>
              </w:rPr>
              <w:tab/>
              <w:t>Retail – Expuneri eligibile reînnoibile</w:t>
            </w:r>
          </w:p>
          <w:p w14:paraId="35785BD4" w14:textId="75D460D5" w:rsidR="00D5130B" w:rsidRPr="00AA48A4"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680D13B7" w14:textId="77777777"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4C3B3C5B" w14:textId="0F951F28"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14:paraId="4839E954" w14:textId="178739EA"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546BC8E7"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0395</w:t>
            </w:r>
          </w:p>
        </w:tc>
        <w:tc>
          <w:tcPr>
            <w:tcW w:w="3534" w:type="pct"/>
            <w:tcBorders>
              <w:top w:val="single" w:sz="4" w:space="0" w:color="auto"/>
              <w:left w:val="single" w:sz="4" w:space="0" w:color="auto"/>
              <w:bottom w:val="single" w:sz="4" w:space="0" w:color="auto"/>
              <w:right w:val="single" w:sz="4" w:space="0" w:color="auto"/>
            </w:tcBorders>
            <w:hideMark/>
          </w:tcPr>
          <w:p w14:paraId="4607338A" w14:textId="77777777"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1.1.2.2.08a</w:t>
            </w:r>
            <w:r w:rsidRPr="00AA48A4">
              <w:rPr>
                <w:rFonts w:ascii="Times New Roman" w:eastAsia="Times New Roman" w:hAnsi="Times New Roman" w:cs="Times New Roman"/>
                <w:color w:val="000000"/>
                <w:kern w:val="0"/>
                <w:lang w:eastAsia="ro-MD"/>
                <w14:ligatures w14:val="none"/>
              </w:rPr>
              <w:tab/>
            </w:r>
            <w:r w:rsidRPr="00AA48A4">
              <w:rPr>
                <w:rStyle w:val="InstructionsTabelleberschrift"/>
                <w:rFonts w:ascii="Times New Roman" w:eastAsia="Times New Roman" w:hAnsi="Times New Roman"/>
                <w:color w:val="000000"/>
                <w:kern w:val="0"/>
                <w:sz w:val="22"/>
                <w:u w:val="none"/>
                <w:lang w:eastAsia="ro-MD"/>
                <w14:ligatures w14:val="none"/>
              </w:rPr>
              <w:t>Retail – Creanțe achiziționate</w:t>
            </w:r>
          </w:p>
          <w:p w14:paraId="1D510502" w14:textId="1B21474C" w:rsidR="00D5130B" w:rsidRPr="00AA48A4"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7BF3173B" w14:textId="77777777"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39C58B18" w14:textId="66D8F5C1"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5185CAD6" w14:textId="6A75DD53"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0B91FEB"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0401</w:t>
            </w:r>
          </w:p>
        </w:tc>
        <w:tc>
          <w:tcPr>
            <w:tcW w:w="3534" w:type="pct"/>
            <w:tcBorders>
              <w:top w:val="single" w:sz="4" w:space="0" w:color="auto"/>
              <w:left w:val="single" w:sz="4" w:space="0" w:color="auto"/>
              <w:bottom w:val="single" w:sz="4" w:space="0" w:color="auto"/>
              <w:right w:val="single" w:sz="4" w:space="0" w:color="auto"/>
            </w:tcBorders>
            <w:hideMark/>
          </w:tcPr>
          <w:p w14:paraId="090A6380" w14:textId="142E2E7C"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1.1.2.2.09.</w:t>
            </w:r>
            <w:r w:rsidRPr="00AA48A4">
              <w:rPr>
                <w:rStyle w:val="InstructionsTabelleberschrift"/>
                <w:rFonts w:ascii="Times New Roman" w:eastAsia="Times New Roman" w:hAnsi="Times New Roman"/>
                <w:color w:val="000000"/>
                <w:kern w:val="0"/>
                <w:sz w:val="22"/>
                <w:u w:val="none"/>
                <w:lang w:eastAsia="ro-MD"/>
                <w14:ligatures w14:val="none"/>
              </w:rPr>
              <w:tab/>
              <w:t>Retail – Altele</w:t>
            </w:r>
          </w:p>
          <w:p w14:paraId="6E97D2FB" w14:textId="24C29A22" w:rsidR="00D5130B" w:rsidRPr="00AA48A4"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212CFC1B" w14:textId="77777777"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46B8AF8A" w14:textId="2C58DE1B"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727495" w:rsidRPr="002A677E" w14:paraId="2DD04172" w14:textId="77777777" w:rsidTr="002B024E">
        <w:trPr>
          <w:tblCellSpacing w:w="0" w:type="dxa"/>
        </w:trPr>
        <w:tc>
          <w:tcPr>
            <w:tcW w:w="405" w:type="pct"/>
            <w:tcBorders>
              <w:top w:val="single" w:sz="4" w:space="0" w:color="auto"/>
              <w:left w:val="single" w:sz="4" w:space="0" w:color="auto"/>
              <w:bottom w:val="single" w:sz="4" w:space="0" w:color="auto"/>
              <w:right w:val="single" w:sz="4" w:space="0" w:color="auto"/>
            </w:tcBorders>
          </w:tcPr>
          <w:p w14:paraId="229B5D8E" w14:textId="6983B071" w:rsidR="00727495" w:rsidRPr="003F20AD" w:rsidRDefault="00727495" w:rsidP="00727495">
            <w:pPr>
              <w:spacing w:after="0"/>
              <w:rPr>
                <w:rStyle w:val="FormatvorlageInstructionsTabelleText"/>
                <w:rFonts w:ascii="Times New Roman" w:eastAsia="Times New Roman" w:hAnsi="Times New Roman"/>
                <w:bCs w:val="0"/>
                <w:color w:val="000000"/>
                <w:kern w:val="0"/>
                <w:sz w:val="22"/>
                <w:lang w:eastAsia="ro-MD"/>
                <w14:ligatures w14:val="none"/>
              </w:rPr>
            </w:pPr>
            <w:r w:rsidRPr="00EA59DC">
              <w:rPr>
                <w:rStyle w:val="FormatvorlageInstructionsTabelleText"/>
                <w:rFonts w:ascii="Times New Roman" w:eastAsia="Times New Roman" w:hAnsi="Times New Roman"/>
                <w:bCs w:val="0"/>
                <w:color w:val="000000"/>
                <w:kern w:val="0"/>
                <w:sz w:val="22"/>
                <w:lang w:eastAsia="ro-MD"/>
                <w14:ligatures w14:val="none"/>
              </w:rPr>
              <w:t>0405</w:t>
            </w:r>
          </w:p>
        </w:tc>
        <w:tc>
          <w:tcPr>
            <w:tcW w:w="3534" w:type="pct"/>
            <w:tcBorders>
              <w:top w:val="single" w:sz="4" w:space="0" w:color="auto"/>
              <w:left w:val="single" w:sz="4" w:space="0" w:color="auto"/>
              <w:bottom w:val="single" w:sz="4" w:space="0" w:color="auto"/>
              <w:right w:val="single" w:sz="4" w:space="0" w:color="auto"/>
            </w:tcBorders>
          </w:tcPr>
          <w:p w14:paraId="7C14DE6D" w14:textId="77777777" w:rsidR="00727495" w:rsidRPr="00EA59DC" w:rsidRDefault="00727495" w:rsidP="00A84D2B">
            <w:pPr>
              <w:pStyle w:val="InstructionsText"/>
              <w:rPr>
                <w:rStyle w:val="FormatvorlageInstructionsTabelleText"/>
                <w:rFonts w:ascii="Times New Roman" w:hAnsi="Times New Roman"/>
                <w:color w:val="000000"/>
                <w:sz w:val="22"/>
                <w:lang w:eastAsia="ro-MD"/>
              </w:rPr>
            </w:pPr>
            <w:r w:rsidRPr="00EA59DC">
              <w:rPr>
                <w:rStyle w:val="FormatvorlageInstructionsTabelleText"/>
                <w:rFonts w:ascii="Times New Roman" w:hAnsi="Times New Roman"/>
                <w:color w:val="000000"/>
                <w:sz w:val="22"/>
                <w:lang w:val="ro-MD" w:eastAsia="ro-MD"/>
              </w:rPr>
              <w:t xml:space="preserve">1.1.2.2.09.01 </w:t>
            </w:r>
            <w:r w:rsidRPr="00EA59DC">
              <w:rPr>
                <w:rStyle w:val="FormatvorlageInstructionsTabelleText"/>
                <w:rFonts w:ascii="Times New Roman" w:hAnsi="Times New Roman"/>
                <w:color w:val="000000"/>
                <w:sz w:val="22"/>
                <w:lang w:val="ro-MD" w:eastAsia="ro-MD"/>
              </w:rPr>
              <w:tab/>
              <w:t xml:space="preserve"> Din care: garantate cu bunuri imobiliare comerciale</w:t>
            </w:r>
          </w:p>
          <w:p w14:paraId="3D60E81A" w14:textId="47A5F3B5" w:rsidR="00727495" w:rsidRPr="00EA59DC" w:rsidRDefault="00727495" w:rsidP="00727495">
            <w:pPr>
              <w:spacing w:after="0"/>
              <w:rPr>
                <w:rStyle w:val="FormatvorlageInstructionsTabelleText"/>
                <w:rFonts w:ascii="Times New Roman" w:hAnsi="Times New Roman"/>
                <w:sz w:val="22"/>
              </w:rPr>
            </w:pPr>
            <w:r w:rsidRPr="00EA59DC">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49B50D47" w14:textId="77777777" w:rsidR="00727495" w:rsidRPr="00AA48A4" w:rsidRDefault="00727495" w:rsidP="00727495">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41CB42D8" w14:textId="77777777" w:rsidR="00727495" w:rsidRPr="00AA48A4" w:rsidRDefault="00727495" w:rsidP="00727495">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A001B7" w:rsidRPr="002A677E" w14:paraId="28A8DA23" w14:textId="628BE7D0"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6199FB0A" w14:textId="77777777" w:rsidR="00A001B7" w:rsidRPr="003F20AD" w:rsidRDefault="00A001B7"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0411</w:t>
            </w:r>
          </w:p>
        </w:tc>
        <w:tc>
          <w:tcPr>
            <w:tcW w:w="3534" w:type="pct"/>
            <w:tcBorders>
              <w:top w:val="single" w:sz="4" w:space="0" w:color="auto"/>
              <w:left w:val="single" w:sz="4" w:space="0" w:color="auto"/>
              <w:bottom w:val="single" w:sz="4" w:space="0" w:color="auto"/>
              <w:right w:val="single" w:sz="4" w:space="0" w:color="auto"/>
            </w:tcBorders>
            <w:hideMark/>
          </w:tcPr>
          <w:p w14:paraId="6B409BE0" w14:textId="4E637955" w:rsidR="00A001B7" w:rsidRPr="00AA48A4" w:rsidRDefault="00A001B7"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 xml:space="preserve">1.1.2.2.11*  Element memorandum: Retail – Expuneri garantate cu bunuri imobile ale IMM-urilor </w:t>
            </w:r>
          </w:p>
        </w:tc>
        <w:tc>
          <w:tcPr>
            <w:tcW w:w="531" w:type="pct"/>
          </w:tcPr>
          <w:p w14:paraId="2AA9B320" w14:textId="7632B9E4" w:rsidR="00A001B7" w:rsidRPr="00AA48A4" w:rsidRDefault="00A001B7"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c>
          <w:tcPr>
            <w:tcW w:w="530" w:type="pct"/>
            <w:tcBorders>
              <w:top w:val="single" w:sz="4" w:space="0" w:color="auto"/>
              <w:left w:val="single" w:sz="4" w:space="0" w:color="auto"/>
              <w:bottom w:val="single" w:sz="4" w:space="0" w:color="auto"/>
              <w:right w:val="single" w:sz="4" w:space="0" w:color="auto"/>
            </w:tcBorders>
          </w:tcPr>
          <w:p w14:paraId="2C4909A7" w14:textId="2F290B45" w:rsidR="00A001B7" w:rsidRPr="00AA48A4" w:rsidRDefault="00A001B7"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A001B7" w:rsidRPr="002A677E" w14:paraId="6D8CB6F1" w14:textId="09042583"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0C52AA2" w14:textId="77777777" w:rsidR="00A001B7" w:rsidRPr="003F20AD" w:rsidRDefault="00A001B7"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0412</w:t>
            </w:r>
          </w:p>
        </w:tc>
        <w:tc>
          <w:tcPr>
            <w:tcW w:w="3534" w:type="pct"/>
            <w:tcBorders>
              <w:top w:val="single" w:sz="4" w:space="0" w:color="auto"/>
              <w:left w:val="single" w:sz="4" w:space="0" w:color="auto"/>
              <w:bottom w:val="single" w:sz="4" w:space="0" w:color="auto"/>
              <w:right w:val="single" w:sz="4" w:space="0" w:color="auto"/>
            </w:tcBorders>
            <w:hideMark/>
          </w:tcPr>
          <w:p w14:paraId="57017259" w14:textId="5932A08C" w:rsidR="00A001B7" w:rsidRPr="00AA48A4" w:rsidRDefault="00A001B7"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1.1.2.2.11**  Element memorandum: Retail – Expuneri garantate cu bunuri imobile ale întreprinderilor, altele decât IMM-uri</w:t>
            </w:r>
          </w:p>
        </w:tc>
        <w:tc>
          <w:tcPr>
            <w:tcW w:w="531" w:type="pct"/>
          </w:tcPr>
          <w:p w14:paraId="6114694F" w14:textId="131259AA" w:rsidR="00A001B7" w:rsidRPr="00AA48A4" w:rsidRDefault="00A001B7"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c>
          <w:tcPr>
            <w:tcW w:w="530" w:type="pct"/>
            <w:tcBorders>
              <w:top w:val="single" w:sz="4" w:space="0" w:color="auto"/>
              <w:left w:val="single" w:sz="4" w:space="0" w:color="auto"/>
              <w:bottom w:val="single" w:sz="4" w:space="0" w:color="auto"/>
              <w:right w:val="single" w:sz="4" w:space="0" w:color="auto"/>
            </w:tcBorders>
          </w:tcPr>
          <w:p w14:paraId="7F1FBDE5" w14:textId="6DB5A1B5" w:rsidR="00A001B7" w:rsidRPr="00AA48A4" w:rsidRDefault="00A001B7"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A001B7" w:rsidRPr="002A677E" w14:paraId="6720AC10" w14:textId="7FC4F9F1"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4A5329FF" w14:textId="77777777" w:rsidR="00A001B7" w:rsidRPr="003F20AD" w:rsidRDefault="00A001B7"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0413</w:t>
            </w:r>
          </w:p>
        </w:tc>
        <w:tc>
          <w:tcPr>
            <w:tcW w:w="3534" w:type="pct"/>
            <w:tcBorders>
              <w:top w:val="single" w:sz="4" w:space="0" w:color="auto"/>
              <w:left w:val="single" w:sz="4" w:space="0" w:color="auto"/>
              <w:bottom w:val="single" w:sz="4" w:space="0" w:color="auto"/>
              <w:right w:val="single" w:sz="4" w:space="0" w:color="auto"/>
            </w:tcBorders>
            <w:hideMark/>
          </w:tcPr>
          <w:p w14:paraId="737EEB95" w14:textId="0645FF91" w:rsidR="00A001B7" w:rsidRPr="00AA48A4" w:rsidRDefault="00A001B7"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1.1.2.2.11***  Element memorandum: Retail – Alte IMM-uri</w:t>
            </w:r>
          </w:p>
        </w:tc>
        <w:tc>
          <w:tcPr>
            <w:tcW w:w="531" w:type="pct"/>
          </w:tcPr>
          <w:p w14:paraId="43E685B4" w14:textId="42068FB9" w:rsidR="00A001B7" w:rsidRPr="00AA48A4" w:rsidRDefault="00A001B7"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c>
          <w:tcPr>
            <w:tcW w:w="530" w:type="pct"/>
            <w:tcBorders>
              <w:top w:val="single" w:sz="4" w:space="0" w:color="auto"/>
              <w:left w:val="single" w:sz="4" w:space="0" w:color="auto"/>
              <w:bottom w:val="single" w:sz="4" w:space="0" w:color="auto"/>
              <w:right w:val="single" w:sz="4" w:space="0" w:color="auto"/>
            </w:tcBorders>
          </w:tcPr>
          <w:p w14:paraId="42B58737" w14:textId="47AEF690" w:rsidR="00A001B7" w:rsidRPr="00AA48A4" w:rsidRDefault="00A001B7"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A001B7" w:rsidRPr="002A677E" w14:paraId="4D9C9486" w14:textId="49111BC7"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6B75C23E" w14:textId="77777777" w:rsidR="00A001B7" w:rsidRPr="003F20AD" w:rsidRDefault="00A001B7"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0414</w:t>
            </w:r>
          </w:p>
        </w:tc>
        <w:tc>
          <w:tcPr>
            <w:tcW w:w="3534" w:type="pct"/>
            <w:tcBorders>
              <w:top w:val="single" w:sz="4" w:space="0" w:color="auto"/>
              <w:left w:val="single" w:sz="4" w:space="0" w:color="auto"/>
              <w:bottom w:val="single" w:sz="4" w:space="0" w:color="auto"/>
              <w:right w:val="single" w:sz="4" w:space="0" w:color="auto"/>
            </w:tcBorders>
            <w:hideMark/>
          </w:tcPr>
          <w:p w14:paraId="1FA9BBF6" w14:textId="466A15F2" w:rsidR="00A001B7" w:rsidRPr="00AA48A4" w:rsidRDefault="00A001B7"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1.1.2.2.11****  Element memorandum: Retail – Societăți, altele decât IMM-uri</w:t>
            </w:r>
          </w:p>
        </w:tc>
        <w:tc>
          <w:tcPr>
            <w:tcW w:w="531" w:type="pct"/>
          </w:tcPr>
          <w:p w14:paraId="1C7663F6" w14:textId="10C47231" w:rsidR="00A001B7" w:rsidRPr="00AA48A4" w:rsidRDefault="00A001B7"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c>
          <w:tcPr>
            <w:tcW w:w="530" w:type="pct"/>
            <w:tcBorders>
              <w:top w:val="single" w:sz="4" w:space="0" w:color="auto"/>
              <w:left w:val="single" w:sz="4" w:space="0" w:color="auto"/>
              <w:bottom w:val="single" w:sz="4" w:space="0" w:color="auto"/>
              <w:right w:val="single" w:sz="4" w:space="0" w:color="auto"/>
            </w:tcBorders>
          </w:tcPr>
          <w:p w14:paraId="3063701E" w14:textId="0F089B50" w:rsidR="00A001B7" w:rsidRPr="00AA48A4" w:rsidRDefault="00A001B7"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D5130B" w:rsidRPr="002A677E" w14:paraId="40F0C7E2" w14:textId="71D10C08"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0AFAAF73"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0420</w:t>
            </w:r>
          </w:p>
        </w:tc>
        <w:tc>
          <w:tcPr>
            <w:tcW w:w="3534" w:type="pct"/>
            <w:tcBorders>
              <w:top w:val="single" w:sz="4" w:space="0" w:color="auto"/>
              <w:left w:val="single" w:sz="4" w:space="0" w:color="auto"/>
              <w:bottom w:val="single" w:sz="4" w:space="0" w:color="auto"/>
              <w:right w:val="single" w:sz="4" w:space="0" w:color="auto"/>
            </w:tcBorders>
            <w:hideMark/>
          </w:tcPr>
          <w:p w14:paraId="4E298F4A" w14:textId="4AB9F6E1"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1.1.2.3.</w:t>
            </w:r>
            <w:r w:rsidRPr="00AA48A4">
              <w:rPr>
                <w:rStyle w:val="InstructionsTabelleberschrift"/>
                <w:rFonts w:ascii="Times New Roman" w:eastAsia="Times New Roman" w:hAnsi="Times New Roman"/>
                <w:color w:val="000000"/>
                <w:kern w:val="0"/>
                <w:sz w:val="22"/>
                <w:u w:val="none"/>
                <w:lang w:eastAsia="ro-MD"/>
                <w14:ligatures w14:val="none"/>
              </w:rPr>
              <w:tab/>
              <w:t xml:space="preserve"> Titlurile de capital din abordarea IRB</w:t>
            </w:r>
          </w:p>
          <w:p w14:paraId="2B6AF2C9" w14:textId="0B0F72EE" w:rsidR="00D5130B" w:rsidRPr="00AA48A4"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EQU IRB</w:t>
            </w:r>
          </w:p>
        </w:tc>
        <w:tc>
          <w:tcPr>
            <w:tcW w:w="531" w:type="pct"/>
          </w:tcPr>
          <w:p w14:paraId="78874DE0" w14:textId="77777777"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7BC786A3" w14:textId="04E5A212"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14:paraId="27980B57" w14:textId="3085259C"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0311226"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0425</w:t>
            </w:r>
          </w:p>
        </w:tc>
        <w:tc>
          <w:tcPr>
            <w:tcW w:w="3534" w:type="pct"/>
            <w:tcBorders>
              <w:top w:val="single" w:sz="4" w:space="0" w:color="auto"/>
              <w:left w:val="single" w:sz="4" w:space="0" w:color="auto"/>
              <w:bottom w:val="single" w:sz="4" w:space="0" w:color="auto"/>
              <w:right w:val="single" w:sz="4" w:space="0" w:color="auto"/>
            </w:tcBorders>
            <w:hideMark/>
          </w:tcPr>
          <w:p w14:paraId="25922EF9" w14:textId="5AB1EF89"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1.1.2.4.  Organisme de plasament colectiv (OPC)</w:t>
            </w:r>
          </w:p>
          <w:p w14:paraId="7420C0F9" w14:textId="55EF0C62" w:rsidR="00D5130B" w:rsidRPr="00AA48A4"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IRB</w:t>
            </w:r>
          </w:p>
        </w:tc>
        <w:tc>
          <w:tcPr>
            <w:tcW w:w="531" w:type="pct"/>
          </w:tcPr>
          <w:p w14:paraId="5A2749DC" w14:textId="77777777"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7F009807" w14:textId="79C37332"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0D322C7A" w14:textId="54D533E3"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0EF7DE40"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0450</w:t>
            </w:r>
          </w:p>
        </w:tc>
        <w:tc>
          <w:tcPr>
            <w:tcW w:w="3534" w:type="pct"/>
            <w:tcBorders>
              <w:top w:val="single" w:sz="4" w:space="0" w:color="auto"/>
              <w:left w:val="single" w:sz="4" w:space="0" w:color="auto"/>
              <w:bottom w:val="single" w:sz="4" w:space="0" w:color="auto"/>
              <w:right w:val="single" w:sz="4" w:space="0" w:color="auto"/>
            </w:tcBorders>
            <w:hideMark/>
          </w:tcPr>
          <w:p w14:paraId="56160854" w14:textId="773F3475"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1.1.2.5.</w:t>
            </w:r>
            <w:r w:rsidRPr="00AA48A4">
              <w:rPr>
                <w:rStyle w:val="InstructionsTabelleberschrift"/>
                <w:rFonts w:ascii="Times New Roman" w:eastAsia="Times New Roman" w:hAnsi="Times New Roman"/>
                <w:color w:val="000000"/>
                <w:kern w:val="0"/>
                <w:sz w:val="22"/>
                <w:u w:val="none"/>
                <w:lang w:eastAsia="ro-MD"/>
                <w14:ligatures w14:val="none"/>
              </w:rPr>
              <w:tab/>
              <w:t>Active, altele decât cele care reprezintă creanțe de natura creditelor</w:t>
            </w:r>
          </w:p>
          <w:p w14:paraId="264A5882" w14:textId="2DD89C3A" w:rsidR="00D5130B" w:rsidRPr="00AA48A4"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 xml:space="preserve">Cuantumul care trebuie raportat este cuantumul ponderat la risc al expunerii calculat în conformitate cu punctele 88, 88.1 și 88.2 a </w:t>
            </w:r>
            <w:r w:rsidRPr="00AA48A4">
              <w:rPr>
                <w:rStyle w:val="FormatvorlageInstructionsTabelleText"/>
                <w:rFonts w:ascii="Times New Roman" w:hAnsi="Times New Roman"/>
                <w:sz w:val="22"/>
              </w:rPr>
              <w:t>Regulamentului privind tratamentul riscului de credit pentru bănci potrivit abordării bazate pe modele interne de rating</w:t>
            </w:r>
            <w:r w:rsidRPr="00AA48A4">
              <w:rPr>
                <w:rStyle w:val="FormatvorlageInstructionsTabelleText"/>
                <w:rFonts w:ascii="Times New Roman" w:eastAsia="Times New Roman" w:hAnsi="Times New Roman"/>
                <w:bCs w:val="0"/>
                <w:color w:val="000000"/>
                <w:kern w:val="0"/>
                <w:sz w:val="22"/>
                <w:lang w:eastAsia="ro-MD"/>
                <w14:ligatures w14:val="none"/>
              </w:rPr>
              <w:t xml:space="preserve">. </w:t>
            </w:r>
          </w:p>
        </w:tc>
        <w:tc>
          <w:tcPr>
            <w:tcW w:w="531" w:type="pct"/>
          </w:tcPr>
          <w:p w14:paraId="0C861AFE" w14:textId="77777777"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1234624F" w14:textId="30497123"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22B91B11" w14:textId="7EAC382D"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58E0EF1A"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0455</w:t>
            </w:r>
          </w:p>
        </w:tc>
        <w:tc>
          <w:tcPr>
            <w:tcW w:w="3534" w:type="pct"/>
            <w:tcBorders>
              <w:top w:val="single" w:sz="4" w:space="0" w:color="auto"/>
              <w:left w:val="single" w:sz="4" w:space="0" w:color="auto"/>
              <w:bottom w:val="single" w:sz="4" w:space="0" w:color="auto"/>
              <w:right w:val="single" w:sz="4" w:space="0" w:color="auto"/>
            </w:tcBorders>
            <w:hideMark/>
          </w:tcPr>
          <w:p w14:paraId="4841ADC8" w14:textId="5EFA16F2"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 xml:space="preserve">1.1.2.5.1. </w:t>
            </w:r>
            <w:r w:rsidRPr="00AA48A4">
              <w:rPr>
                <w:rStyle w:val="InstructionsTabelleberschrift"/>
                <w:rFonts w:ascii="Times New Roman" w:eastAsia="Times New Roman" w:hAnsi="Times New Roman"/>
                <w:color w:val="000000"/>
                <w:kern w:val="0"/>
                <w:sz w:val="22"/>
                <w:u w:val="none"/>
                <w:lang w:eastAsia="ro-MD"/>
                <w14:ligatures w14:val="none"/>
              </w:rPr>
              <w:tab/>
              <w:t xml:space="preserve">Din care programe informatice contabilizate drept </w:t>
            </w:r>
            <w:r w:rsidRPr="00AA48A4">
              <w:rPr>
                <w:rFonts w:ascii="Times New Roman" w:eastAsia="Times New Roman" w:hAnsi="Times New Roman" w:cs="Times New Roman"/>
                <w:color w:val="000000"/>
                <w:kern w:val="0"/>
                <w:lang w:eastAsia="ro-MD"/>
                <w14:ligatures w14:val="none"/>
              </w:rPr>
              <w:t>imobilizări</w:t>
            </w:r>
            <w:r w:rsidRPr="00AA48A4" w:rsidDel="00065889">
              <w:rPr>
                <w:rStyle w:val="InstructionsTabelleberschrift"/>
                <w:rFonts w:ascii="Times New Roman" w:eastAsia="Times New Roman" w:hAnsi="Times New Roman"/>
                <w:color w:val="000000"/>
                <w:kern w:val="0"/>
                <w:sz w:val="22"/>
                <w:u w:val="none"/>
                <w:lang w:eastAsia="ro-MD"/>
                <w14:ligatures w14:val="none"/>
              </w:rPr>
              <w:t xml:space="preserve"> </w:t>
            </w:r>
            <w:r w:rsidRPr="00AA48A4">
              <w:rPr>
                <w:rStyle w:val="InstructionsTabelleberschrift"/>
                <w:rFonts w:ascii="Times New Roman" w:eastAsia="Times New Roman" w:hAnsi="Times New Roman"/>
                <w:color w:val="000000"/>
                <w:kern w:val="0"/>
                <w:sz w:val="22"/>
                <w:u w:val="none"/>
                <w:lang w:eastAsia="ro-MD"/>
                <w14:ligatures w14:val="none"/>
              </w:rPr>
              <w:t xml:space="preserve"> necorporale</w:t>
            </w:r>
          </w:p>
          <w:p w14:paraId="1AB4BCBB" w14:textId="36352BC9" w:rsidR="00D5130B" w:rsidRPr="00AA48A4"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p>
        </w:tc>
        <w:tc>
          <w:tcPr>
            <w:tcW w:w="531" w:type="pct"/>
          </w:tcPr>
          <w:p w14:paraId="430B8CC8" w14:textId="77777777" w:rsidR="00D5130B" w:rsidRPr="00AA48A4"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2FF4217E" w14:textId="5EF670B5" w:rsidR="00D5130B" w:rsidRPr="00AA48A4" w:rsidRDefault="00972A5C"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D5130B" w:rsidRPr="002A677E" w14:paraId="1FC21A10" w14:textId="43B59E17"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32501971"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0460</w:t>
            </w:r>
          </w:p>
        </w:tc>
        <w:tc>
          <w:tcPr>
            <w:tcW w:w="3534" w:type="pct"/>
            <w:tcBorders>
              <w:top w:val="single" w:sz="4" w:space="0" w:color="auto"/>
              <w:left w:val="single" w:sz="4" w:space="0" w:color="auto"/>
              <w:bottom w:val="single" w:sz="4" w:space="0" w:color="auto"/>
              <w:right w:val="single" w:sz="4" w:space="0" w:color="auto"/>
            </w:tcBorders>
            <w:hideMark/>
          </w:tcPr>
          <w:p w14:paraId="45ECDBB8" w14:textId="30C31C09"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1.1.3.</w:t>
            </w:r>
            <w:r w:rsidRPr="00AA48A4">
              <w:rPr>
                <w:rStyle w:val="InstructionsTabelleberschrift"/>
                <w:rFonts w:ascii="Times New Roman" w:eastAsia="Times New Roman" w:hAnsi="Times New Roman"/>
                <w:color w:val="000000"/>
                <w:kern w:val="0"/>
                <w:sz w:val="22"/>
                <w:u w:val="none"/>
                <w:lang w:eastAsia="ro-MD"/>
                <w14:ligatures w14:val="none"/>
              </w:rPr>
              <w:tab/>
              <w:t>Cuantumul expunerii la risc pentru contribuțiile la fondul de garantare al unei CPC</w:t>
            </w:r>
          </w:p>
          <w:p w14:paraId="2AB5E941" w14:textId="013224E7" w:rsidR="00D5130B" w:rsidRPr="00AA48A4"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AA48A4">
              <w:rPr>
                <w:rFonts w:ascii="Times New Roman" w:eastAsia="Times New Roman" w:hAnsi="Times New Roman" w:cs="Times New Roman"/>
                <w:color w:val="000000"/>
                <w:kern w:val="0"/>
                <w:lang w:eastAsia="ro-MD"/>
                <w14:ligatures w14:val="none"/>
              </w:rPr>
              <w:t xml:space="preserve">Punctele 149, 150, 151, 152, 153, 154 din </w:t>
            </w:r>
            <w:r w:rsidRPr="00AA48A4">
              <w:rPr>
                <w:rFonts w:ascii="Times New Roman" w:hAnsi="Times New Roman" w:cs="Times New Roman"/>
              </w:rPr>
              <w:t xml:space="preserve">Regulamentul cu privire la tratamentul riscului de credit al </w:t>
            </w:r>
            <w:proofErr w:type="spellStart"/>
            <w:r w:rsidRPr="00AA48A4">
              <w:rPr>
                <w:rFonts w:ascii="Times New Roman" w:hAnsi="Times New Roman" w:cs="Times New Roman"/>
              </w:rPr>
              <w:t>contrapărții</w:t>
            </w:r>
            <w:proofErr w:type="spellEnd"/>
            <w:r w:rsidRPr="00AA48A4">
              <w:rPr>
                <w:rFonts w:ascii="Times New Roman" w:hAnsi="Times New Roman" w:cs="Times New Roman"/>
              </w:rPr>
              <w:t xml:space="preserve"> aprobat prin HCE al BNM nr. 220/2025 (în continuare Regulamentul nr. 220/2025)</w:t>
            </w:r>
          </w:p>
        </w:tc>
        <w:tc>
          <w:tcPr>
            <w:tcW w:w="531" w:type="pct"/>
          </w:tcPr>
          <w:p w14:paraId="751E7A99" w14:textId="77777777" w:rsidR="00D5130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297E9E7D" w14:textId="55974AB3"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7A5DEEC5" w14:textId="7992FBD8"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46E9B2C"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0470</w:t>
            </w:r>
          </w:p>
        </w:tc>
        <w:tc>
          <w:tcPr>
            <w:tcW w:w="3534" w:type="pct"/>
            <w:tcBorders>
              <w:top w:val="single" w:sz="4" w:space="0" w:color="auto"/>
              <w:left w:val="single" w:sz="4" w:space="0" w:color="auto"/>
              <w:bottom w:val="single" w:sz="4" w:space="0" w:color="auto"/>
              <w:right w:val="single" w:sz="4" w:space="0" w:color="auto"/>
            </w:tcBorders>
            <w:hideMark/>
          </w:tcPr>
          <w:p w14:paraId="5243CC23" w14:textId="3D067C26" w:rsidR="00D5130B" w:rsidRPr="00AA48A4"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AA48A4">
              <w:rPr>
                <w:rStyle w:val="InstructionsTabelleberschrift"/>
                <w:rFonts w:ascii="Times New Roman" w:eastAsia="Times New Roman" w:hAnsi="Times New Roman"/>
                <w:color w:val="000000"/>
                <w:kern w:val="0"/>
                <w:sz w:val="22"/>
                <w:u w:val="none"/>
                <w:lang w:eastAsia="ro-MD"/>
                <w14:ligatures w14:val="none"/>
              </w:rPr>
              <w:t xml:space="preserve">1.1.4. </w:t>
            </w:r>
            <w:r w:rsidRPr="00AA48A4">
              <w:rPr>
                <w:rStyle w:val="InstructionsTabelleberschrift"/>
                <w:rFonts w:ascii="Times New Roman" w:eastAsia="Times New Roman" w:hAnsi="Times New Roman"/>
                <w:color w:val="000000"/>
                <w:kern w:val="0"/>
                <w:sz w:val="22"/>
                <w:u w:val="none"/>
                <w:lang w:eastAsia="ro-MD"/>
                <w14:ligatures w14:val="none"/>
              </w:rPr>
              <w:tab/>
              <w:t>Poziții din securitizare</w:t>
            </w:r>
          </w:p>
          <w:p w14:paraId="0DFB3CF3" w14:textId="00F91303" w:rsidR="00D5130B" w:rsidRPr="00AA48A4"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AA48A4">
              <w:rPr>
                <w:rStyle w:val="FormatvorlageInstructionsTabelleText"/>
                <w:rFonts w:ascii="Times New Roman" w:eastAsia="Times New Roman" w:hAnsi="Times New Roman"/>
                <w:bCs w:val="0"/>
                <w:color w:val="000000"/>
                <w:kern w:val="0"/>
                <w:sz w:val="22"/>
                <w:lang w:eastAsia="ro-MD"/>
                <w14:ligatures w14:val="none"/>
              </w:rPr>
              <w:t>A se vedea formularul CR SEC</w:t>
            </w:r>
            <w:r w:rsidR="00727495">
              <w:rPr>
                <w:rStyle w:val="FormatvorlageInstructionsTabelleText"/>
                <w:rFonts w:ascii="Times New Roman" w:eastAsia="Times New Roman" w:hAnsi="Times New Roman"/>
                <w:bCs w:val="0"/>
                <w:color w:val="000000"/>
                <w:kern w:val="0"/>
                <w:sz w:val="22"/>
                <w:lang w:eastAsia="ro-MD"/>
                <w14:ligatures w14:val="none"/>
              </w:rPr>
              <w:t xml:space="preserve"> (Riscul de credit: Securitizări)</w:t>
            </w:r>
          </w:p>
        </w:tc>
        <w:tc>
          <w:tcPr>
            <w:tcW w:w="531" w:type="pct"/>
          </w:tcPr>
          <w:p w14:paraId="43C83D69" w14:textId="77777777" w:rsidR="00D5130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16D496E4" w14:textId="66177B2E"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6F6C14" w14:paraId="2B0B9F58" w14:textId="74AD6165"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009DFA20"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0490</w:t>
            </w:r>
          </w:p>
        </w:tc>
        <w:tc>
          <w:tcPr>
            <w:tcW w:w="3534" w:type="pct"/>
            <w:tcBorders>
              <w:top w:val="single" w:sz="4" w:space="0" w:color="auto"/>
              <w:left w:val="single" w:sz="4" w:space="0" w:color="auto"/>
              <w:bottom w:val="single" w:sz="4" w:space="0" w:color="auto"/>
              <w:right w:val="single" w:sz="4" w:space="0" w:color="auto"/>
            </w:tcBorders>
            <w:hideMark/>
          </w:tcPr>
          <w:p w14:paraId="47914929" w14:textId="763C20EE" w:rsidR="00D5130B" w:rsidRPr="00B603A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B603AB">
              <w:rPr>
                <w:rStyle w:val="InstructionsTabelleberschrift"/>
                <w:rFonts w:ascii="Times New Roman" w:eastAsia="Times New Roman" w:hAnsi="Times New Roman"/>
                <w:color w:val="000000"/>
                <w:kern w:val="0"/>
                <w:sz w:val="22"/>
                <w:u w:val="none"/>
                <w:lang w:eastAsia="ro-MD"/>
                <w14:ligatures w14:val="none"/>
              </w:rPr>
              <w:t>1.2.</w:t>
            </w:r>
            <w:r w:rsidRPr="00B603AB">
              <w:rPr>
                <w:rStyle w:val="InstructionsTabelleberschrift"/>
                <w:rFonts w:ascii="Times New Roman" w:eastAsia="Times New Roman" w:hAnsi="Times New Roman"/>
                <w:color w:val="000000"/>
                <w:kern w:val="0"/>
                <w:sz w:val="22"/>
                <w:u w:val="none"/>
                <w:lang w:eastAsia="ro-MD"/>
                <w14:ligatures w14:val="none"/>
              </w:rPr>
              <w:tab/>
              <w:t>CUANTUMUL TOTAL AL EXPUNERII LA RISC PENTRU DECONTARE/LIVRARE</w:t>
            </w:r>
          </w:p>
          <w:p w14:paraId="2BB071D4" w14:textId="4E643418" w:rsidR="00D5130B" w:rsidRPr="003F20AD"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2C0F94">
              <w:rPr>
                <w:rFonts w:ascii="Times New Roman" w:eastAsia="Times New Roman" w:hAnsi="Times New Roman" w:cs="Times New Roman"/>
                <w:color w:val="000000"/>
                <w:kern w:val="0"/>
                <w:lang w:eastAsia="ro-MD"/>
                <w14:ligatures w14:val="none"/>
              </w:rPr>
              <w:lastRenderedPageBreak/>
              <w:t>Punctul 13</w:t>
            </w:r>
            <w:r>
              <w:rPr>
                <w:rFonts w:ascii="Times New Roman" w:eastAsia="Times New Roman" w:hAnsi="Times New Roman" w:cs="Times New Roman"/>
                <w:color w:val="000000"/>
                <w:kern w:val="0"/>
                <w:lang w:eastAsia="ro-MD"/>
                <w14:ligatures w14:val="none"/>
              </w:rPr>
              <w:t>1</w:t>
            </w:r>
            <w:r w:rsidRPr="006F6C14">
              <w:rPr>
                <w:rFonts w:ascii="Times New Roman" w:eastAsia="Times New Roman" w:hAnsi="Times New Roman" w:cs="Times New Roman"/>
                <w:color w:val="000000"/>
                <w:kern w:val="0"/>
                <w:vertAlign w:val="superscript"/>
                <w:lang w:eastAsia="ro-MD"/>
                <w14:ligatures w14:val="none"/>
              </w:rPr>
              <w:t>1</w:t>
            </w:r>
            <w:r w:rsidRPr="002C0F94">
              <w:rPr>
                <w:rFonts w:ascii="Times New Roman" w:eastAsia="Times New Roman" w:hAnsi="Times New Roman" w:cs="Times New Roman"/>
                <w:color w:val="000000"/>
                <w:kern w:val="0"/>
                <w:lang w:eastAsia="ro-MD"/>
                <w14:ligatures w14:val="none"/>
              </w:rPr>
              <w:t xml:space="preserve"> </w:t>
            </w:r>
            <w:proofErr w:type="spellStart"/>
            <w:r w:rsidRPr="002C0F94">
              <w:rPr>
                <w:rFonts w:ascii="Times New Roman" w:eastAsia="Times New Roman" w:hAnsi="Times New Roman" w:cs="Times New Roman"/>
                <w:color w:val="000000"/>
                <w:kern w:val="0"/>
                <w:lang w:eastAsia="ro-MD"/>
                <w14:ligatures w14:val="none"/>
              </w:rPr>
              <w:t>şi</w:t>
            </w:r>
            <w:proofErr w:type="spellEnd"/>
            <w:r w:rsidRPr="002C0F94">
              <w:rPr>
                <w:rFonts w:ascii="Times New Roman" w:eastAsia="Times New Roman" w:hAnsi="Times New Roman" w:cs="Times New Roman"/>
                <w:color w:val="000000"/>
                <w:kern w:val="0"/>
                <w:lang w:eastAsia="ro-MD"/>
                <w14:ligatures w14:val="none"/>
              </w:rPr>
              <w:t xml:space="preserve"> 13</w:t>
            </w:r>
            <w:r>
              <w:rPr>
                <w:rFonts w:ascii="Times New Roman" w:eastAsia="Times New Roman" w:hAnsi="Times New Roman" w:cs="Times New Roman"/>
                <w:color w:val="000000"/>
                <w:kern w:val="0"/>
                <w:lang w:eastAsia="ro-MD"/>
                <w14:ligatures w14:val="none"/>
              </w:rPr>
              <w:t>2</w:t>
            </w:r>
            <w:r w:rsidRPr="002C0F94">
              <w:rPr>
                <w:rFonts w:ascii="Times New Roman" w:eastAsia="Times New Roman" w:hAnsi="Times New Roman" w:cs="Times New Roman"/>
                <w:color w:val="000000"/>
                <w:kern w:val="0"/>
                <w:lang w:eastAsia="ro-MD"/>
                <w14:ligatures w14:val="none"/>
              </w:rPr>
              <w:t xml:space="preserve"> din </w:t>
            </w:r>
            <w:r w:rsidRPr="00680511">
              <w:rPr>
                <w:rFonts w:ascii="Times New Roman" w:hAnsi="Times New Roman" w:cs="Times New Roman"/>
              </w:rPr>
              <w:t>Regulamentul nr.109/2018</w:t>
            </w:r>
            <w:r w:rsidRPr="002C0F94">
              <w:rPr>
                <w:rFonts w:ascii="Times New Roman" w:eastAsia="Times New Roman" w:hAnsi="Times New Roman" w:cs="Times New Roman"/>
                <w:color w:val="000000"/>
                <w:kern w:val="0"/>
                <w:lang w:eastAsia="ro-MD"/>
                <w14:ligatures w14:val="none"/>
              </w:rPr>
              <w:t>.</w:t>
            </w:r>
          </w:p>
        </w:tc>
        <w:tc>
          <w:tcPr>
            <w:tcW w:w="531" w:type="pct"/>
          </w:tcPr>
          <w:p w14:paraId="41920B20" w14:textId="77777777"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3A7E6537" w14:textId="73E8B5C4"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14F9FA9D" w14:textId="1DFDBCD5"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7ECB7D3"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0500</w:t>
            </w:r>
          </w:p>
        </w:tc>
        <w:tc>
          <w:tcPr>
            <w:tcW w:w="3534" w:type="pct"/>
            <w:tcBorders>
              <w:top w:val="single" w:sz="4" w:space="0" w:color="auto"/>
              <w:left w:val="single" w:sz="4" w:space="0" w:color="auto"/>
              <w:bottom w:val="single" w:sz="4" w:space="0" w:color="auto"/>
              <w:right w:val="single" w:sz="4" w:space="0" w:color="auto"/>
            </w:tcBorders>
            <w:hideMark/>
          </w:tcPr>
          <w:p w14:paraId="4F551715" w14:textId="03A95A19" w:rsidR="00D5130B" w:rsidRPr="00B603A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B603AB">
              <w:rPr>
                <w:rStyle w:val="InstructionsTabelleberschrift"/>
                <w:rFonts w:ascii="Times New Roman" w:eastAsia="Times New Roman" w:hAnsi="Times New Roman"/>
                <w:color w:val="000000"/>
                <w:kern w:val="0"/>
                <w:sz w:val="22"/>
                <w:u w:val="none"/>
                <w:lang w:eastAsia="ro-MD"/>
                <w14:ligatures w14:val="none"/>
              </w:rPr>
              <w:t>1.2.1.</w:t>
            </w:r>
            <w:r w:rsidRPr="00B603AB">
              <w:rPr>
                <w:rStyle w:val="InstructionsTabelleberschrift"/>
                <w:rFonts w:ascii="Times New Roman" w:eastAsia="Times New Roman" w:hAnsi="Times New Roman"/>
                <w:color w:val="000000"/>
                <w:kern w:val="0"/>
                <w:sz w:val="22"/>
                <w:u w:val="none"/>
                <w:lang w:eastAsia="ro-MD"/>
                <w14:ligatures w14:val="none"/>
              </w:rPr>
              <w:tab/>
              <w:t>Riscul de decontare/livrare din afara portofoliului de tranzacționare</w:t>
            </w:r>
          </w:p>
          <w:p w14:paraId="0E635D2B" w14:textId="28A8F0AF" w:rsidR="00D5130B" w:rsidRPr="003F20AD"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CR SETT</w:t>
            </w:r>
            <w:r w:rsidR="00727495">
              <w:rPr>
                <w:rStyle w:val="FormatvorlageInstructionsTabelleText"/>
                <w:rFonts w:ascii="Times New Roman" w:eastAsia="Times New Roman" w:hAnsi="Times New Roman"/>
                <w:bCs w:val="0"/>
                <w:color w:val="000000"/>
                <w:kern w:val="0"/>
                <w:sz w:val="22"/>
                <w:lang w:eastAsia="ro-MD"/>
                <w14:ligatures w14:val="none"/>
              </w:rPr>
              <w:t xml:space="preserve"> (Riscul de decontare/livrare)</w:t>
            </w:r>
          </w:p>
        </w:tc>
        <w:tc>
          <w:tcPr>
            <w:tcW w:w="531" w:type="pct"/>
          </w:tcPr>
          <w:p w14:paraId="12FA2D75" w14:textId="77777777"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2A4206A8" w14:textId="1AC1AC42"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49B83EBB" w14:textId="42061540"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55101128"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0510</w:t>
            </w:r>
          </w:p>
        </w:tc>
        <w:tc>
          <w:tcPr>
            <w:tcW w:w="3534" w:type="pct"/>
            <w:tcBorders>
              <w:top w:val="single" w:sz="4" w:space="0" w:color="auto"/>
              <w:left w:val="single" w:sz="4" w:space="0" w:color="auto"/>
              <w:bottom w:val="single" w:sz="4" w:space="0" w:color="auto"/>
              <w:right w:val="single" w:sz="4" w:space="0" w:color="auto"/>
            </w:tcBorders>
            <w:hideMark/>
          </w:tcPr>
          <w:p w14:paraId="646F073E" w14:textId="36FCB590" w:rsidR="00D5130B" w:rsidRPr="00B603A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B603AB">
              <w:rPr>
                <w:rStyle w:val="InstructionsTabelleberschrift"/>
                <w:rFonts w:ascii="Times New Roman" w:eastAsia="Times New Roman" w:hAnsi="Times New Roman"/>
                <w:color w:val="000000"/>
                <w:kern w:val="0"/>
                <w:sz w:val="22"/>
                <w:u w:val="none"/>
                <w:lang w:eastAsia="ro-MD"/>
                <w14:ligatures w14:val="none"/>
              </w:rPr>
              <w:t>1.2.2.</w:t>
            </w:r>
            <w:r w:rsidRPr="00B603AB">
              <w:rPr>
                <w:rStyle w:val="InstructionsTabelleberschrift"/>
                <w:rFonts w:ascii="Times New Roman" w:eastAsia="Times New Roman" w:hAnsi="Times New Roman"/>
                <w:color w:val="000000"/>
                <w:kern w:val="0"/>
                <w:sz w:val="22"/>
                <w:u w:val="none"/>
                <w:lang w:eastAsia="ro-MD"/>
                <w14:ligatures w14:val="none"/>
              </w:rPr>
              <w:tab/>
              <w:t>Riscul de decontare/livrare din portofoliul de tranzacționare</w:t>
            </w:r>
          </w:p>
          <w:p w14:paraId="1275BBF4" w14:textId="77777777" w:rsidR="00D5130B" w:rsidRPr="003F20AD"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 xml:space="preserve">A se vedea formularul </w:t>
            </w:r>
            <w:r w:rsidRPr="00103BD3">
              <w:rPr>
                <w:rStyle w:val="FormatvorlageInstructionsTabelleText"/>
                <w:rFonts w:ascii="Times New Roman" w:eastAsia="Times New Roman" w:hAnsi="Times New Roman"/>
                <w:bCs w:val="0"/>
                <w:color w:val="000000"/>
                <w:kern w:val="0"/>
                <w:sz w:val="22"/>
                <w:lang w:eastAsia="ro-MD"/>
                <w14:ligatures w14:val="none"/>
              </w:rPr>
              <w:t>CR SETT</w:t>
            </w:r>
          </w:p>
        </w:tc>
        <w:tc>
          <w:tcPr>
            <w:tcW w:w="531" w:type="pct"/>
          </w:tcPr>
          <w:p w14:paraId="1D87FF04" w14:textId="77777777"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7E6A1741" w14:textId="22AE8DF0"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32698263" w14:textId="470B251B"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3C4B6386"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0520</w:t>
            </w:r>
          </w:p>
        </w:tc>
        <w:tc>
          <w:tcPr>
            <w:tcW w:w="3534" w:type="pct"/>
            <w:tcBorders>
              <w:top w:val="single" w:sz="4" w:space="0" w:color="auto"/>
              <w:left w:val="single" w:sz="4" w:space="0" w:color="auto"/>
              <w:bottom w:val="single" w:sz="4" w:space="0" w:color="auto"/>
              <w:right w:val="single" w:sz="4" w:space="0" w:color="auto"/>
            </w:tcBorders>
            <w:hideMark/>
          </w:tcPr>
          <w:p w14:paraId="3335F27B" w14:textId="3A4C7C92" w:rsidR="00D5130B" w:rsidRPr="00B603A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B603AB">
              <w:rPr>
                <w:rStyle w:val="InstructionsTabelleberschrift"/>
                <w:rFonts w:ascii="Times New Roman" w:eastAsia="Times New Roman" w:hAnsi="Times New Roman"/>
                <w:color w:val="000000"/>
                <w:kern w:val="0"/>
                <w:sz w:val="22"/>
                <w:u w:val="none"/>
                <w:lang w:eastAsia="ro-MD"/>
                <w14:ligatures w14:val="none"/>
              </w:rPr>
              <w:t>1.3.</w:t>
            </w:r>
            <w:r w:rsidRPr="00B603AB">
              <w:rPr>
                <w:rStyle w:val="InstructionsTabelleberschrift"/>
                <w:rFonts w:ascii="Times New Roman" w:eastAsia="Times New Roman" w:hAnsi="Times New Roman"/>
                <w:color w:val="000000"/>
                <w:kern w:val="0"/>
                <w:sz w:val="22"/>
                <w:u w:val="none"/>
                <w:lang w:eastAsia="ro-MD"/>
                <w14:ligatures w14:val="none"/>
              </w:rPr>
              <w:tab/>
              <w:t>CUANTUMUL TOTAL AL EXPUNERII LA RISC PENTRU OPERAȚIUNILE CARE PREZINTĂ UN RISC DE PIAȚĂ</w:t>
            </w:r>
          </w:p>
          <w:p w14:paraId="37A43A9E" w14:textId="32A828EE"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2C0F94">
              <w:rPr>
                <w:rFonts w:ascii="Times New Roman" w:eastAsia="Times New Roman" w:hAnsi="Times New Roman" w:cs="Times New Roman"/>
                <w:color w:val="000000"/>
                <w:kern w:val="0"/>
                <w:lang w:eastAsia="ro-MD"/>
                <w14:ligatures w14:val="none"/>
              </w:rPr>
              <w:t>Punctul 13</w:t>
            </w:r>
            <w:r>
              <w:rPr>
                <w:rFonts w:ascii="Times New Roman" w:eastAsia="Times New Roman" w:hAnsi="Times New Roman" w:cs="Times New Roman"/>
                <w:color w:val="000000"/>
                <w:kern w:val="0"/>
                <w:lang w:eastAsia="ro-MD"/>
                <w14:ligatures w14:val="none"/>
              </w:rPr>
              <w:t>2</w:t>
            </w:r>
            <w:r w:rsidRPr="002C0F94">
              <w:rPr>
                <w:rFonts w:ascii="Times New Roman" w:eastAsia="Times New Roman" w:hAnsi="Times New Roman" w:cs="Times New Roman"/>
                <w:color w:val="000000"/>
                <w:kern w:val="0"/>
                <w:lang w:eastAsia="ro-MD"/>
                <w14:ligatures w14:val="none"/>
              </w:rPr>
              <w:t xml:space="preserve"> </w:t>
            </w:r>
            <w:proofErr w:type="spellStart"/>
            <w:r>
              <w:rPr>
                <w:rFonts w:ascii="Times New Roman" w:eastAsia="Times New Roman" w:hAnsi="Times New Roman" w:cs="Times New Roman"/>
                <w:color w:val="000000"/>
                <w:kern w:val="0"/>
                <w:lang w:eastAsia="ro-MD"/>
                <w14:ligatures w14:val="none"/>
              </w:rPr>
              <w:t>subpct</w:t>
            </w:r>
            <w:proofErr w:type="spellEnd"/>
            <w:r>
              <w:rPr>
                <w:rFonts w:ascii="Times New Roman" w:eastAsia="Times New Roman" w:hAnsi="Times New Roman" w:cs="Times New Roman"/>
                <w:color w:val="000000"/>
                <w:kern w:val="0"/>
                <w:lang w:eastAsia="ro-MD"/>
                <w14:ligatures w14:val="none"/>
              </w:rPr>
              <w:t>. 2)</w:t>
            </w:r>
            <w:r w:rsidR="003779BE">
              <w:rPr>
                <w:rFonts w:ascii="Times New Roman" w:eastAsia="Times New Roman" w:hAnsi="Times New Roman" w:cs="Times New Roman"/>
                <w:color w:val="000000"/>
                <w:kern w:val="0"/>
                <w:lang w:eastAsia="ro-MD"/>
                <w14:ligatures w14:val="none"/>
              </w:rPr>
              <w:t xml:space="preserve"> și</w:t>
            </w:r>
            <w:r>
              <w:rPr>
                <w:rFonts w:ascii="Times New Roman" w:eastAsia="Times New Roman" w:hAnsi="Times New Roman" w:cs="Times New Roman"/>
                <w:color w:val="000000"/>
                <w:kern w:val="0"/>
                <w:lang w:eastAsia="ro-MD"/>
                <w14:ligatures w14:val="none"/>
              </w:rPr>
              <w:t xml:space="preserve"> 3) </w:t>
            </w:r>
            <w:r w:rsidRPr="002C0F94">
              <w:rPr>
                <w:rFonts w:ascii="Times New Roman" w:eastAsia="Times New Roman" w:hAnsi="Times New Roman" w:cs="Times New Roman"/>
                <w:color w:val="000000"/>
                <w:kern w:val="0"/>
                <w:lang w:eastAsia="ro-MD"/>
                <w14:ligatures w14:val="none"/>
              </w:rPr>
              <w:t xml:space="preserve">din </w:t>
            </w:r>
            <w:r w:rsidRPr="00680511">
              <w:rPr>
                <w:rFonts w:ascii="Times New Roman" w:hAnsi="Times New Roman" w:cs="Times New Roman"/>
              </w:rPr>
              <w:t>Regulamentul nr.109/2018</w:t>
            </w:r>
            <w:r w:rsidRPr="002C0F94">
              <w:rPr>
                <w:rFonts w:ascii="Times New Roman" w:eastAsia="Times New Roman" w:hAnsi="Times New Roman" w:cs="Times New Roman"/>
                <w:color w:val="000000"/>
                <w:kern w:val="0"/>
                <w:lang w:eastAsia="ro-MD"/>
                <w14:ligatures w14:val="none"/>
              </w:rPr>
              <w:t>.</w:t>
            </w:r>
          </w:p>
        </w:tc>
        <w:tc>
          <w:tcPr>
            <w:tcW w:w="531" w:type="pct"/>
          </w:tcPr>
          <w:p w14:paraId="40D5C971" w14:textId="77777777"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119B4677" w14:textId="054EF33B"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0D5053F4" w14:textId="0CEB0BEA"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14BBD248"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0530</w:t>
            </w:r>
          </w:p>
        </w:tc>
        <w:tc>
          <w:tcPr>
            <w:tcW w:w="3534" w:type="pct"/>
            <w:tcBorders>
              <w:top w:val="single" w:sz="4" w:space="0" w:color="auto"/>
              <w:left w:val="single" w:sz="4" w:space="0" w:color="auto"/>
              <w:bottom w:val="single" w:sz="4" w:space="0" w:color="auto"/>
              <w:right w:val="single" w:sz="4" w:space="0" w:color="auto"/>
            </w:tcBorders>
            <w:hideMark/>
          </w:tcPr>
          <w:p w14:paraId="047EBE1F" w14:textId="098B2DBB" w:rsidR="00D5130B" w:rsidRPr="00B603AB" w:rsidRDefault="00D5130B" w:rsidP="009F37FB">
            <w:pPr>
              <w:spacing w:after="0"/>
              <w:rPr>
                <w:rStyle w:val="FormatvorlageInstructionsTabelleText"/>
                <w:rFonts w:ascii="Times New Roman" w:eastAsia="Times New Roman" w:hAnsi="Times New Roman"/>
                <w:color w:val="000000"/>
                <w:kern w:val="0"/>
                <w:sz w:val="22"/>
                <w:lang w:eastAsia="ro-MD"/>
                <w14:ligatures w14:val="none"/>
              </w:rPr>
            </w:pPr>
            <w:r w:rsidRPr="00B603AB">
              <w:rPr>
                <w:rStyle w:val="InstructionsTabelleberschrift"/>
                <w:rFonts w:ascii="Times New Roman" w:eastAsia="Times New Roman" w:hAnsi="Times New Roman"/>
                <w:color w:val="000000"/>
                <w:kern w:val="0"/>
                <w:sz w:val="22"/>
                <w:u w:val="none"/>
                <w:lang w:eastAsia="ro-MD"/>
                <w14:ligatures w14:val="none"/>
              </w:rPr>
              <w:t>1.3.1.</w:t>
            </w:r>
            <w:r w:rsidRPr="00B603AB">
              <w:rPr>
                <w:rStyle w:val="InstructionsTabelleberschrift"/>
                <w:rFonts w:ascii="Times New Roman" w:eastAsia="Times New Roman" w:hAnsi="Times New Roman"/>
                <w:color w:val="000000"/>
                <w:kern w:val="0"/>
                <w:sz w:val="22"/>
                <w:u w:val="none"/>
                <w:lang w:eastAsia="ro-MD"/>
                <w14:ligatures w14:val="none"/>
              </w:rPr>
              <w:tab/>
              <w:t>Cuantumul expunerii la risc pentru operațiunile care prezintă un risc de piață calculat de către entități aplicând exclusiv abordarea standardizată simplificată (SSA)</w:t>
            </w:r>
          </w:p>
        </w:tc>
        <w:tc>
          <w:tcPr>
            <w:tcW w:w="531" w:type="pct"/>
          </w:tcPr>
          <w:p w14:paraId="1671A42C" w14:textId="77777777"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3034CAD4" w14:textId="649DD7EE"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08B68CDE" w14:textId="7455F10B"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5DB15CF4"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0540</w:t>
            </w:r>
          </w:p>
        </w:tc>
        <w:tc>
          <w:tcPr>
            <w:tcW w:w="3534" w:type="pct"/>
            <w:tcBorders>
              <w:top w:val="single" w:sz="4" w:space="0" w:color="auto"/>
              <w:left w:val="single" w:sz="4" w:space="0" w:color="auto"/>
              <w:bottom w:val="single" w:sz="4" w:space="0" w:color="auto"/>
              <w:right w:val="single" w:sz="4" w:space="0" w:color="auto"/>
            </w:tcBorders>
            <w:hideMark/>
          </w:tcPr>
          <w:p w14:paraId="7847E802" w14:textId="19D96441"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1.3.1.1.</w:t>
            </w:r>
            <w:r w:rsidRPr="009F37FB">
              <w:rPr>
                <w:rStyle w:val="InstructionsTabelleberschrift"/>
                <w:rFonts w:ascii="Times New Roman" w:eastAsia="Times New Roman" w:hAnsi="Times New Roman"/>
                <w:color w:val="000000"/>
                <w:kern w:val="0"/>
                <w:sz w:val="22"/>
                <w:u w:val="none"/>
                <w:lang w:eastAsia="ro-MD"/>
                <w14:ligatures w14:val="none"/>
              </w:rPr>
              <w:tab/>
              <w:t>Instrumente de datorie tranzacționate</w:t>
            </w:r>
          </w:p>
          <w:p w14:paraId="799CA017"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InstructionsTabelleberschrift"/>
                <w:rFonts w:ascii="Times New Roman" w:eastAsia="Times New Roman" w:hAnsi="Times New Roman"/>
                <w:b w:val="0"/>
                <w:bCs w:val="0"/>
                <w:color w:val="000000"/>
                <w:kern w:val="0"/>
                <w:sz w:val="22"/>
                <w:u w:val="none"/>
                <w:lang w:eastAsia="ro-MD"/>
                <w14:ligatures w14:val="none"/>
              </w:rPr>
              <w:t>Formularul MKR SA TDI la nivelul tuturor monedelor.</w:t>
            </w:r>
          </w:p>
        </w:tc>
        <w:tc>
          <w:tcPr>
            <w:tcW w:w="531" w:type="pct"/>
          </w:tcPr>
          <w:p w14:paraId="32FA5C3A"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200D1E85" w14:textId="20B3F63E"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3F45DE9A" w14:textId="3258A0F8"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5E46D386"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0550</w:t>
            </w:r>
          </w:p>
        </w:tc>
        <w:tc>
          <w:tcPr>
            <w:tcW w:w="3534" w:type="pct"/>
            <w:tcBorders>
              <w:top w:val="single" w:sz="4" w:space="0" w:color="auto"/>
              <w:left w:val="single" w:sz="4" w:space="0" w:color="auto"/>
              <w:bottom w:val="single" w:sz="4" w:space="0" w:color="auto"/>
              <w:right w:val="single" w:sz="4" w:space="0" w:color="auto"/>
            </w:tcBorders>
            <w:hideMark/>
          </w:tcPr>
          <w:p w14:paraId="5E2DA254" w14:textId="113809F2"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1.3.1.2.</w:t>
            </w:r>
            <w:r w:rsidRPr="009F37FB">
              <w:rPr>
                <w:rStyle w:val="InstructionsTabelleberschrift"/>
                <w:rFonts w:ascii="Times New Roman" w:eastAsia="Times New Roman" w:hAnsi="Times New Roman"/>
                <w:color w:val="000000"/>
                <w:kern w:val="0"/>
                <w:sz w:val="22"/>
                <w:u w:val="none"/>
                <w:lang w:eastAsia="ro-MD"/>
                <w14:ligatures w14:val="none"/>
              </w:rPr>
              <w:tab/>
              <w:t>Titluri de capital</w:t>
            </w:r>
          </w:p>
          <w:p w14:paraId="17B96AE0" w14:textId="77777777" w:rsidR="00D5130B" w:rsidRPr="003F20AD"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 xml:space="preserve">Formularul MKR SA EQU la nivelul tuturor piețelor naționale. </w:t>
            </w:r>
          </w:p>
        </w:tc>
        <w:tc>
          <w:tcPr>
            <w:tcW w:w="531" w:type="pct"/>
          </w:tcPr>
          <w:p w14:paraId="2126068C"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0D241CF8" w14:textId="49B0DD49"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69B192A6" w14:textId="3D780586"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679A1DE"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0555</w:t>
            </w:r>
          </w:p>
        </w:tc>
        <w:tc>
          <w:tcPr>
            <w:tcW w:w="3534" w:type="pct"/>
            <w:tcBorders>
              <w:top w:val="single" w:sz="4" w:space="0" w:color="auto"/>
              <w:left w:val="single" w:sz="4" w:space="0" w:color="auto"/>
              <w:bottom w:val="single" w:sz="4" w:space="0" w:color="auto"/>
              <w:right w:val="single" w:sz="4" w:space="0" w:color="auto"/>
            </w:tcBorders>
            <w:hideMark/>
          </w:tcPr>
          <w:p w14:paraId="3343BF61" w14:textId="0808C9FE"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1.3.1.3.</w:t>
            </w:r>
            <w:r w:rsidRPr="009F37FB">
              <w:rPr>
                <w:rStyle w:val="InstructionsTabelleberschrift"/>
                <w:rFonts w:ascii="Times New Roman" w:eastAsia="Times New Roman" w:hAnsi="Times New Roman"/>
                <w:color w:val="000000"/>
                <w:kern w:val="0"/>
                <w:sz w:val="22"/>
                <w:u w:val="none"/>
                <w:lang w:eastAsia="ro-MD"/>
                <w14:ligatures w14:val="none"/>
              </w:rPr>
              <w:tab/>
              <w:t>Abordare specială pentru riscul de poziție aferent OPC-urilor</w:t>
            </w:r>
          </w:p>
          <w:p w14:paraId="5C0B185B" w14:textId="77777777" w:rsidR="002B024E"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057E2D">
              <w:rPr>
                <w:rFonts w:ascii="Times New Roman" w:eastAsia="Times New Roman" w:hAnsi="Times New Roman" w:cs="Times New Roman"/>
                <w:color w:val="000000"/>
                <w:kern w:val="0"/>
                <w:lang w:eastAsia="ro-MD"/>
                <w14:ligatures w14:val="none"/>
              </w:rPr>
              <w:t>Punct</w:t>
            </w:r>
            <w:r>
              <w:rPr>
                <w:rFonts w:ascii="Times New Roman" w:eastAsia="Times New Roman" w:hAnsi="Times New Roman" w:cs="Times New Roman"/>
                <w:color w:val="000000"/>
                <w:kern w:val="0"/>
                <w:lang w:eastAsia="ro-MD"/>
                <w14:ligatures w14:val="none"/>
              </w:rPr>
              <w:t>ele</w:t>
            </w:r>
            <w:r w:rsidRPr="00057E2D">
              <w:rPr>
                <w:rFonts w:ascii="Times New Roman" w:eastAsia="Times New Roman" w:hAnsi="Times New Roman" w:cs="Times New Roman"/>
                <w:color w:val="000000"/>
                <w:kern w:val="0"/>
                <w:lang w:eastAsia="ro-MD"/>
                <w14:ligatures w14:val="none"/>
              </w:rPr>
              <w:t xml:space="preserve"> 104</w:t>
            </w:r>
            <w:r>
              <w:rPr>
                <w:rFonts w:ascii="Times New Roman" w:eastAsia="Times New Roman" w:hAnsi="Times New Roman" w:cs="Times New Roman"/>
                <w:color w:val="000000"/>
                <w:kern w:val="0"/>
                <w:lang w:eastAsia="ro-MD"/>
                <w14:ligatures w14:val="none"/>
              </w:rPr>
              <w:t>, 105 și</w:t>
            </w:r>
            <w:r w:rsidRPr="00057E2D">
              <w:rPr>
                <w:rFonts w:ascii="Times New Roman" w:eastAsia="Times New Roman" w:hAnsi="Times New Roman" w:cs="Times New Roman"/>
                <w:color w:val="000000"/>
                <w:kern w:val="0"/>
                <w:lang w:eastAsia="ro-MD"/>
                <w14:ligatures w14:val="none"/>
              </w:rPr>
              <w:t xml:space="preserve"> 110</w:t>
            </w:r>
            <w:r>
              <w:rPr>
                <w:rFonts w:ascii="Times New Roman" w:eastAsia="Times New Roman" w:hAnsi="Times New Roman" w:cs="Times New Roman"/>
                <w:color w:val="000000"/>
                <w:kern w:val="0"/>
                <w:lang w:eastAsia="ro-MD"/>
                <w14:ligatures w14:val="none"/>
              </w:rPr>
              <w:t xml:space="preserve"> lit. c)</w:t>
            </w:r>
            <w:r w:rsidRPr="00057E2D">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din Regulamentul nr. 114/2018</w:t>
            </w:r>
            <w:r>
              <w:rPr>
                <w:rStyle w:val="FormatvorlageInstructionsTabelleText"/>
                <w:rFonts w:ascii="Times New Roman" w:eastAsia="Times New Roman" w:hAnsi="Times New Roman"/>
                <w:bCs w:val="0"/>
                <w:color w:val="000000"/>
                <w:kern w:val="0"/>
                <w:sz w:val="22"/>
                <w:lang w:eastAsia="ro-MD"/>
                <w14:ligatures w14:val="none"/>
              </w:rPr>
              <w:t>.</w:t>
            </w:r>
          </w:p>
          <w:p w14:paraId="48BDCC63" w14:textId="7118B600" w:rsidR="00D5130B" w:rsidRPr="003F20AD"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 xml:space="preserve">Cuantumul total al expunerii la risc pentru pozițiile pe OPC-uri, în cazul în care cerințele de capital sunt calculate în conformitate cu </w:t>
            </w:r>
            <w:r>
              <w:rPr>
                <w:rFonts w:ascii="Times New Roman" w:eastAsia="Times New Roman" w:hAnsi="Times New Roman" w:cs="Times New Roman"/>
                <w:color w:val="000000"/>
                <w:kern w:val="0"/>
                <w:lang w:eastAsia="ro-MD"/>
                <w14:ligatures w14:val="none"/>
              </w:rPr>
              <w:t>p</w:t>
            </w:r>
            <w:r w:rsidRPr="00057E2D">
              <w:rPr>
                <w:rFonts w:ascii="Times New Roman" w:eastAsia="Times New Roman" w:hAnsi="Times New Roman" w:cs="Times New Roman"/>
                <w:color w:val="000000"/>
                <w:kern w:val="0"/>
                <w:lang w:eastAsia="ro-MD"/>
                <w14:ligatures w14:val="none"/>
              </w:rPr>
              <w:t>unctul 104</w:t>
            </w:r>
            <w:r>
              <w:rPr>
                <w:rFonts w:ascii="Times New Roman" w:eastAsia="Times New Roman" w:hAnsi="Times New Roman" w:cs="Times New Roman"/>
                <w:color w:val="000000"/>
                <w:kern w:val="0"/>
                <w:lang w:eastAsia="ro-MD"/>
                <w14:ligatures w14:val="none"/>
              </w:rPr>
              <w:t xml:space="preserve"> din Regulamentul nr. 114/2018</w:t>
            </w:r>
            <w:r w:rsidRPr="003F20AD">
              <w:rPr>
                <w:rFonts w:ascii="Times New Roman" w:eastAsia="Times New Roman" w:hAnsi="Times New Roman" w:cs="Times New Roman"/>
                <w:color w:val="000000"/>
                <w:kern w:val="0"/>
                <w:lang w:eastAsia="ro-MD"/>
                <w14:ligatures w14:val="none"/>
              </w:rPr>
              <w:t xml:space="preserve"> </w:t>
            </w:r>
            <w:r w:rsidRPr="003F20AD">
              <w:rPr>
                <w:rStyle w:val="FormatvorlageInstructionsTabelleText"/>
                <w:rFonts w:ascii="Times New Roman" w:eastAsia="Times New Roman" w:hAnsi="Times New Roman"/>
                <w:bCs w:val="0"/>
                <w:color w:val="000000"/>
                <w:kern w:val="0"/>
                <w:sz w:val="22"/>
                <w:lang w:eastAsia="ro-MD"/>
                <w14:ligatures w14:val="none"/>
              </w:rPr>
              <w:t xml:space="preserve">fie imediat, fie ca urmare a plafonului prevăzut la </w:t>
            </w:r>
            <w:r w:rsidRPr="00057E2D">
              <w:rPr>
                <w:rFonts w:ascii="Times New Roman" w:eastAsia="Times New Roman" w:hAnsi="Times New Roman" w:cs="Times New Roman"/>
                <w:color w:val="000000"/>
                <w:kern w:val="0"/>
                <w:lang w:eastAsia="ro-MD"/>
                <w14:ligatures w14:val="none"/>
              </w:rPr>
              <w:t>punctul</w:t>
            </w:r>
            <w:r>
              <w:rPr>
                <w:rFonts w:ascii="Times New Roman" w:eastAsia="Times New Roman" w:hAnsi="Times New Roman" w:cs="Times New Roman"/>
                <w:color w:val="000000"/>
                <w:kern w:val="0"/>
                <w:lang w:eastAsia="ro-MD"/>
                <w14:ligatures w14:val="none"/>
              </w:rPr>
              <w:t xml:space="preserve"> </w:t>
            </w:r>
            <w:r w:rsidRPr="00057E2D">
              <w:rPr>
                <w:rFonts w:ascii="Times New Roman" w:eastAsia="Times New Roman" w:hAnsi="Times New Roman" w:cs="Times New Roman"/>
                <w:color w:val="000000"/>
                <w:kern w:val="0"/>
                <w:lang w:eastAsia="ro-MD"/>
                <w14:ligatures w14:val="none"/>
              </w:rPr>
              <w:t>110</w:t>
            </w:r>
            <w:r>
              <w:rPr>
                <w:rFonts w:ascii="Times New Roman" w:eastAsia="Times New Roman" w:hAnsi="Times New Roman" w:cs="Times New Roman"/>
                <w:color w:val="000000"/>
                <w:kern w:val="0"/>
                <w:lang w:eastAsia="ro-MD"/>
                <w14:ligatures w14:val="none"/>
              </w:rPr>
              <w:t xml:space="preserve"> lit. c)</w:t>
            </w:r>
            <w:r w:rsidRPr="00057E2D">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din Regulamentul nr. 114/2018</w:t>
            </w:r>
            <w:r w:rsidRPr="003F20AD">
              <w:rPr>
                <w:rStyle w:val="FormatvorlageInstructionsTabelleText"/>
                <w:rFonts w:ascii="Times New Roman" w:eastAsia="Times New Roman" w:hAnsi="Times New Roman"/>
                <w:bCs w:val="0"/>
                <w:color w:val="000000"/>
                <w:kern w:val="0"/>
                <w:sz w:val="22"/>
                <w:lang w:eastAsia="ro-MD"/>
                <w14:ligatures w14:val="none"/>
              </w:rPr>
              <w:t>.</w:t>
            </w:r>
            <w:r w:rsidRPr="003F20AD">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Pozi</w:t>
            </w:r>
            <w:r w:rsidRPr="00057E2D">
              <w:rPr>
                <w:rFonts w:ascii="Times New Roman" w:eastAsia="Times New Roman" w:hAnsi="Times New Roman" w:cs="Times New Roman"/>
                <w:color w:val="000000"/>
                <w:kern w:val="0"/>
                <w:lang w:eastAsia="ro-MD"/>
                <w14:ligatures w14:val="none"/>
              </w:rPr>
              <w:t xml:space="preserve">țiile respective nu pot fi alocate în mod expres nici riscului de rată a dobânzii </w:t>
            </w:r>
            <w:proofErr w:type="spellStart"/>
            <w:r w:rsidRPr="00057E2D">
              <w:rPr>
                <w:rFonts w:ascii="Times New Roman" w:eastAsia="Times New Roman" w:hAnsi="Times New Roman" w:cs="Times New Roman"/>
                <w:color w:val="000000"/>
                <w:kern w:val="0"/>
                <w:lang w:eastAsia="ro-MD"/>
                <w14:ligatures w14:val="none"/>
              </w:rPr>
              <w:t>şi</w:t>
            </w:r>
            <w:proofErr w:type="spellEnd"/>
            <w:r w:rsidRPr="00057E2D">
              <w:rPr>
                <w:rFonts w:ascii="Times New Roman" w:eastAsia="Times New Roman" w:hAnsi="Times New Roman" w:cs="Times New Roman"/>
                <w:color w:val="000000"/>
                <w:kern w:val="0"/>
                <w:lang w:eastAsia="ro-MD"/>
                <w14:ligatures w14:val="none"/>
              </w:rPr>
              <w:t xml:space="preserve"> nici riscului de devalorizare a </w:t>
            </w:r>
            <w:proofErr w:type="spellStart"/>
            <w:r w:rsidRPr="00057E2D">
              <w:rPr>
                <w:rFonts w:ascii="Times New Roman" w:eastAsia="Times New Roman" w:hAnsi="Times New Roman" w:cs="Times New Roman"/>
                <w:color w:val="000000"/>
                <w:kern w:val="0"/>
                <w:lang w:eastAsia="ro-MD"/>
                <w14:ligatures w14:val="none"/>
              </w:rPr>
              <w:t>acţiunilor</w:t>
            </w:r>
            <w:proofErr w:type="spellEnd"/>
            <w:r w:rsidRPr="003F20AD">
              <w:rPr>
                <w:rStyle w:val="FormatvorlageInstructionsTabelleText"/>
                <w:rFonts w:ascii="Times New Roman" w:eastAsia="Times New Roman" w:hAnsi="Times New Roman"/>
                <w:bCs w:val="0"/>
                <w:color w:val="000000"/>
                <w:kern w:val="0"/>
                <w:sz w:val="22"/>
                <w:lang w:eastAsia="ro-MD"/>
                <w14:ligatures w14:val="none"/>
              </w:rPr>
              <w:t>.</w:t>
            </w:r>
          </w:p>
          <w:p w14:paraId="3456D1F3" w14:textId="53D26385" w:rsidR="00D5130B" w:rsidRPr="003F20AD"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 xml:space="preserve">Atunci când se aplică abordarea specială prevăzută la </w:t>
            </w:r>
            <w:r>
              <w:rPr>
                <w:rFonts w:ascii="Times New Roman" w:eastAsia="Times New Roman" w:hAnsi="Times New Roman" w:cs="Times New Roman"/>
                <w:color w:val="000000"/>
                <w:kern w:val="0"/>
                <w:lang w:eastAsia="ro-MD"/>
                <w14:ligatures w14:val="none"/>
              </w:rPr>
              <w:t>p</w:t>
            </w:r>
            <w:r w:rsidRPr="00057E2D">
              <w:rPr>
                <w:rFonts w:ascii="Times New Roman" w:eastAsia="Times New Roman" w:hAnsi="Times New Roman" w:cs="Times New Roman"/>
                <w:color w:val="000000"/>
                <w:kern w:val="0"/>
                <w:lang w:eastAsia="ro-MD"/>
                <w14:ligatures w14:val="none"/>
              </w:rPr>
              <w:t>unctul 104</w:t>
            </w:r>
            <w:r>
              <w:rPr>
                <w:rFonts w:ascii="Times New Roman" w:eastAsia="Times New Roman" w:hAnsi="Times New Roman" w:cs="Times New Roman"/>
                <w:color w:val="000000"/>
                <w:kern w:val="0"/>
                <w:lang w:eastAsia="ro-MD"/>
                <w14:ligatures w14:val="none"/>
              </w:rPr>
              <w:t xml:space="preserve"> din Regulamentul nr. 114/2018</w:t>
            </w:r>
            <w:r w:rsidRPr="003F20AD">
              <w:rPr>
                <w:rStyle w:val="FormatvorlageInstructionsTabelleText"/>
                <w:rFonts w:ascii="Times New Roman" w:eastAsia="Times New Roman" w:hAnsi="Times New Roman"/>
                <w:bCs w:val="0"/>
                <w:color w:val="000000"/>
                <w:kern w:val="0"/>
                <w:sz w:val="22"/>
                <w:lang w:eastAsia="ro-MD"/>
                <w14:ligatures w14:val="none"/>
              </w:rPr>
              <w:t xml:space="preserve">, cuantumul care trebuie raportat reprezintă 32 % din poziția netă a expunerii OPC în </w:t>
            </w:r>
            <w:r w:rsidRPr="00AA48A4">
              <w:rPr>
                <w:rStyle w:val="FormatvorlageInstructionsTabelleText"/>
                <w:rFonts w:ascii="Times New Roman" w:eastAsia="Times New Roman" w:hAnsi="Times New Roman"/>
                <w:bCs w:val="0"/>
                <w:color w:val="000000"/>
                <w:kern w:val="0"/>
                <w:sz w:val="22"/>
                <w:lang w:eastAsia="ro-MD"/>
                <w14:ligatures w14:val="none"/>
              </w:rPr>
              <w:t>cauză, înmulțit cu 10.</w:t>
            </w:r>
            <w:r w:rsidRPr="003F20AD">
              <w:rPr>
                <w:rStyle w:val="FormatvorlageInstructionsTabelleText"/>
                <w:rFonts w:ascii="Times New Roman" w:eastAsia="Times New Roman" w:hAnsi="Times New Roman"/>
                <w:bCs w:val="0"/>
                <w:color w:val="000000"/>
                <w:kern w:val="0"/>
                <w:sz w:val="22"/>
                <w:lang w:eastAsia="ro-MD"/>
                <w14:ligatures w14:val="none"/>
              </w:rPr>
              <w:t xml:space="preserve"> </w:t>
            </w:r>
          </w:p>
          <w:p w14:paraId="01C124E8" w14:textId="6F258937" w:rsidR="00D5130B" w:rsidRPr="003F20AD" w:rsidRDefault="00D5130B" w:rsidP="009F37FB">
            <w:pPr>
              <w:spacing w:after="0" w:line="240" w:lineRule="auto"/>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 xml:space="preserve">Atunci când se aplică abordarea specială prevăzută la </w:t>
            </w:r>
            <w:r>
              <w:rPr>
                <w:rFonts w:ascii="Times New Roman" w:eastAsia="Times New Roman" w:hAnsi="Times New Roman" w:cs="Times New Roman"/>
                <w:color w:val="000000"/>
                <w:kern w:val="0"/>
                <w:lang w:eastAsia="ro-MD"/>
                <w14:ligatures w14:val="none"/>
              </w:rPr>
              <w:t>p</w:t>
            </w:r>
            <w:r w:rsidRPr="00057E2D">
              <w:rPr>
                <w:rFonts w:ascii="Times New Roman" w:eastAsia="Times New Roman" w:hAnsi="Times New Roman" w:cs="Times New Roman"/>
                <w:color w:val="000000"/>
                <w:kern w:val="0"/>
                <w:lang w:eastAsia="ro-MD"/>
                <w14:ligatures w14:val="none"/>
              </w:rPr>
              <w:t>unctul 10</w:t>
            </w:r>
            <w:r>
              <w:rPr>
                <w:rFonts w:ascii="Times New Roman" w:eastAsia="Times New Roman" w:hAnsi="Times New Roman" w:cs="Times New Roman"/>
                <w:color w:val="000000"/>
                <w:kern w:val="0"/>
                <w:lang w:eastAsia="ro-MD"/>
                <w14:ligatures w14:val="none"/>
              </w:rPr>
              <w:t>5 din Regulamentul nr. 114/2018</w:t>
            </w:r>
            <w:r w:rsidRPr="003F20AD">
              <w:rPr>
                <w:rStyle w:val="FormatvorlageInstructionsTabelleText"/>
                <w:rFonts w:ascii="Times New Roman" w:eastAsia="Times New Roman" w:hAnsi="Times New Roman"/>
                <w:bCs w:val="0"/>
                <w:color w:val="000000"/>
                <w:kern w:val="0"/>
                <w:sz w:val="22"/>
                <w:lang w:eastAsia="ro-MD"/>
                <w14:ligatures w14:val="none"/>
              </w:rPr>
              <w:t>, cuantumul care trebuie raportat reprezintă valoarea cea mai mică dintre 32 % din poziția netă a expunerii OPC relevante și diferența dintre 40</w:t>
            </w:r>
            <w:r w:rsidRPr="003F20AD">
              <w:rPr>
                <w:rFonts w:ascii="Times New Roman" w:eastAsia="Times New Roman" w:hAnsi="Times New Roman" w:cs="Times New Roman"/>
                <w:color w:val="000000"/>
                <w:kern w:val="0"/>
                <w:lang w:eastAsia="ro-MD"/>
                <w14:ligatures w14:val="none"/>
              </w:rPr>
              <w:t> </w:t>
            </w:r>
            <w:r w:rsidRPr="003F20AD">
              <w:rPr>
                <w:rStyle w:val="FormatvorlageInstructionsTabelleText"/>
                <w:rFonts w:ascii="Times New Roman" w:eastAsia="Times New Roman" w:hAnsi="Times New Roman"/>
                <w:bCs w:val="0"/>
                <w:color w:val="000000"/>
                <w:kern w:val="0"/>
                <w:sz w:val="22"/>
                <w:lang w:eastAsia="ro-MD"/>
                <w14:ligatures w14:val="none"/>
              </w:rPr>
              <w:t>% din poziția netă respectivă și cerințele de fonduri proprii care rezultă din riscul valutar asociat expunerii OPC, înmulțite cu 1</w:t>
            </w:r>
            <w:r>
              <w:rPr>
                <w:rStyle w:val="FormatvorlageInstructionsTabelleText"/>
                <w:rFonts w:ascii="Times New Roman" w:eastAsia="Times New Roman" w:hAnsi="Times New Roman"/>
                <w:bCs w:val="0"/>
                <w:color w:val="000000"/>
                <w:kern w:val="0"/>
                <w:sz w:val="22"/>
                <w:lang w:eastAsia="ro-MD"/>
                <w14:ligatures w14:val="none"/>
              </w:rPr>
              <w:t>0</w:t>
            </w:r>
            <w:r w:rsidRPr="003F20AD">
              <w:rPr>
                <w:rStyle w:val="FormatvorlageInstructionsTabelleText"/>
                <w:rFonts w:ascii="Times New Roman" w:eastAsia="Times New Roman" w:hAnsi="Times New Roman"/>
                <w:bCs w:val="0"/>
                <w:color w:val="000000"/>
                <w:kern w:val="0"/>
                <w:sz w:val="22"/>
                <w:lang w:eastAsia="ro-MD"/>
                <w14:ligatures w14:val="none"/>
              </w:rPr>
              <w:t>.</w:t>
            </w:r>
          </w:p>
        </w:tc>
        <w:tc>
          <w:tcPr>
            <w:tcW w:w="531" w:type="pct"/>
          </w:tcPr>
          <w:p w14:paraId="0D9FF0CF" w14:textId="77777777" w:rsidR="00D5130B" w:rsidRDefault="00D5130B" w:rsidP="009F37FB">
            <w:pPr>
              <w:spacing w:after="0"/>
              <w:jc w:val="center"/>
              <w:rPr>
                <w:rStyle w:val="InstructionsTabelleberschrift"/>
              </w:rPr>
            </w:pPr>
          </w:p>
        </w:tc>
        <w:tc>
          <w:tcPr>
            <w:tcW w:w="530" w:type="pct"/>
            <w:tcBorders>
              <w:top w:val="single" w:sz="4" w:space="0" w:color="auto"/>
              <w:left w:val="single" w:sz="4" w:space="0" w:color="auto"/>
              <w:bottom w:val="single" w:sz="4" w:space="0" w:color="auto"/>
              <w:right w:val="single" w:sz="4" w:space="0" w:color="auto"/>
            </w:tcBorders>
          </w:tcPr>
          <w:p w14:paraId="081F2A1E" w14:textId="4AD5F835" w:rsidR="00D5130B" w:rsidRDefault="00D5130B" w:rsidP="009F37FB">
            <w:pPr>
              <w:spacing w:after="0"/>
              <w:jc w:val="center"/>
              <w:rPr>
                <w:rStyle w:val="InstructionsTabelleberschrift"/>
              </w:rPr>
            </w:pPr>
          </w:p>
          <w:p w14:paraId="4078BEB2" w14:textId="56BAA679"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0300D877" w14:textId="73388468"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5C53D740"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0556</w:t>
            </w:r>
          </w:p>
        </w:tc>
        <w:tc>
          <w:tcPr>
            <w:tcW w:w="3534" w:type="pct"/>
            <w:tcBorders>
              <w:top w:val="single" w:sz="4" w:space="0" w:color="auto"/>
              <w:left w:val="single" w:sz="4" w:space="0" w:color="auto"/>
              <w:bottom w:val="single" w:sz="4" w:space="0" w:color="auto"/>
              <w:right w:val="single" w:sz="4" w:space="0" w:color="auto"/>
            </w:tcBorders>
            <w:hideMark/>
          </w:tcPr>
          <w:p w14:paraId="1775A724" w14:textId="065A4DFF"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1.3.1.3.* Element memorandum: OPC-uri investite exclusiv în instrumente de datorie tranzacționate</w:t>
            </w:r>
          </w:p>
          <w:p w14:paraId="1799D158" w14:textId="77777777" w:rsidR="00D5130B" w:rsidRPr="003F20AD" w:rsidRDefault="00D5130B" w:rsidP="009F37FB">
            <w:pPr>
              <w:spacing w:after="0" w:line="240" w:lineRule="auto"/>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Cuantumul total al expunerii la risc pentru pozițiile pe OPC-uri, în cazul în care OPC-ul este investit exclusiv în instrumente supuse riscului de rată a dobânzii.</w:t>
            </w:r>
          </w:p>
        </w:tc>
        <w:tc>
          <w:tcPr>
            <w:tcW w:w="531" w:type="pct"/>
          </w:tcPr>
          <w:p w14:paraId="4E4444B5"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5A3C9080" w14:textId="4BE5E9B9"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27C8D68D" w14:textId="60806F1E"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527D093F"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0557</w:t>
            </w:r>
          </w:p>
        </w:tc>
        <w:tc>
          <w:tcPr>
            <w:tcW w:w="3534" w:type="pct"/>
            <w:tcBorders>
              <w:top w:val="single" w:sz="4" w:space="0" w:color="auto"/>
              <w:left w:val="single" w:sz="4" w:space="0" w:color="auto"/>
              <w:bottom w:val="single" w:sz="4" w:space="0" w:color="auto"/>
              <w:right w:val="single" w:sz="4" w:space="0" w:color="auto"/>
            </w:tcBorders>
            <w:hideMark/>
          </w:tcPr>
          <w:p w14:paraId="21D8A2B0" w14:textId="164EC9E8"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1.3.1.3.** OPC-uri investite exclusiv în instrumente de capital sau în instrumente mixte</w:t>
            </w:r>
          </w:p>
          <w:p w14:paraId="0EE5FA87" w14:textId="77777777" w:rsidR="00D5130B" w:rsidRPr="003F20AD" w:rsidRDefault="00D5130B" w:rsidP="009F37FB">
            <w:pPr>
              <w:spacing w:after="0" w:line="240" w:lineRule="auto"/>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Cuantumul total al expunerii la risc pentru pozițiile pe OPC-uri, în cazul în care OPC-ul este investit exclusiv în instrumente supuse riscului de devalorizare a acțiunilor sau în instrumente mixte ori în cazul în care nu se cunosc constituenții OPC-ului.</w:t>
            </w:r>
          </w:p>
        </w:tc>
        <w:tc>
          <w:tcPr>
            <w:tcW w:w="531" w:type="pct"/>
          </w:tcPr>
          <w:p w14:paraId="003551D2"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3A33ABF7" w14:textId="2C0CC02D"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488654C4" w14:textId="6B58E2F1"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5EDB99F7"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0560</w:t>
            </w:r>
          </w:p>
        </w:tc>
        <w:tc>
          <w:tcPr>
            <w:tcW w:w="3534" w:type="pct"/>
            <w:tcBorders>
              <w:top w:val="single" w:sz="4" w:space="0" w:color="auto"/>
              <w:left w:val="single" w:sz="4" w:space="0" w:color="auto"/>
              <w:bottom w:val="single" w:sz="4" w:space="0" w:color="auto"/>
              <w:right w:val="single" w:sz="4" w:space="0" w:color="auto"/>
            </w:tcBorders>
            <w:hideMark/>
          </w:tcPr>
          <w:p w14:paraId="29AE8228" w14:textId="338F85BC"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1.3.1.4.</w:t>
            </w:r>
            <w:r w:rsidRPr="009F37FB">
              <w:rPr>
                <w:rStyle w:val="InstructionsTabelleberschrift"/>
                <w:rFonts w:ascii="Times New Roman" w:eastAsia="Times New Roman" w:hAnsi="Times New Roman"/>
                <w:color w:val="000000"/>
                <w:kern w:val="0"/>
                <w:sz w:val="22"/>
                <w:u w:val="none"/>
                <w:lang w:eastAsia="ro-MD"/>
                <w14:ligatures w14:val="none"/>
              </w:rPr>
              <w:tab/>
              <w:t xml:space="preserve"> Schimb valutar</w:t>
            </w:r>
          </w:p>
          <w:p w14:paraId="26C401D0" w14:textId="77777777" w:rsidR="00D5130B" w:rsidRPr="003F20AD"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MKR SA FX</w:t>
            </w:r>
          </w:p>
        </w:tc>
        <w:tc>
          <w:tcPr>
            <w:tcW w:w="531" w:type="pct"/>
          </w:tcPr>
          <w:p w14:paraId="004111DC"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4C072AF1" w14:textId="1890A61B"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59A8F8A1" w14:textId="4A072EE6"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646EB2A0"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0570</w:t>
            </w:r>
          </w:p>
        </w:tc>
        <w:tc>
          <w:tcPr>
            <w:tcW w:w="3534" w:type="pct"/>
            <w:tcBorders>
              <w:top w:val="single" w:sz="4" w:space="0" w:color="auto"/>
              <w:left w:val="single" w:sz="4" w:space="0" w:color="auto"/>
              <w:bottom w:val="single" w:sz="4" w:space="0" w:color="auto"/>
              <w:right w:val="single" w:sz="4" w:space="0" w:color="auto"/>
            </w:tcBorders>
            <w:hideMark/>
          </w:tcPr>
          <w:p w14:paraId="05C792A6" w14:textId="7CBC0FF2"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1.3.1.5.  Mărfuri</w:t>
            </w:r>
          </w:p>
          <w:p w14:paraId="54519AB5" w14:textId="77777777" w:rsidR="00D5130B" w:rsidRPr="003F20AD"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MKR SA COM</w:t>
            </w:r>
          </w:p>
        </w:tc>
        <w:tc>
          <w:tcPr>
            <w:tcW w:w="531" w:type="pct"/>
          </w:tcPr>
          <w:p w14:paraId="2F1C4ABA" w14:textId="77777777"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109F151C" w14:textId="5B56E1AB"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370B5FD7" w14:textId="41F987B2"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42572163" w14:textId="77777777" w:rsidR="00D5130B" w:rsidRPr="00D01939"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D01939">
              <w:rPr>
                <w:rStyle w:val="FormatvorlageInstructionsTabelleText"/>
                <w:rFonts w:ascii="Times New Roman" w:eastAsia="Times New Roman" w:hAnsi="Times New Roman"/>
                <w:bCs w:val="0"/>
                <w:color w:val="000000"/>
                <w:kern w:val="0"/>
                <w:sz w:val="22"/>
                <w:lang w:eastAsia="ro-MD"/>
                <w14:ligatures w14:val="none"/>
              </w:rPr>
              <w:t>0580</w:t>
            </w:r>
          </w:p>
        </w:tc>
        <w:tc>
          <w:tcPr>
            <w:tcW w:w="3534" w:type="pct"/>
            <w:tcBorders>
              <w:top w:val="single" w:sz="4" w:space="0" w:color="auto"/>
              <w:left w:val="single" w:sz="4" w:space="0" w:color="auto"/>
              <w:bottom w:val="single" w:sz="4" w:space="0" w:color="auto"/>
              <w:right w:val="single" w:sz="4" w:space="0" w:color="auto"/>
            </w:tcBorders>
            <w:hideMark/>
          </w:tcPr>
          <w:p w14:paraId="23A8B832" w14:textId="43088530" w:rsidR="00D5130B" w:rsidRPr="00B603A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B603AB">
              <w:rPr>
                <w:rStyle w:val="InstructionsTabelleberschrift"/>
                <w:rFonts w:ascii="Times New Roman" w:eastAsia="Times New Roman" w:hAnsi="Times New Roman"/>
                <w:color w:val="000000"/>
                <w:kern w:val="0"/>
                <w:sz w:val="22"/>
                <w:u w:val="none"/>
                <w:lang w:eastAsia="ro-MD"/>
                <w14:ligatures w14:val="none"/>
              </w:rPr>
              <w:t>1.3.2.</w:t>
            </w:r>
            <w:r w:rsidRPr="00B603AB">
              <w:rPr>
                <w:rStyle w:val="InstructionsTabelleberschrift"/>
                <w:rFonts w:ascii="Times New Roman" w:eastAsia="Times New Roman" w:hAnsi="Times New Roman"/>
                <w:color w:val="000000"/>
                <w:kern w:val="0"/>
                <w:sz w:val="22"/>
                <w:u w:val="none"/>
                <w:lang w:eastAsia="ro-MD"/>
                <w14:ligatures w14:val="none"/>
              </w:rPr>
              <w:tab/>
              <w:t>Cuantumul expunerii la risc pentru riscul de poziție, riscul valutar și riscul de marfă în cadrul modelelor interne (IM)</w:t>
            </w:r>
          </w:p>
          <w:p w14:paraId="1AAF18DA" w14:textId="12D9361A" w:rsidR="00D5130B" w:rsidRPr="002B024E" w:rsidRDefault="00D5130B" w:rsidP="009F37FB">
            <w:pPr>
              <w:spacing w:after="0" w:line="240" w:lineRule="auto"/>
              <w:rPr>
                <w:rStyle w:val="FormatvorlageInstructionsTabelleText"/>
                <w:rFonts w:ascii="Times New Roman" w:eastAsia="Times New Roman" w:hAnsi="Times New Roman"/>
                <w:bCs w:val="0"/>
                <w:color w:val="000000"/>
                <w:kern w:val="0"/>
                <w:sz w:val="22"/>
                <w:lang w:val="ro-RO" w:eastAsia="ro-MD"/>
                <w14:ligatures w14:val="none"/>
              </w:rPr>
            </w:pPr>
            <w:r w:rsidRPr="00320EFF">
              <w:rPr>
                <w:rStyle w:val="FormatvorlageInstructionsTabelleText"/>
                <w:rFonts w:ascii="Times New Roman" w:eastAsia="Times New Roman" w:hAnsi="Times New Roman"/>
                <w:bCs w:val="0"/>
                <w:color w:val="000000"/>
                <w:kern w:val="0"/>
                <w:sz w:val="22"/>
                <w:lang w:eastAsia="ro-MD"/>
                <w14:ligatures w14:val="none"/>
              </w:rPr>
              <w:t xml:space="preserve">A se vedea </w:t>
            </w:r>
            <w:r w:rsidRPr="00DE32B3">
              <w:rPr>
                <w:rStyle w:val="FormatvorlageInstructionsTabelleText"/>
                <w:rFonts w:ascii="Times New Roman" w:eastAsia="Times New Roman" w:hAnsi="Times New Roman"/>
                <w:bCs w:val="0"/>
                <w:color w:val="000000"/>
                <w:kern w:val="0"/>
                <w:sz w:val="22"/>
                <w:lang w:eastAsia="ro-MD"/>
                <w14:ligatures w14:val="none"/>
              </w:rPr>
              <w:t>formularul MKR IM</w:t>
            </w:r>
          </w:p>
          <w:tbl>
            <w:tblPr>
              <w:tblStyle w:val="TableGrid"/>
              <w:tblW w:w="6596" w:type="dxa"/>
              <w:tblLayout w:type="fixed"/>
              <w:tblLook w:val="04A0" w:firstRow="1" w:lastRow="0" w:firstColumn="1" w:lastColumn="0" w:noHBand="0" w:noVBand="1"/>
            </w:tblPr>
            <w:tblGrid>
              <w:gridCol w:w="6596"/>
            </w:tblGrid>
            <w:tr w:rsidR="00D5130B" w:rsidRPr="00D01939" w14:paraId="5AD024F7" w14:textId="77777777" w:rsidTr="0068245D">
              <w:trPr>
                <w:trHeight w:val="1124"/>
              </w:trPr>
              <w:tc>
                <w:tcPr>
                  <w:tcW w:w="6596" w:type="dxa"/>
                </w:tcPr>
                <w:p w14:paraId="4A592FFF" w14:textId="77777777" w:rsidR="00D5130B" w:rsidRPr="006F6C14" w:rsidRDefault="00D5130B" w:rsidP="009F37FB">
                  <w:pPr>
                    <w:pStyle w:val="body"/>
                    <w:spacing w:before="0" w:after="0"/>
                    <w:rPr>
                      <w:rFonts w:ascii="Times New Roman" w:hAnsi="Times New Roman" w:cs="Times New Roman"/>
                      <w:b/>
                      <w:bCs/>
                    </w:rPr>
                  </w:pPr>
                  <w:r w:rsidRPr="006F6C14">
                    <w:rPr>
                      <w:rFonts w:ascii="Times New Roman" w:hAnsi="Times New Roman" w:cs="Times New Roman"/>
                      <w:b/>
                    </w:rPr>
                    <w:lastRenderedPageBreak/>
                    <w:t>Text explicativ în scopuri de consultare</w:t>
                  </w:r>
                </w:p>
                <w:p w14:paraId="5A932A71" w14:textId="77777777" w:rsidR="00D5130B" w:rsidRPr="00D01939" w:rsidRDefault="00D5130B" w:rsidP="009F37FB">
                  <w:pPr>
                    <w:rPr>
                      <w:rStyle w:val="FormatvorlageInstructionsTabelleText"/>
                      <w:rFonts w:ascii="Times New Roman" w:hAnsi="Times New Roman"/>
                      <w:sz w:val="24"/>
                    </w:rPr>
                  </w:pPr>
                  <w:r w:rsidRPr="006F6C14">
                    <w:rPr>
                      <w:rFonts w:ascii="Times New Roman" w:hAnsi="Times New Roman" w:cs="Times New Roman"/>
                    </w:rPr>
                    <w:t>Acest rând va fi șters de îndată ce actuala abordare bazată pe modele interne nu va mai putea fi utilizată pentru calculul cerințelor de fonduri proprii pentru riscurile de piață.</w:t>
                  </w:r>
                </w:p>
              </w:tc>
            </w:tr>
          </w:tbl>
          <w:p w14:paraId="7E26F17E" w14:textId="77777777" w:rsidR="00D5130B" w:rsidRPr="00D01939"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p>
        </w:tc>
        <w:tc>
          <w:tcPr>
            <w:tcW w:w="531" w:type="pct"/>
          </w:tcPr>
          <w:p w14:paraId="164D89D3" w14:textId="77777777" w:rsidR="00D5130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1CD79E2B" w14:textId="1B324E51"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3EF2DE77" w14:textId="16DB9DAF"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4A6898B1"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0581</w:t>
            </w:r>
          </w:p>
        </w:tc>
        <w:tc>
          <w:tcPr>
            <w:tcW w:w="3534" w:type="pct"/>
            <w:tcBorders>
              <w:top w:val="single" w:sz="4" w:space="0" w:color="auto"/>
              <w:left w:val="single" w:sz="4" w:space="0" w:color="auto"/>
              <w:bottom w:val="single" w:sz="4" w:space="0" w:color="auto"/>
              <w:right w:val="single" w:sz="4" w:space="0" w:color="auto"/>
            </w:tcBorders>
            <w:hideMark/>
          </w:tcPr>
          <w:p w14:paraId="29B6931F" w14:textId="6FC489F4" w:rsidR="00D5130B" w:rsidRPr="00DE32B3"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DE32B3">
              <w:rPr>
                <w:rStyle w:val="InstructionsTabelleberschrift"/>
                <w:rFonts w:ascii="Times New Roman" w:eastAsia="Times New Roman" w:hAnsi="Times New Roman"/>
                <w:color w:val="000000"/>
                <w:kern w:val="0"/>
                <w:sz w:val="22"/>
                <w:u w:val="none"/>
                <w:lang w:eastAsia="ro-MD"/>
                <w14:ligatures w14:val="none"/>
              </w:rPr>
              <w:t xml:space="preserve">1.3.3. Cuantumul expunerii la risc pentru elementele bilanțiere și </w:t>
            </w:r>
            <w:proofErr w:type="spellStart"/>
            <w:r w:rsidRPr="00DE32B3">
              <w:rPr>
                <w:rStyle w:val="InstructionsTabelleberschrift"/>
                <w:rFonts w:ascii="Times New Roman" w:eastAsia="Times New Roman" w:hAnsi="Times New Roman"/>
                <w:color w:val="000000"/>
                <w:kern w:val="0"/>
                <w:sz w:val="22"/>
                <w:u w:val="none"/>
                <w:lang w:eastAsia="ro-MD"/>
                <w14:ligatures w14:val="none"/>
              </w:rPr>
              <w:t>extrabilanțiere</w:t>
            </w:r>
            <w:proofErr w:type="spellEnd"/>
            <w:r w:rsidRPr="00DE32B3">
              <w:rPr>
                <w:rStyle w:val="InstructionsTabelleberschrift"/>
                <w:rFonts w:ascii="Times New Roman" w:eastAsia="Times New Roman" w:hAnsi="Times New Roman"/>
                <w:color w:val="000000"/>
                <w:kern w:val="0"/>
                <w:sz w:val="22"/>
                <w:u w:val="none"/>
                <w:lang w:eastAsia="ro-MD"/>
                <w14:ligatures w14:val="none"/>
              </w:rPr>
              <w:t xml:space="preserve"> expuse la riscul de piață al entităților care aplică exclusiv abordarea standardizată alternativă (ASA)</w:t>
            </w:r>
          </w:p>
          <w:p w14:paraId="5C36D76A" w14:textId="76AD3C92" w:rsidR="00D5130B" w:rsidRPr="00DE32B3" w:rsidRDefault="00D5130B" w:rsidP="009F37FB">
            <w:pPr>
              <w:spacing w:after="0" w:line="240" w:lineRule="auto"/>
              <w:rPr>
                <w:rStyle w:val="InstructionsTabelleberschrift"/>
                <w:rFonts w:ascii="Times New Roman" w:eastAsia="Times New Roman" w:hAnsi="Times New Roman"/>
                <w:b w:val="0"/>
                <w:bCs w:val="0"/>
                <w:color w:val="000000"/>
                <w:kern w:val="0"/>
                <w:sz w:val="22"/>
                <w:u w:val="none"/>
                <w:lang w:eastAsia="ro-MD"/>
                <w14:ligatures w14:val="none"/>
              </w:rPr>
            </w:pPr>
            <w:r w:rsidRPr="00DE32B3">
              <w:rPr>
                <w:rStyle w:val="FormatvorlageInstructionsTabelleText"/>
                <w:rFonts w:ascii="Times New Roman" w:eastAsia="Times New Roman" w:hAnsi="Times New Roman"/>
                <w:bCs w:val="0"/>
                <w:color w:val="000000"/>
                <w:kern w:val="0"/>
                <w:sz w:val="22"/>
                <w:lang w:eastAsia="ro-MD"/>
                <w14:ligatures w14:val="none"/>
              </w:rPr>
              <w:t>A se vedea formularul MKR ASA SUM</w:t>
            </w:r>
          </w:p>
        </w:tc>
        <w:tc>
          <w:tcPr>
            <w:tcW w:w="531" w:type="pct"/>
          </w:tcPr>
          <w:p w14:paraId="088505D5" w14:textId="77777777" w:rsidR="00D5130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023CEFAF" w14:textId="51FC41C6"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1E8AD96A" w14:textId="76C3CD62"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064D56B9"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0585</w:t>
            </w:r>
          </w:p>
        </w:tc>
        <w:tc>
          <w:tcPr>
            <w:tcW w:w="3534" w:type="pct"/>
            <w:tcBorders>
              <w:top w:val="single" w:sz="4" w:space="0" w:color="auto"/>
              <w:left w:val="single" w:sz="4" w:space="0" w:color="auto"/>
              <w:bottom w:val="single" w:sz="4" w:space="0" w:color="auto"/>
              <w:right w:val="single" w:sz="4" w:space="0" w:color="auto"/>
            </w:tcBorders>
            <w:hideMark/>
          </w:tcPr>
          <w:p w14:paraId="6004A25D" w14:textId="1669817D" w:rsidR="00D5130B" w:rsidRPr="00DE32B3"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DE32B3">
              <w:rPr>
                <w:rStyle w:val="InstructionsTabelleberschrift"/>
                <w:rFonts w:ascii="Times New Roman" w:eastAsia="Times New Roman" w:hAnsi="Times New Roman"/>
                <w:color w:val="000000"/>
                <w:kern w:val="0"/>
                <w:sz w:val="22"/>
                <w:u w:val="none"/>
                <w:lang w:eastAsia="ro-MD"/>
                <w14:ligatures w14:val="none"/>
              </w:rPr>
              <w:t xml:space="preserve">1.3.4. Cuantumul expunerii la risc pentru elementele bilanțiere și </w:t>
            </w:r>
            <w:proofErr w:type="spellStart"/>
            <w:r w:rsidRPr="00DE32B3">
              <w:rPr>
                <w:rStyle w:val="InstructionsTabelleberschrift"/>
                <w:rFonts w:ascii="Times New Roman" w:eastAsia="Times New Roman" w:hAnsi="Times New Roman"/>
                <w:color w:val="000000"/>
                <w:kern w:val="0"/>
                <w:sz w:val="22"/>
                <w:u w:val="none"/>
                <w:lang w:eastAsia="ro-MD"/>
                <w14:ligatures w14:val="none"/>
              </w:rPr>
              <w:t>extrabilanțiere</w:t>
            </w:r>
            <w:proofErr w:type="spellEnd"/>
            <w:r w:rsidRPr="00DE32B3">
              <w:rPr>
                <w:rStyle w:val="InstructionsTabelleberschrift"/>
                <w:rFonts w:ascii="Times New Roman" w:eastAsia="Times New Roman" w:hAnsi="Times New Roman"/>
                <w:color w:val="000000"/>
                <w:kern w:val="0"/>
                <w:sz w:val="22"/>
                <w:u w:val="none"/>
                <w:lang w:eastAsia="ro-MD"/>
                <w14:ligatures w14:val="none"/>
              </w:rPr>
              <w:t xml:space="preserve"> expuse la riscul de piață al entităților care aplică numai abordarea alternativă bazată pe modele interne (AIMA) sau o combinație între AIMA și ASA</w:t>
            </w:r>
          </w:p>
          <w:p w14:paraId="2CD5BB9A" w14:textId="4B5A64E3" w:rsidR="00D5130B" w:rsidRPr="00DE32B3" w:rsidRDefault="00D5130B" w:rsidP="009F37FB">
            <w:pPr>
              <w:spacing w:after="0" w:line="240" w:lineRule="auto"/>
              <w:rPr>
                <w:rStyle w:val="InstructionsTabelleberschrift"/>
                <w:rFonts w:ascii="Times New Roman" w:eastAsia="Times New Roman" w:hAnsi="Times New Roman"/>
                <w:b w:val="0"/>
                <w:bCs w:val="0"/>
                <w:color w:val="000000"/>
                <w:kern w:val="0"/>
                <w:sz w:val="22"/>
                <w:u w:val="none"/>
                <w:lang w:eastAsia="ro-MD"/>
                <w14:ligatures w14:val="none"/>
              </w:rPr>
            </w:pPr>
            <w:r w:rsidRPr="00DE32B3">
              <w:rPr>
                <w:rStyle w:val="FormatvorlageInstructionsTabelleText"/>
                <w:rFonts w:ascii="Times New Roman" w:eastAsia="Times New Roman" w:hAnsi="Times New Roman"/>
                <w:bCs w:val="0"/>
                <w:color w:val="000000"/>
                <w:kern w:val="0"/>
                <w:sz w:val="22"/>
                <w:lang w:eastAsia="ro-MD"/>
                <w14:ligatures w14:val="none"/>
              </w:rPr>
              <w:t>A se vedea formularul MKR AIMA SUM</w:t>
            </w:r>
          </w:p>
        </w:tc>
        <w:tc>
          <w:tcPr>
            <w:tcW w:w="531" w:type="pct"/>
          </w:tcPr>
          <w:p w14:paraId="3C0F9E2D" w14:textId="77777777" w:rsidR="00D5130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50AB2D60" w14:textId="557434C0" w:rsidR="00D5130B" w:rsidRPr="00B603AB"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19E19231" w14:textId="51F8A7B2"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4FC38283"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0589</w:t>
            </w:r>
          </w:p>
        </w:tc>
        <w:tc>
          <w:tcPr>
            <w:tcW w:w="3534" w:type="pct"/>
            <w:tcBorders>
              <w:top w:val="single" w:sz="4" w:space="0" w:color="auto"/>
              <w:left w:val="single" w:sz="4" w:space="0" w:color="auto"/>
              <w:bottom w:val="single" w:sz="4" w:space="0" w:color="auto"/>
              <w:right w:val="single" w:sz="4" w:space="0" w:color="auto"/>
            </w:tcBorders>
            <w:hideMark/>
          </w:tcPr>
          <w:p w14:paraId="1A72AE9D" w14:textId="79F265CC" w:rsidR="00D5130B" w:rsidRPr="009F37FB"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1.3* Cuantumul expunerii la risc pentru reclasificările între portofoliul bancar și portofoliul de tranzacționare</w:t>
            </w:r>
          </w:p>
          <w:p w14:paraId="3CA17A67" w14:textId="77777777" w:rsidR="00D5130B" w:rsidRPr="003F20AD" w:rsidRDefault="00D5130B" w:rsidP="009F37FB">
            <w:pPr>
              <w:spacing w:after="0" w:line="240" w:lineRule="auto"/>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A se vedea formularul MOV</w:t>
            </w:r>
          </w:p>
        </w:tc>
        <w:tc>
          <w:tcPr>
            <w:tcW w:w="531" w:type="pct"/>
          </w:tcPr>
          <w:p w14:paraId="6BB6C897" w14:textId="77777777" w:rsidR="00D5130B"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4B46401D" w14:textId="7219110D" w:rsidR="00D5130B" w:rsidRPr="003F20AD" w:rsidRDefault="00D5130B"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r>
      <w:tr w:rsidR="00D5130B" w:rsidRPr="002A677E" w14:paraId="11C3896E" w14:textId="61167A51"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DB2344B"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0590</w:t>
            </w:r>
          </w:p>
        </w:tc>
        <w:tc>
          <w:tcPr>
            <w:tcW w:w="3534" w:type="pct"/>
            <w:tcBorders>
              <w:top w:val="single" w:sz="4" w:space="0" w:color="auto"/>
              <w:left w:val="single" w:sz="4" w:space="0" w:color="auto"/>
              <w:bottom w:val="single" w:sz="4" w:space="0" w:color="auto"/>
              <w:right w:val="single" w:sz="4" w:space="0" w:color="auto"/>
            </w:tcBorders>
            <w:hideMark/>
          </w:tcPr>
          <w:p w14:paraId="388D20ED" w14:textId="2687464A" w:rsidR="00D5130B" w:rsidRPr="007A7826"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7A7826">
              <w:rPr>
                <w:rStyle w:val="InstructionsTabelleberschrift"/>
                <w:rFonts w:ascii="Times New Roman" w:eastAsia="Times New Roman" w:hAnsi="Times New Roman"/>
                <w:color w:val="000000"/>
                <w:kern w:val="0"/>
                <w:sz w:val="22"/>
                <w:u w:val="none"/>
                <w:lang w:eastAsia="ro-MD"/>
                <w14:ligatures w14:val="none"/>
              </w:rPr>
              <w:t>1.4. CUANTUMUL TOTAL AL EXPUNERII LA RISC PENTRU RISCUL OPERAȚIONAL (OPR)</w:t>
            </w:r>
          </w:p>
          <w:p w14:paraId="1E35D1EF" w14:textId="02B9BEC0" w:rsidR="00D5130B" w:rsidRPr="003F20AD" w:rsidRDefault="00D5130B" w:rsidP="009F37FB">
            <w:pPr>
              <w:spacing w:after="0" w:line="240" w:lineRule="auto"/>
              <w:rPr>
                <w:rStyle w:val="FormatvorlageInstructionsTabelleText"/>
                <w:rFonts w:ascii="Times New Roman" w:eastAsia="Times New Roman" w:hAnsi="Times New Roman"/>
                <w:bCs w:val="0"/>
                <w:color w:val="000000"/>
                <w:kern w:val="0"/>
                <w:sz w:val="22"/>
                <w:lang w:eastAsia="ro-MD"/>
                <w14:ligatures w14:val="none"/>
              </w:rPr>
            </w:pPr>
            <w:r w:rsidRPr="00886AF4">
              <w:rPr>
                <w:rFonts w:ascii="Times New Roman" w:eastAsia="Times New Roman" w:hAnsi="Times New Roman" w:cs="Times New Roman"/>
                <w:color w:val="000000"/>
                <w:kern w:val="0"/>
                <w:lang w:eastAsia="ro-MD"/>
                <w14:ligatures w14:val="none"/>
              </w:rPr>
              <w:t>Punct</w:t>
            </w:r>
            <w:r>
              <w:rPr>
                <w:rFonts w:ascii="Times New Roman" w:eastAsia="Times New Roman" w:hAnsi="Times New Roman" w:cs="Times New Roman"/>
                <w:color w:val="000000"/>
                <w:kern w:val="0"/>
                <w:lang w:eastAsia="ro-MD"/>
                <w14:ligatures w14:val="none"/>
              </w:rPr>
              <w:t>ele</w:t>
            </w:r>
            <w:r w:rsidRPr="00886AF4">
              <w:rPr>
                <w:rFonts w:ascii="Times New Roman" w:eastAsia="Times New Roman" w:hAnsi="Times New Roman" w:cs="Times New Roman"/>
                <w:color w:val="000000"/>
                <w:kern w:val="0"/>
                <w:lang w:eastAsia="ro-MD"/>
                <w14:ligatures w14:val="none"/>
              </w:rPr>
              <w:t xml:space="preserve"> </w:t>
            </w:r>
            <w:r w:rsidRPr="00534602">
              <w:rPr>
                <w:rFonts w:ascii="Times New Roman" w:eastAsia="Times New Roman" w:hAnsi="Times New Roman" w:cs="Times New Roman"/>
                <w:color w:val="000000"/>
                <w:kern w:val="0"/>
                <w:lang w:eastAsia="ro-MD"/>
                <w14:ligatures w14:val="none"/>
              </w:rPr>
              <w:t>13</w:t>
            </w:r>
            <w:r>
              <w:rPr>
                <w:rFonts w:ascii="Times New Roman" w:eastAsia="Times New Roman" w:hAnsi="Times New Roman" w:cs="Times New Roman"/>
                <w:color w:val="000000"/>
                <w:kern w:val="0"/>
                <w:lang w:eastAsia="ro-MD"/>
                <w14:ligatures w14:val="none"/>
              </w:rPr>
              <w:t>1</w:t>
            </w:r>
            <w:r w:rsidRPr="00680511">
              <w:rPr>
                <w:rFonts w:ascii="Times New Roman" w:eastAsia="Times New Roman" w:hAnsi="Times New Roman" w:cs="Times New Roman"/>
                <w:color w:val="000000"/>
                <w:kern w:val="0"/>
                <w:vertAlign w:val="superscript"/>
                <w:lang w:eastAsia="ro-MD"/>
                <w14:ligatures w14:val="none"/>
              </w:rPr>
              <w:t>1</w:t>
            </w:r>
            <w:r w:rsidRPr="00886AF4">
              <w:rPr>
                <w:rFonts w:ascii="Times New Roman" w:eastAsia="Times New Roman" w:hAnsi="Times New Roman" w:cs="Times New Roman"/>
                <w:color w:val="000000"/>
                <w:kern w:val="0"/>
                <w:lang w:eastAsia="ro-MD"/>
                <w14:ligatures w14:val="none"/>
              </w:rPr>
              <w:t xml:space="preserve"> și 132</w:t>
            </w:r>
            <w:r>
              <w:rPr>
                <w:rFonts w:ascii="Times New Roman" w:eastAsia="Times New Roman" w:hAnsi="Times New Roman" w:cs="Times New Roman"/>
                <w:color w:val="000000"/>
                <w:kern w:val="0"/>
                <w:lang w:eastAsia="ro-MD"/>
                <w14:ligatures w14:val="none"/>
              </w:rPr>
              <w:t xml:space="preserve"> subpct.5)</w:t>
            </w:r>
            <w:r w:rsidRPr="00886AF4">
              <w:rPr>
                <w:rFonts w:ascii="Times New Roman" w:eastAsia="Times New Roman" w:hAnsi="Times New Roman" w:cs="Times New Roman"/>
                <w:color w:val="000000"/>
                <w:kern w:val="0"/>
                <w:lang w:eastAsia="ro-MD"/>
                <w14:ligatures w14:val="none"/>
              </w:rPr>
              <w:t xml:space="preserve"> din Regulamentul nr.109/2018</w:t>
            </w:r>
          </w:p>
        </w:tc>
        <w:tc>
          <w:tcPr>
            <w:tcW w:w="531" w:type="pct"/>
          </w:tcPr>
          <w:p w14:paraId="7A87F36C" w14:textId="77777777" w:rsidR="00D5130B" w:rsidRPr="007A7826"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365F50D7" w14:textId="5E3A381F" w:rsidR="00D5130B" w:rsidRPr="007A7826"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56EEF616" w14:textId="01AD12AA"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4CF31E99"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0630</w:t>
            </w:r>
          </w:p>
        </w:tc>
        <w:tc>
          <w:tcPr>
            <w:tcW w:w="3534" w:type="pct"/>
            <w:tcBorders>
              <w:top w:val="single" w:sz="4" w:space="0" w:color="auto"/>
              <w:left w:val="single" w:sz="4" w:space="0" w:color="auto"/>
              <w:bottom w:val="single" w:sz="4" w:space="0" w:color="auto"/>
              <w:right w:val="single" w:sz="4" w:space="0" w:color="auto"/>
            </w:tcBorders>
            <w:hideMark/>
          </w:tcPr>
          <w:p w14:paraId="2B46D1E5" w14:textId="27EC272B"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7A7826">
              <w:rPr>
                <w:rStyle w:val="InstructionsTabelleberschrift"/>
                <w:rFonts w:ascii="Times New Roman" w:eastAsia="Times New Roman" w:hAnsi="Times New Roman"/>
                <w:color w:val="000000"/>
                <w:kern w:val="0"/>
                <w:sz w:val="22"/>
                <w:u w:val="none"/>
                <w:lang w:eastAsia="ro-MD"/>
                <w14:ligatures w14:val="none"/>
              </w:rPr>
              <w:t>1.5.  CUANTUMUL SUPLIMENTAR AL EXPUNERII LA RISC DATORATE CHELTUIELILOR GENERALE FIXE</w:t>
            </w:r>
            <w:r w:rsidRPr="003F20AD">
              <w:rPr>
                <w:rStyle w:val="FormatvorlageInstructionsTabelleText"/>
                <w:rFonts w:ascii="Times New Roman" w:eastAsia="Times New Roman" w:hAnsi="Times New Roman"/>
                <w:bCs w:val="0"/>
                <w:color w:val="000000"/>
                <w:kern w:val="0"/>
                <w:sz w:val="22"/>
                <w:lang w:eastAsia="ro-MD"/>
                <w14:ligatures w14:val="none"/>
              </w:rPr>
              <w:t xml:space="preserve"> </w:t>
            </w:r>
          </w:p>
        </w:tc>
        <w:tc>
          <w:tcPr>
            <w:tcW w:w="531" w:type="pct"/>
          </w:tcPr>
          <w:p w14:paraId="26A8FCF6" w14:textId="348B8BCC" w:rsidR="00D5130B" w:rsidRPr="002B024E" w:rsidRDefault="00754C20"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2B024E">
              <w:rPr>
                <w:rStyle w:val="InstructionsTabelleberschrift"/>
                <w:rFonts w:ascii="Times New Roman" w:eastAsia="Times New Roman" w:hAnsi="Times New Roman"/>
                <w:b w:val="0"/>
                <w:bCs w:val="0"/>
                <w:color w:val="000000"/>
                <w:kern w:val="0"/>
                <w:sz w:val="22"/>
                <w:u w:val="none"/>
                <w:lang w:eastAsia="ro-MD"/>
                <w14:ligatures w14:val="none"/>
              </w:rPr>
              <w:t>blocat</w:t>
            </w:r>
          </w:p>
        </w:tc>
        <w:tc>
          <w:tcPr>
            <w:tcW w:w="530" w:type="pct"/>
            <w:tcBorders>
              <w:top w:val="single" w:sz="4" w:space="0" w:color="auto"/>
              <w:left w:val="single" w:sz="4" w:space="0" w:color="auto"/>
              <w:bottom w:val="single" w:sz="4" w:space="0" w:color="auto"/>
              <w:right w:val="single" w:sz="4" w:space="0" w:color="auto"/>
            </w:tcBorders>
          </w:tcPr>
          <w:p w14:paraId="67B1ACF7" w14:textId="00BADD7F" w:rsidR="00D5130B" w:rsidRPr="002B024E" w:rsidRDefault="00754C20"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2B024E">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D5130B" w:rsidRPr="002A677E" w14:paraId="2ED6AFCB" w14:textId="26457C31"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2863972A"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0640</w:t>
            </w:r>
          </w:p>
        </w:tc>
        <w:tc>
          <w:tcPr>
            <w:tcW w:w="3534" w:type="pct"/>
            <w:tcBorders>
              <w:top w:val="single" w:sz="4" w:space="0" w:color="auto"/>
              <w:left w:val="single" w:sz="4" w:space="0" w:color="auto"/>
              <w:bottom w:val="single" w:sz="4" w:space="0" w:color="auto"/>
              <w:right w:val="single" w:sz="4" w:space="0" w:color="auto"/>
            </w:tcBorders>
            <w:hideMark/>
          </w:tcPr>
          <w:p w14:paraId="0FAAF2B0" w14:textId="339A2C1F" w:rsidR="00D5130B" w:rsidRPr="007A7826"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7A7826">
              <w:rPr>
                <w:rStyle w:val="InstructionsTabelleberschrift"/>
                <w:rFonts w:ascii="Times New Roman" w:eastAsia="Times New Roman" w:hAnsi="Times New Roman"/>
                <w:color w:val="000000"/>
                <w:kern w:val="0"/>
                <w:sz w:val="22"/>
                <w:u w:val="none"/>
                <w:lang w:eastAsia="ro-MD"/>
                <w14:ligatures w14:val="none"/>
              </w:rPr>
              <w:t>1.6.  CUANTUMUL TOTAL AL EXPUNERII LA RISC PENTRU AJUSTAREA EVALUĂRII CREDITULUI</w:t>
            </w:r>
          </w:p>
          <w:p w14:paraId="6CF95E04" w14:textId="77777777" w:rsidR="002B024E" w:rsidRDefault="00D5130B" w:rsidP="009F37FB">
            <w:pPr>
              <w:spacing w:after="0"/>
              <w:rPr>
                <w:rFonts w:ascii="Times New Roman" w:eastAsia="Times New Roman" w:hAnsi="Times New Roman" w:cs="Times New Roman"/>
                <w:color w:val="000000"/>
                <w:kern w:val="0"/>
                <w:lang w:eastAsia="ro-MD"/>
                <w14:ligatures w14:val="none"/>
              </w:rPr>
            </w:pPr>
            <w:r w:rsidRPr="00886AF4">
              <w:rPr>
                <w:rFonts w:ascii="Times New Roman" w:eastAsia="Times New Roman" w:hAnsi="Times New Roman" w:cs="Times New Roman"/>
                <w:color w:val="000000"/>
                <w:kern w:val="0"/>
                <w:lang w:eastAsia="ro-MD"/>
                <w14:ligatures w14:val="none"/>
              </w:rPr>
              <w:t>Punctul 132</w:t>
            </w:r>
            <w:r>
              <w:rPr>
                <w:rFonts w:ascii="Times New Roman" w:eastAsia="Times New Roman" w:hAnsi="Times New Roman" w:cs="Times New Roman"/>
                <w:color w:val="000000"/>
                <w:kern w:val="0"/>
                <w:lang w:eastAsia="ro-MD"/>
                <w14:ligatures w14:val="none"/>
              </w:rPr>
              <w:t xml:space="preserve"> subpct.3</w:t>
            </w:r>
            <w:r w:rsidRPr="006F6C14">
              <w:rPr>
                <w:rFonts w:ascii="Times New Roman" w:eastAsia="Times New Roman" w:hAnsi="Times New Roman" w:cs="Times New Roman"/>
                <w:color w:val="000000"/>
                <w:kern w:val="0"/>
                <w:vertAlign w:val="superscript"/>
                <w:lang w:eastAsia="ro-MD"/>
                <w14:ligatures w14:val="none"/>
              </w:rPr>
              <w:t>1</w:t>
            </w:r>
            <w:r>
              <w:rPr>
                <w:rFonts w:ascii="Times New Roman" w:eastAsia="Times New Roman" w:hAnsi="Times New Roman" w:cs="Times New Roman"/>
                <w:color w:val="000000"/>
                <w:kern w:val="0"/>
                <w:lang w:eastAsia="ro-MD"/>
                <w14:ligatures w14:val="none"/>
              </w:rPr>
              <w:t>)</w:t>
            </w:r>
            <w:r w:rsidRPr="00886AF4">
              <w:rPr>
                <w:rFonts w:ascii="Times New Roman" w:eastAsia="Times New Roman" w:hAnsi="Times New Roman" w:cs="Times New Roman"/>
                <w:color w:val="000000"/>
                <w:kern w:val="0"/>
                <w:lang w:eastAsia="ro-MD"/>
                <w14:ligatures w14:val="none"/>
              </w:rPr>
              <w:t xml:space="preserve"> din Regulamentul nr.109/2018</w:t>
            </w:r>
          </w:p>
          <w:p w14:paraId="56950B13" w14:textId="42AC7460"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InstructionsTabelleberschrift"/>
                <w:rFonts w:ascii="Times New Roman" w:eastAsia="Times New Roman" w:hAnsi="Times New Roman"/>
                <w:b w:val="0"/>
                <w:bCs w:val="0"/>
                <w:color w:val="000000"/>
                <w:kern w:val="0"/>
                <w:sz w:val="22"/>
                <w:u w:val="none"/>
                <w:lang w:eastAsia="ro-MD"/>
                <w14:ligatures w14:val="none"/>
              </w:rPr>
              <w:t>A se vedea formularul CVA.</w:t>
            </w:r>
            <w:r w:rsidRPr="003F20AD">
              <w:rPr>
                <w:rStyle w:val="FormatvorlageInstructionsTabelleText"/>
                <w:rFonts w:ascii="Times New Roman" w:eastAsia="Times New Roman" w:hAnsi="Times New Roman"/>
                <w:bCs w:val="0"/>
                <w:color w:val="000000"/>
                <w:kern w:val="0"/>
                <w:sz w:val="22"/>
                <w:lang w:eastAsia="ro-MD"/>
                <w14:ligatures w14:val="none"/>
              </w:rPr>
              <w:t xml:space="preserve"> </w:t>
            </w:r>
          </w:p>
        </w:tc>
        <w:tc>
          <w:tcPr>
            <w:tcW w:w="531" w:type="pct"/>
          </w:tcPr>
          <w:p w14:paraId="7A846267" w14:textId="77777777" w:rsidR="00D5130B" w:rsidRPr="007A7826"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52BA22F7" w14:textId="3BFD2BC1" w:rsidR="00D5130B" w:rsidRPr="007A7826"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798BDD17" w14:textId="49DC3C4A"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D22DB0E"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0655</w:t>
            </w:r>
          </w:p>
        </w:tc>
        <w:tc>
          <w:tcPr>
            <w:tcW w:w="3534" w:type="pct"/>
            <w:tcBorders>
              <w:top w:val="single" w:sz="4" w:space="0" w:color="auto"/>
              <w:left w:val="single" w:sz="4" w:space="0" w:color="auto"/>
              <w:bottom w:val="single" w:sz="4" w:space="0" w:color="auto"/>
              <w:right w:val="single" w:sz="4" w:space="0" w:color="auto"/>
            </w:tcBorders>
            <w:hideMark/>
          </w:tcPr>
          <w:p w14:paraId="3D3A9FE6" w14:textId="290C2CB1" w:rsidR="00D5130B" w:rsidRPr="007A7826"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7A7826">
              <w:rPr>
                <w:rStyle w:val="InstructionsTabelleberschrift"/>
                <w:rFonts w:ascii="Times New Roman" w:eastAsia="Times New Roman" w:hAnsi="Times New Roman"/>
                <w:color w:val="000000"/>
                <w:kern w:val="0"/>
                <w:sz w:val="22"/>
                <w:u w:val="none"/>
                <w:lang w:eastAsia="ro-MD"/>
                <w14:ligatures w14:val="none"/>
              </w:rPr>
              <w:t>1.6.4. Abordarea standardizată (SA)</w:t>
            </w:r>
          </w:p>
          <w:p w14:paraId="0D14FF1E" w14:textId="1DDA163C"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Pr>
                <w:rFonts w:ascii="Times New Roman" w:eastAsia="Times New Roman" w:hAnsi="Times New Roman" w:cs="Times New Roman"/>
                <w:color w:val="000000"/>
                <w:kern w:val="0"/>
                <w:lang w:eastAsia="ro-MD"/>
                <w14:ligatures w14:val="none"/>
              </w:rPr>
              <w:t xml:space="preserve">Punctele 17 – 19 din Regulamentul </w:t>
            </w:r>
            <w:r w:rsidRPr="00AB4E66">
              <w:rPr>
                <w:rFonts w:ascii="Times New Roman" w:eastAsia="Times New Roman" w:hAnsi="Times New Roman" w:cs="Times New Roman"/>
                <w:color w:val="000000"/>
                <w:kern w:val="0"/>
                <w:lang w:eastAsia="ro-MD"/>
                <w14:ligatures w14:val="none"/>
              </w:rPr>
              <w:t>cu privire la tratamentul riscului de ajustare a evaluării creditului pentru bănci</w:t>
            </w:r>
          </w:p>
        </w:tc>
        <w:tc>
          <w:tcPr>
            <w:tcW w:w="531" w:type="pct"/>
          </w:tcPr>
          <w:p w14:paraId="3701E42C" w14:textId="77777777" w:rsidR="00D5130B" w:rsidRPr="007A7826"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2101C591" w14:textId="43BFFAB6" w:rsidR="00D5130B" w:rsidRPr="007A7826"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135432F9" w14:textId="5C05079E"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05ADA83B"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0665</w:t>
            </w:r>
          </w:p>
        </w:tc>
        <w:tc>
          <w:tcPr>
            <w:tcW w:w="3534" w:type="pct"/>
            <w:tcBorders>
              <w:top w:val="single" w:sz="4" w:space="0" w:color="auto"/>
              <w:left w:val="single" w:sz="4" w:space="0" w:color="auto"/>
              <w:bottom w:val="single" w:sz="4" w:space="0" w:color="auto"/>
              <w:right w:val="single" w:sz="4" w:space="0" w:color="auto"/>
            </w:tcBorders>
            <w:hideMark/>
          </w:tcPr>
          <w:p w14:paraId="721B900F" w14:textId="03A7CAA4" w:rsidR="00D5130B" w:rsidRPr="007A7826"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7A7826">
              <w:rPr>
                <w:rStyle w:val="InstructionsTabelleberschrift"/>
                <w:rFonts w:ascii="Times New Roman" w:eastAsia="Times New Roman" w:hAnsi="Times New Roman"/>
                <w:color w:val="000000"/>
                <w:kern w:val="0"/>
                <w:sz w:val="22"/>
                <w:u w:val="none"/>
                <w:lang w:eastAsia="ro-MD"/>
                <w14:ligatures w14:val="none"/>
              </w:rPr>
              <w:t>1.6.5. Abordarea de bază integrală (F-BA)</w:t>
            </w:r>
          </w:p>
          <w:p w14:paraId="26728B3C" w14:textId="7F3056BB"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Pr>
                <w:rFonts w:ascii="Times New Roman" w:eastAsia="Times New Roman" w:hAnsi="Times New Roman" w:cs="Times New Roman"/>
                <w:color w:val="000000"/>
                <w:kern w:val="0"/>
                <w:lang w:eastAsia="ro-MD"/>
                <w14:ligatures w14:val="none"/>
              </w:rPr>
              <w:t xml:space="preserve">Punctul 115 din Regulamentul </w:t>
            </w:r>
            <w:r w:rsidRPr="00AB4E66">
              <w:rPr>
                <w:rFonts w:ascii="Times New Roman" w:eastAsia="Times New Roman" w:hAnsi="Times New Roman" w:cs="Times New Roman"/>
                <w:color w:val="000000"/>
                <w:kern w:val="0"/>
                <w:lang w:eastAsia="ro-MD"/>
                <w14:ligatures w14:val="none"/>
              </w:rPr>
              <w:t xml:space="preserve">cu privire la tratamentul riscului de ajustare a evaluării creditului pentru </w:t>
            </w:r>
            <w:r w:rsidRPr="003F661F">
              <w:rPr>
                <w:rFonts w:ascii="Times New Roman" w:eastAsia="Times New Roman" w:hAnsi="Times New Roman" w:cs="Times New Roman"/>
                <w:color w:val="000000"/>
                <w:kern w:val="0"/>
                <w:lang w:eastAsia="ro-MD"/>
                <w14:ligatures w14:val="none"/>
              </w:rPr>
              <w:t>bănci</w:t>
            </w:r>
          </w:p>
        </w:tc>
        <w:tc>
          <w:tcPr>
            <w:tcW w:w="531" w:type="pct"/>
          </w:tcPr>
          <w:p w14:paraId="022C4B5C" w14:textId="77777777" w:rsidR="00D5130B" w:rsidRPr="007A7826"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48021E3A" w14:textId="5E9B2D78" w:rsidR="00D5130B" w:rsidRPr="007A7826"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71DA2B21" w14:textId="144E6B25"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20343A73"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0666</w:t>
            </w:r>
          </w:p>
        </w:tc>
        <w:tc>
          <w:tcPr>
            <w:tcW w:w="3534" w:type="pct"/>
            <w:tcBorders>
              <w:top w:val="single" w:sz="4" w:space="0" w:color="auto"/>
              <w:left w:val="single" w:sz="4" w:space="0" w:color="auto"/>
              <w:bottom w:val="single" w:sz="4" w:space="0" w:color="auto"/>
              <w:right w:val="single" w:sz="4" w:space="0" w:color="auto"/>
            </w:tcBorders>
            <w:hideMark/>
          </w:tcPr>
          <w:p w14:paraId="0EB305E7" w14:textId="12A37F8C" w:rsidR="00D5130B" w:rsidRPr="007A7826"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7A7826">
              <w:rPr>
                <w:rStyle w:val="InstructionsTabelleberschrift"/>
                <w:rFonts w:ascii="Times New Roman" w:eastAsia="Times New Roman" w:hAnsi="Times New Roman"/>
                <w:color w:val="000000"/>
                <w:kern w:val="0"/>
                <w:sz w:val="22"/>
                <w:u w:val="none"/>
                <w:lang w:eastAsia="ro-MD"/>
                <w14:ligatures w14:val="none"/>
              </w:rPr>
              <w:t>1.6.6. Abordarea de bază redusă (R-BA)</w:t>
            </w:r>
          </w:p>
          <w:p w14:paraId="04F62445" w14:textId="75A9A131"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Pr>
                <w:rFonts w:ascii="Times New Roman" w:eastAsia="Times New Roman" w:hAnsi="Times New Roman" w:cs="Times New Roman"/>
                <w:color w:val="000000"/>
                <w:kern w:val="0"/>
                <w:lang w:eastAsia="ro-MD"/>
                <w14:ligatures w14:val="none"/>
              </w:rPr>
              <w:t xml:space="preserve">Punctul 114 din Regulamentul </w:t>
            </w:r>
            <w:r w:rsidRPr="00AB4E66">
              <w:rPr>
                <w:rFonts w:ascii="Times New Roman" w:eastAsia="Times New Roman" w:hAnsi="Times New Roman" w:cs="Times New Roman"/>
                <w:color w:val="000000"/>
                <w:kern w:val="0"/>
                <w:lang w:eastAsia="ro-MD"/>
                <w14:ligatures w14:val="none"/>
              </w:rPr>
              <w:t xml:space="preserve">cu privire la tratamentul riscului de ajustare a evaluării creditului pentru </w:t>
            </w:r>
            <w:r w:rsidRPr="007E118B">
              <w:rPr>
                <w:rFonts w:ascii="Times New Roman" w:eastAsia="Times New Roman" w:hAnsi="Times New Roman" w:cs="Times New Roman"/>
                <w:color w:val="000000"/>
                <w:kern w:val="0"/>
                <w:lang w:eastAsia="ro-MD"/>
                <w14:ligatures w14:val="none"/>
              </w:rPr>
              <w:t>bănci</w:t>
            </w:r>
          </w:p>
        </w:tc>
        <w:tc>
          <w:tcPr>
            <w:tcW w:w="531" w:type="pct"/>
          </w:tcPr>
          <w:p w14:paraId="3EC99ED3" w14:textId="77777777" w:rsidR="00D5130B" w:rsidRPr="007A7826"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1F711647" w14:textId="7853B813" w:rsidR="00D5130B" w:rsidRPr="007A7826"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2AAB54F4" w14:textId="50705F3C"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59B57671"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0675</w:t>
            </w:r>
          </w:p>
        </w:tc>
        <w:tc>
          <w:tcPr>
            <w:tcW w:w="3534" w:type="pct"/>
            <w:tcBorders>
              <w:top w:val="single" w:sz="4" w:space="0" w:color="auto"/>
              <w:left w:val="single" w:sz="4" w:space="0" w:color="auto"/>
              <w:bottom w:val="single" w:sz="4" w:space="0" w:color="auto"/>
              <w:right w:val="single" w:sz="4" w:space="0" w:color="auto"/>
            </w:tcBorders>
            <w:hideMark/>
          </w:tcPr>
          <w:p w14:paraId="218DA4CB" w14:textId="177A8B6E" w:rsidR="00D5130B" w:rsidRPr="007A7826"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7A7826">
              <w:rPr>
                <w:rStyle w:val="InstructionsTabelleberschrift"/>
                <w:rFonts w:ascii="Times New Roman" w:eastAsia="Times New Roman" w:hAnsi="Times New Roman"/>
                <w:color w:val="000000"/>
                <w:kern w:val="0"/>
                <w:sz w:val="22"/>
                <w:u w:val="none"/>
                <w:lang w:eastAsia="ro-MD"/>
                <w14:ligatures w14:val="none"/>
              </w:rPr>
              <w:t>1.6.7. Abordarea simplificată</w:t>
            </w:r>
          </w:p>
          <w:p w14:paraId="51F7CE1F" w14:textId="6FCF5BB2"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Pr>
                <w:rFonts w:ascii="Times New Roman" w:eastAsia="Times New Roman" w:hAnsi="Times New Roman" w:cs="Times New Roman"/>
                <w:color w:val="000000"/>
                <w:kern w:val="0"/>
                <w:lang w:eastAsia="ro-MD"/>
                <w14:ligatures w14:val="none"/>
              </w:rPr>
              <w:t xml:space="preserve">Punctele 116-118 din Regulamentul </w:t>
            </w:r>
            <w:r w:rsidRPr="00AB4E66">
              <w:rPr>
                <w:rFonts w:ascii="Times New Roman" w:eastAsia="Times New Roman" w:hAnsi="Times New Roman" w:cs="Times New Roman"/>
                <w:color w:val="000000"/>
                <w:kern w:val="0"/>
                <w:lang w:eastAsia="ro-MD"/>
                <w14:ligatures w14:val="none"/>
              </w:rPr>
              <w:t>cu privire la tratamentul riscului de ajustare a evaluării creditului pentru bănc</w:t>
            </w:r>
            <w:r>
              <w:rPr>
                <w:rFonts w:ascii="Times New Roman" w:eastAsia="Times New Roman" w:hAnsi="Times New Roman" w:cs="Times New Roman"/>
                <w:color w:val="000000"/>
                <w:kern w:val="0"/>
                <w:lang w:eastAsia="ro-MD"/>
                <w14:ligatures w14:val="none"/>
              </w:rPr>
              <w:t>i</w:t>
            </w:r>
          </w:p>
        </w:tc>
        <w:tc>
          <w:tcPr>
            <w:tcW w:w="531" w:type="pct"/>
          </w:tcPr>
          <w:p w14:paraId="1C6C150D" w14:textId="77777777" w:rsidR="00D5130B" w:rsidRPr="007A7826"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0202588B" w14:textId="57DEE10A" w:rsidR="00D5130B" w:rsidRPr="007A7826"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78709055" w14:textId="2F0B7482"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09E6D861"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0676</w:t>
            </w:r>
          </w:p>
        </w:tc>
        <w:tc>
          <w:tcPr>
            <w:tcW w:w="3534" w:type="pct"/>
            <w:tcBorders>
              <w:top w:val="single" w:sz="4" w:space="0" w:color="auto"/>
              <w:left w:val="single" w:sz="4" w:space="0" w:color="auto"/>
              <w:bottom w:val="single" w:sz="4" w:space="0" w:color="auto"/>
              <w:right w:val="single" w:sz="4" w:space="0" w:color="auto"/>
            </w:tcBorders>
            <w:hideMark/>
          </w:tcPr>
          <w:p w14:paraId="7807BC81" w14:textId="3C9F38F4" w:rsidR="00D5130B" w:rsidRPr="007A7826"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7A7826">
              <w:rPr>
                <w:rStyle w:val="InstructionsTabelleberschrift"/>
                <w:rFonts w:ascii="Times New Roman" w:eastAsia="Times New Roman" w:hAnsi="Times New Roman"/>
                <w:color w:val="000000"/>
                <w:kern w:val="0"/>
                <w:sz w:val="22"/>
                <w:u w:val="none"/>
                <w:lang w:eastAsia="ro-MD"/>
                <w14:ligatures w14:val="none"/>
              </w:rPr>
              <w:t>1.6.8. Tratamentul simplificat pentru pozițiile pe instrumente financiare derivate aferente OPC-urilor</w:t>
            </w:r>
          </w:p>
          <w:p w14:paraId="5BD794B3" w14:textId="18BEDA0A" w:rsidR="00D5130B" w:rsidRPr="002B024E"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2B024E">
              <w:rPr>
                <w:rFonts w:ascii="Times New Roman" w:eastAsia="Times New Roman" w:hAnsi="Times New Roman" w:cs="Times New Roman"/>
                <w:color w:val="000000"/>
                <w:kern w:val="0"/>
                <w:lang w:eastAsia="ro-MD"/>
                <w14:ligatures w14:val="none"/>
              </w:rPr>
              <w:t>Punctele 82</w:t>
            </w:r>
            <w:r w:rsidRPr="002B024E">
              <w:rPr>
                <w:rFonts w:ascii="Times New Roman" w:eastAsia="Times New Roman" w:hAnsi="Times New Roman" w:cs="Times New Roman"/>
                <w:color w:val="000000"/>
                <w:kern w:val="0"/>
                <w:vertAlign w:val="superscript"/>
                <w:lang w:eastAsia="ro-MD"/>
                <w14:ligatures w14:val="none"/>
              </w:rPr>
              <w:t>18</w:t>
            </w:r>
            <w:r w:rsidRPr="002B024E">
              <w:rPr>
                <w:rFonts w:ascii="Times New Roman" w:eastAsia="Times New Roman" w:hAnsi="Times New Roman" w:cs="Times New Roman"/>
                <w:color w:val="000000"/>
                <w:kern w:val="0"/>
                <w:lang w:eastAsia="ro-MD"/>
                <w14:ligatures w14:val="none"/>
              </w:rPr>
              <w:t xml:space="preserve"> - 82</w:t>
            </w:r>
            <w:r w:rsidRPr="002B024E">
              <w:rPr>
                <w:rFonts w:ascii="Times New Roman" w:eastAsia="Times New Roman" w:hAnsi="Times New Roman" w:cs="Times New Roman"/>
                <w:color w:val="000000"/>
                <w:kern w:val="0"/>
                <w:vertAlign w:val="superscript"/>
                <w:lang w:eastAsia="ro-MD"/>
                <w14:ligatures w14:val="none"/>
              </w:rPr>
              <w:t>19</w:t>
            </w:r>
            <w:r w:rsidRPr="002B024E">
              <w:rPr>
                <w:rFonts w:ascii="Times New Roman" w:eastAsia="Times New Roman" w:hAnsi="Times New Roman" w:cs="Times New Roman"/>
                <w:color w:val="000000"/>
                <w:kern w:val="0"/>
                <w:lang w:eastAsia="ro-MD"/>
                <w14:ligatures w14:val="none"/>
              </w:rPr>
              <w:t xml:space="preserve"> </w:t>
            </w:r>
            <w:r w:rsidRPr="002B024E">
              <w:rPr>
                <w:rFonts w:ascii="Times New Roman" w:eastAsia="Times New Roman" w:hAnsi="Times New Roman" w:cs="Times New Roman"/>
                <w:kern w:val="0"/>
                <w:lang w:eastAsia="ro-MD"/>
                <w14:ligatures w14:val="none"/>
              </w:rPr>
              <w:t>din</w:t>
            </w:r>
            <w:r w:rsidRPr="002B024E">
              <w:rPr>
                <w:rFonts w:ascii="Times New Roman" w:eastAsia="Times New Roman" w:hAnsi="Times New Roman" w:cs="Times New Roman"/>
                <w:color w:val="000000"/>
                <w:kern w:val="0"/>
                <w:lang w:eastAsia="ro-MD"/>
                <w14:ligatures w14:val="none"/>
              </w:rPr>
              <w:t xml:space="preserve"> Regulamentul </w:t>
            </w:r>
            <w:r w:rsidRPr="002B024E">
              <w:rPr>
                <w:rFonts w:ascii="Times New Roman" w:eastAsia="Times New Roman" w:hAnsi="Times New Roman" w:cs="Times New Roman"/>
                <w:kern w:val="0"/>
                <w:lang w:eastAsia="ro-MD"/>
                <w14:ligatures w14:val="none"/>
              </w:rPr>
              <w:t xml:space="preserve">nr. 111/2018 și punctele 61 - 62 a </w:t>
            </w:r>
            <w:r w:rsidRPr="002B024E">
              <w:rPr>
                <w:rFonts w:ascii="Times New Roman" w:eastAsia="Times New Roman" w:hAnsi="Times New Roman" w:cs="Times New Roman"/>
                <w:color w:val="000000"/>
                <w:kern w:val="0"/>
                <w:lang w:eastAsia="ro-MD"/>
                <w14:ligatures w14:val="none"/>
              </w:rPr>
              <w:t xml:space="preserve">Regulamentului </w:t>
            </w:r>
            <w:r w:rsidR="00754C20" w:rsidRPr="002B024E">
              <w:rPr>
                <w:rFonts w:ascii="Times New Roman" w:eastAsia="Times New Roman" w:hAnsi="Times New Roman" w:cs="Times New Roman"/>
                <w:color w:val="000000"/>
                <w:kern w:val="0"/>
                <w:lang w:eastAsia="ro-MD"/>
                <w14:ligatures w14:val="none"/>
              </w:rPr>
              <w:t>cu privire la</w:t>
            </w:r>
            <w:r w:rsidRPr="002B024E">
              <w:rPr>
                <w:rFonts w:ascii="Times New Roman" w:eastAsia="Times New Roman" w:hAnsi="Times New Roman" w:cs="Times New Roman"/>
                <w:color w:val="000000"/>
                <w:kern w:val="0"/>
                <w:lang w:eastAsia="ro-MD"/>
                <w14:ligatures w14:val="none"/>
              </w:rPr>
              <w:t xml:space="preserve"> tratamentul riscului de credit pentru bănci potrivit abordării bazate pe modele interne de rating</w:t>
            </w:r>
            <w:r w:rsidRPr="002B024E">
              <w:rPr>
                <w:rStyle w:val="InstructionsTabelleberschrift"/>
                <w:rFonts w:ascii="Times New Roman" w:hAnsi="Times New Roman"/>
                <w:b w:val="0"/>
                <w:bCs w:val="0"/>
                <w:color w:val="000000"/>
                <w:sz w:val="22"/>
                <w:u w:val="none"/>
              </w:rPr>
              <w:t xml:space="preserve">  </w:t>
            </w:r>
          </w:p>
        </w:tc>
        <w:tc>
          <w:tcPr>
            <w:tcW w:w="531" w:type="pct"/>
          </w:tcPr>
          <w:p w14:paraId="6556AAF4" w14:textId="77777777" w:rsidR="00D5130B" w:rsidRDefault="00D5130B" w:rsidP="009F37FB">
            <w:pPr>
              <w:spacing w:after="0"/>
              <w:jc w:val="center"/>
              <w:rPr>
                <w:rStyle w:val="InstructionsTabelleberschrift"/>
              </w:rPr>
            </w:pPr>
          </w:p>
        </w:tc>
        <w:tc>
          <w:tcPr>
            <w:tcW w:w="530" w:type="pct"/>
            <w:tcBorders>
              <w:top w:val="single" w:sz="4" w:space="0" w:color="auto"/>
              <w:left w:val="single" w:sz="4" w:space="0" w:color="auto"/>
              <w:bottom w:val="single" w:sz="4" w:space="0" w:color="auto"/>
              <w:right w:val="single" w:sz="4" w:space="0" w:color="auto"/>
            </w:tcBorders>
          </w:tcPr>
          <w:p w14:paraId="523A7D7A" w14:textId="79705415" w:rsidR="00D5130B" w:rsidRDefault="00D5130B" w:rsidP="009F37FB">
            <w:pPr>
              <w:spacing w:after="0"/>
              <w:jc w:val="center"/>
              <w:rPr>
                <w:rStyle w:val="InstructionsTabelleberschrift"/>
              </w:rPr>
            </w:pPr>
          </w:p>
          <w:p w14:paraId="658178EB" w14:textId="1678715F" w:rsidR="00D5130B" w:rsidRPr="007A7826"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48B7F0B3" w14:textId="3308AA1C"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115E1002"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0680</w:t>
            </w:r>
          </w:p>
        </w:tc>
        <w:tc>
          <w:tcPr>
            <w:tcW w:w="3534" w:type="pct"/>
            <w:tcBorders>
              <w:top w:val="single" w:sz="4" w:space="0" w:color="auto"/>
              <w:left w:val="single" w:sz="4" w:space="0" w:color="auto"/>
              <w:bottom w:val="single" w:sz="4" w:space="0" w:color="auto"/>
              <w:right w:val="single" w:sz="4" w:space="0" w:color="auto"/>
            </w:tcBorders>
            <w:hideMark/>
          </w:tcPr>
          <w:p w14:paraId="6098CB68" w14:textId="4E361D90" w:rsidR="00D5130B" w:rsidRPr="007A7826" w:rsidRDefault="00D5130B" w:rsidP="009F37FB">
            <w:pPr>
              <w:spacing w:after="0"/>
              <w:rPr>
                <w:rStyle w:val="FormatvorlageInstructionsTabelleText"/>
                <w:rFonts w:ascii="Times New Roman" w:eastAsia="Times New Roman" w:hAnsi="Times New Roman"/>
                <w:color w:val="000000"/>
                <w:kern w:val="0"/>
                <w:sz w:val="22"/>
                <w:lang w:eastAsia="ro-MD"/>
                <w14:ligatures w14:val="none"/>
              </w:rPr>
            </w:pPr>
            <w:r w:rsidRPr="007A7826">
              <w:rPr>
                <w:rStyle w:val="InstructionsTabelleberschrift"/>
                <w:rFonts w:ascii="Times New Roman" w:eastAsia="Times New Roman" w:hAnsi="Times New Roman"/>
                <w:color w:val="000000"/>
                <w:kern w:val="0"/>
                <w:sz w:val="22"/>
                <w:u w:val="none"/>
                <w:lang w:eastAsia="ro-MD"/>
                <w14:ligatures w14:val="none"/>
              </w:rPr>
              <w:t>1.7. CUANTUMUL TOTAL AL EXPUNERILOR LA RISC LEGAT DE EXPUNERILE MARI DIN PORTOFOLIUL DE TRANZACȚIONARE</w:t>
            </w:r>
          </w:p>
          <w:p w14:paraId="60C034D6" w14:textId="511CAAAA"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886AF4">
              <w:rPr>
                <w:rFonts w:ascii="Times New Roman" w:eastAsia="Times New Roman" w:hAnsi="Times New Roman" w:cs="Times New Roman"/>
                <w:color w:val="000000"/>
                <w:kern w:val="0"/>
                <w:lang w:eastAsia="ro-MD"/>
                <w14:ligatures w14:val="none"/>
              </w:rPr>
              <w:t>Punctul 132</w:t>
            </w:r>
            <w:r>
              <w:rPr>
                <w:rFonts w:ascii="Times New Roman" w:eastAsia="Times New Roman" w:hAnsi="Times New Roman" w:cs="Times New Roman"/>
                <w:color w:val="000000"/>
                <w:kern w:val="0"/>
                <w:lang w:eastAsia="ro-MD"/>
                <w14:ligatures w14:val="none"/>
              </w:rPr>
              <w:t xml:space="preserve"> </w:t>
            </w:r>
            <w:proofErr w:type="spellStart"/>
            <w:r>
              <w:rPr>
                <w:rFonts w:ascii="Times New Roman" w:eastAsia="Times New Roman" w:hAnsi="Times New Roman" w:cs="Times New Roman"/>
                <w:color w:val="000000"/>
                <w:kern w:val="0"/>
                <w:lang w:eastAsia="ro-MD"/>
                <w14:ligatures w14:val="none"/>
              </w:rPr>
              <w:t>subpct</w:t>
            </w:r>
            <w:proofErr w:type="spellEnd"/>
            <w:r>
              <w:rPr>
                <w:rFonts w:ascii="Times New Roman" w:eastAsia="Times New Roman" w:hAnsi="Times New Roman" w:cs="Times New Roman"/>
                <w:color w:val="000000"/>
                <w:kern w:val="0"/>
                <w:lang w:eastAsia="ro-MD"/>
                <w14:ligatures w14:val="none"/>
              </w:rPr>
              <w:t>. 2)</w:t>
            </w:r>
            <w:r w:rsidRPr="00886AF4">
              <w:rPr>
                <w:rFonts w:ascii="Times New Roman" w:eastAsia="Times New Roman" w:hAnsi="Times New Roman" w:cs="Times New Roman"/>
                <w:color w:val="000000"/>
                <w:kern w:val="0"/>
                <w:lang w:eastAsia="ro-MD"/>
                <w14:ligatures w14:val="none"/>
              </w:rPr>
              <w:t xml:space="preserve"> din Regulamentul nr.109/2018</w:t>
            </w:r>
            <w:r w:rsidRPr="003F20AD">
              <w:rPr>
                <w:rStyle w:val="FormatvorlageInstructionsTabelleText"/>
                <w:rFonts w:ascii="Times New Roman" w:eastAsia="Times New Roman" w:hAnsi="Times New Roman"/>
                <w:bCs w:val="0"/>
                <w:color w:val="000000"/>
                <w:kern w:val="0"/>
                <w:sz w:val="22"/>
                <w:lang w:eastAsia="ro-MD"/>
                <w14:ligatures w14:val="none"/>
              </w:rPr>
              <w:t xml:space="preserve"> </w:t>
            </w:r>
          </w:p>
        </w:tc>
        <w:tc>
          <w:tcPr>
            <w:tcW w:w="531" w:type="pct"/>
          </w:tcPr>
          <w:p w14:paraId="37531A37" w14:textId="77777777" w:rsidR="00D5130B" w:rsidRPr="007A7826"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6E72CCBC" w14:textId="48E94043" w:rsidR="00D5130B" w:rsidRPr="007A7826"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D5130B" w:rsidRPr="002A677E" w14:paraId="06FBCBC7" w14:textId="45253CF6"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5399DFA3" w14:textId="77777777" w:rsidR="00D5130B" w:rsidRPr="003F20AD" w:rsidRDefault="00D5130B"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0690</w:t>
            </w:r>
          </w:p>
        </w:tc>
        <w:tc>
          <w:tcPr>
            <w:tcW w:w="3534" w:type="pct"/>
            <w:tcBorders>
              <w:top w:val="single" w:sz="4" w:space="0" w:color="auto"/>
              <w:left w:val="single" w:sz="4" w:space="0" w:color="auto"/>
              <w:bottom w:val="single" w:sz="4" w:space="0" w:color="auto"/>
              <w:right w:val="single" w:sz="4" w:space="0" w:color="auto"/>
            </w:tcBorders>
            <w:hideMark/>
          </w:tcPr>
          <w:p w14:paraId="51255D89" w14:textId="0F1111CC" w:rsidR="00D5130B" w:rsidRPr="007A7826" w:rsidRDefault="00D5130B"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7A7826">
              <w:rPr>
                <w:rStyle w:val="InstructionsTabelleberschrift"/>
                <w:rFonts w:ascii="Times New Roman" w:eastAsia="Times New Roman" w:hAnsi="Times New Roman"/>
                <w:color w:val="000000"/>
                <w:kern w:val="0"/>
                <w:sz w:val="22"/>
                <w:u w:val="none"/>
                <w:lang w:eastAsia="ro-MD"/>
                <w14:ligatures w14:val="none"/>
              </w:rPr>
              <w:t>1.8.  ALTE CUANTUMURI ALE EXPUNERII LA RISC</w:t>
            </w:r>
          </w:p>
          <w:p w14:paraId="21822B23" w14:textId="4F473C82"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886AF4">
              <w:rPr>
                <w:rFonts w:ascii="Times New Roman" w:eastAsia="Times New Roman" w:hAnsi="Times New Roman" w:cs="Times New Roman"/>
                <w:color w:val="000000"/>
                <w:kern w:val="0"/>
                <w:lang w:eastAsia="ro-MD"/>
                <w14:ligatures w14:val="none"/>
              </w:rPr>
              <w:t>Punctul 3 din Regulamentul nr.109/2018</w:t>
            </w:r>
            <w:r w:rsidR="002B024E">
              <w:rPr>
                <w:rFonts w:ascii="Times New Roman" w:eastAsia="Times New Roman" w:hAnsi="Times New Roman" w:cs="Times New Roman"/>
                <w:color w:val="000000"/>
                <w:kern w:val="0"/>
                <w:lang w:eastAsia="ro-MD"/>
                <w14:ligatures w14:val="none"/>
              </w:rPr>
              <w:t xml:space="preserve"> </w:t>
            </w:r>
            <w:r w:rsidRPr="003F20AD">
              <w:rPr>
                <w:rStyle w:val="InstructionsTabelleberschrift"/>
                <w:rFonts w:ascii="Times New Roman" w:eastAsia="Times New Roman" w:hAnsi="Times New Roman"/>
                <w:b w:val="0"/>
                <w:bCs w:val="0"/>
                <w:color w:val="000000"/>
                <w:kern w:val="0"/>
                <w:sz w:val="22"/>
                <w:u w:val="none"/>
                <w:lang w:eastAsia="ro-MD"/>
                <w14:ligatures w14:val="none"/>
              </w:rPr>
              <w:t xml:space="preserve">și cuantumurile expunerii la risc care nu pot fi încadrate la unul dintre punctele 1.1-1.7. </w:t>
            </w:r>
          </w:p>
          <w:p w14:paraId="4AA3BFA4" w14:textId="77777777" w:rsidR="00D5130B" w:rsidRPr="003F20AD" w:rsidRDefault="00D5130B"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InstructionsTabelleberschrift"/>
                <w:rFonts w:ascii="Times New Roman" w:eastAsia="Times New Roman" w:hAnsi="Times New Roman"/>
                <w:b w:val="0"/>
                <w:bCs w:val="0"/>
                <w:color w:val="000000"/>
                <w:kern w:val="0"/>
                <w:sz w:val="22"/>
                <w:u w:val="none"/>
                <w:lang w:eastAsia="ro-MD"/>
                <w14:ligatures w14:val="none"/>
              </w:rPr>
              <w:t xml:space="preserve">Acest element nu este legat de un formular detaliat. </w:t>
            </w:r>
          </w:p>
        </w:tc>
        <w:tc>
          <w:tcPr>
            <w:tcW w:w="531" w:type="pct"/>
          </w:tcPr>
          <w:p w14:paraId="418EE788" w14:textId="77777777" w:rsidR="00D5130B" w:rsidRPr="007A7826"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40A07C2A" w14:textId="0A217B96" w:rsidR="00D5130B" w:rsidRPr="007A7826" w:rsidRDefault="00D5130B"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r>
      <w:tr w:rsidR="00597388" w:rsidRPr="002A677E" w14:paraId="54B05A2D" w14:textId="67C82615"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04C53291" w14:textId="77777777" w:rsidR="00597388" w:rsidRPr="003F20AD" w:rsidRDefault="00597388"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0710</w:t>
            </w:r>
          </w:p>
        </w:tc>
        <w:tc>
          <w:tcPr>
            <w:tcW w:w="3534" w:type="pct"/>
            <w:tcBorders>
              <w:top w:val="single" w:sz="4" w:space="0" w:color="auto"/>
              <w:left w:val="single" w:sz="4" w:space="0" w:color="auto"/>
              <w:bottom w:val="single" w:sz="4" w:space="0" w:color="auto"/>
              <w:right w:val="single" w:sz="4" w:space="0" w:color="auto"/>
            </w:tcBorders>
            <w:hideMark/>
          </w:tcPr>
          <w:p w14:paraId="1C318AAB" w14:textId="6425E2F8" w:rsidR="00597388" w:rsidRPr="008619D0" w:rsidRDefault="00597388"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7A7826">
              <w:rPr>
                <w:rStyle w:val="InstructionsTabelleberschrift"/>
                <w:rFonts w:ascii="Times New Roman" w:eastAsia="Times New Roman" w:hAnsi="Times New Roman"/>
                <w:color w:val="000000"/>
                <w:kern w:val="0"/>
                <w:sz w:val="22"/>
                <w:u w:val="none"/>
                <w:lang w:eastAsia="ro-MD"/>
                <w14:ligatures w14:val="none"/>
              </w:rPr>
              <w:t>1.8.2.</w:t>
            </w:r>
            <w:r w:rsidRPr="007A7826">
              <w:rPr>
                <w:rStyle w:val="InstructionsTabelleberschrift"/>
                <w:rFonts w:ascii="Times New Roman" w:eastAsia="Times New Roman" w:hAnsi="Times New Roman"/>
                <w:color w:val="000000"/>
                <w:kern w:val="0"/>
                <w:sz w:val="22"/>
                <w:u w:val="none"/>
                <w:lang w:eastAsia="ro-MD"/>
                <w14:ligatures w14:val="none"/>
              </w:rPr>
              <w:tab/>
              <w:t xml:space="preserve">Din care: cerințe prudențiale suplimentare mai stricte </w:t>
            </w:r>
          </w:p>
          <w:p w14:paraId="33A1791F" w14:textId="2A75F7D4" w:rsidR="00597388" w:rsidRPr="003F20AD" w:rsidRDefault="00597388"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p>
        </w:tc>
        <w:tc>
          <w:tcPr>
            <w:tcW w:w="531" w:type="pct"/>
          </w:tcPr>
          <w:p w14:paraId="39F3762D" w14:textId="054B5325" w:rsidR="00597388" w:rsidRPr="002B024E" w:rsidRDefault="00597388"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2B024E">
              <w:rPr>
                <w:rStyle w:val="InstructionsTabelleberschrift"/>
                <w:rFonts w:ascii="Times New Roman" w:eastAsia="Times New Roman" w:hAnsi="Times New Roman"/>
                <w:b w:val="0"/>
                <w:bCs w:val="0"/>
                <w:color w:val="000000"/>
                <w:kern w:val="0"/>
                <w:sz w:val="22"/>
                <w:u w:val="none"/>
                <w:lang w:eastAsia="ro-MD"/>
                <w14:ligatures w14:val="none"/>
              </w:rPr>
              <w:t>blocat</w:t>
            </w:r>
          </w:p>
        </w:tc>
        <w:tc>
          <w:tcPr>
            <w:tcW w:w="530" w:type="pct"/>
            <w:tcBorders>
              <w:top w:val="single" w:sz="4" w:space="0" w:color="auto"/>
              <w:left w:val="single" w:sz="4" w:space="0" w:color="auto"/>
              <w:bottom w:val="single" w:sz="4" w:space="0" w:color="auto"/>
              <w:right w:val="single" w:sz="4" w:space="0" w:color="auto"/>
            </w:tcBorders>
          </w:tcPr>
          <w:p w14:paraId="0469D0C5" w14:textId="67DB95D3" w:rsidR="00597388" w:rsidRPr="007A7826" w:rsidRDefault="00597388"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r w:rsidRPr="009776CD">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F60F69" w:rsidRPr="002A677E" w14:paraId="4DF67840" w14:textId="6A7AC093"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0C8047DE" w14:textId="77777777" w:rsidR="00F60F69" w:rsidRPr="003F20AD" w:rsidRDefault="00F60F69"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lastRenderedPageBreak/>
              <w:t>0720</w:t>
            </w:r>
          </w:p>
        </w:tc>
        <w:tc>
          <w:tcPr>
            <w:tcW w:w="3534" w:type="pct"/>
            <w:tcBorders>
              <w:top w:val="single" w:sz="4" w:space="0" w:color="auto"/>
              <w:left w:val="single" w:sz="4" w:space="0" w:color="auto"/>
              <w:bottom w:val="single" w:sz="4" w:space="0" w:color="auto"/>
              <w:right w:val="single" w:sz="4" w:space="0" w:color="auto"/>
            </w:tcBorders>
            <w:hideMark/>
          </w:tcPr>
          <w:p w14:paraId="3051C91F" w14:textId="77777777" w:rsidR="00F60F69" w:rsidRPr="009F37FB" w:rsidRDefault="00F60F69" w:rsidP="009F37FB">
            <w:pPr>
              <w:spacing w:after="0"/>
              <w:rPr>
                <w:rFonts w:ascii="Times New Roman" w:eastAsia="Times New Roman" w:hAnsi="Times New Roman" w:cs="Times New Roman"/>
                <w:color w:val="000000"/>
                <w:kern w:val="0"/>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1.8.2*</w:t>
            </w:r>
            <w:r w:rsidRPr="009F37FB">
              <w:rPr>
                <w:rStyle w:val="InstructionsTabelleberschrift"/>
                <w:rFonts w:ascii="Times New Roman" w:eastAsia="Times New Roman" w:hAnsi="Times New Roman"/>
                <w:color w:val="000000"/>
                <w:kern w:val="0"/>
                <w:sz w:val="22"/>
                <w:u w:val="none"/>
                <w:lang w:eastAsia="ro-MD"/>
                <w14:ligatures w14:val="none"/>
              </w:rPr>
              <w:tab/>
              <w:t>Din care: cerințe privind expunerile mari</w:t>
            </w:r>
          </w:p>
          <w:p w14:paraId="4C9D69F3" w14:textId="0B9FB4BB" w:rsidR="00F60F69" w:rsidRPr="009F37FB" w:rsidRDefault="00F60F69" w:rsidP="009F37FB">
            <w:pPr>
              <w:spacing w:after="0"/>
              <w:rPr>
                <w:rStyle w:val="InstructionsTabelleberschrift"/>
                <w:rFonts w:ascii="Times New Roman" w:eastAsia="Times New Roman" w:hAnsi="Times New Roman"/>
                <w:color w:val="000000"/>
                <w:kern w:val="0"/>
                <w:sz w:val="22"/>
                <w:u w:val="none"/>
                <w:lang w:eastAsia="ro-MD"/>
                <w14:ligatures w14:val="none"/>
              </w:rPr>
            </w:pPr>
          </w:p>
        </w:tc>
        <w:tc>
          <w:tcPr>
            <w:tcW w:w="531" w:type="pct"/>
          </w:tcPr>
          <w:p w14:paraId="22751C32" w14:textId="4A0007BB" w:rsidR="00F60F69" w:rsidRDefault="00F60F69"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C056A0">
              <w:rPr>
                <w:rStyle w:val="InstructionsTabelleberschrift"/>
                <w:rFonts w:ascii="Times New Roman" w:eastAsia="Times New Roman" w:hAnsi="Times New Roman"/>
                <w:b w:val="0"/>
                <w:bCs w:val="0"/>
                <w:color w:val="000000"/>
                <w:kern w:val="0"/>
                <w:sz w:val="22"/>
                <w:u w:val="none"/>
                <w:lang w:eastAsia="ro-MD"/>
                <w14:ligatures w14:val="none"/>
              </w:rPr>
              <w:t>blocat</w:t>
            </w:r>
          </w:p>
        </w:tc>
        <w:tc>
          <w:tcPr>
            <w:tcW w:w="530" w:type="pct"/>
            <w:tcBorders>
              <w:top w:val="single" w:sz="4" w:space="0" w:color="auto"/>
              <w:left w:val="single" w:sz="4" w:space="0" w:color="auto"/>
              <w:bottom w:val="single" w:sz="4" w:space="0" w:color="auto"/>
              <w:right w:val="single" w:sz="4" w:space="0" w:color="auto"/>
            </w:tcBorders>
          </w:tcPr>
          <w:p w14:paraId="023AAB49" w14:textId="6CECA9FA" w:rsidR="00F60F69" w:rsidRPr="003F20AD" w:rsidRDefault="00F60F69"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9776CD">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F60F69" w:rsidRPr="002A677E" w14:paraId="287522E1" w14:textId="1FC9C7DE"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03701B73" w14:textId="77777777" w:rsidR="00F60F69" w:rsidRPr="003F20AD" w:rsidRDefault="00F60F69"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0730</w:t>
            </w:r>
          </w:p>
        </w:tc>
        <w:tc>
          <w:tcPr>
            <w:tcW w:w="3534" w:type="pct"/>
            <w:tcBorders>
              <w:top w:val="single" w:sz="4" w:space="0" w:color="auto"/>
              <w:left w:val="single" w:sz="4" w:space="0" w:color="auto"/>
              <w:bottom w:val="single" w:sz="4" w:space="0" w:color="auto"/>
              <w:right w:val="single" w:sz="4" w:space="0" w:color="auto"/>
            </w:tcBorders>
            <w:hideMark/>
          </w:tcPr>
          <w:p w14:paraId="7ED9C957" w14:textId="0EC50BB9" w:rsidR="00F60F69" w:rsidRPr="009F37FB" w:rsidRDefault="00F60F69" w:rsidP="009F37FB">
            <w:pPr>
              <w:spacing w:after="0"/>
              <w:rPr>
                <w:rFonts w:ascii="Times New Roman" w:eastAsia="Times New Roman" w:hAnsi="Times New Roman" w:cs="Times New Roman"/>
                <w:color w:val="000000"/>
                <w:kern w:val="0"/>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1.8.2**</w:t>
            </w:r>
            <w:r w:rsidRPr="009F37FB">
              <w:rPr>
                <w:rStyle w:val="InstructionsTabelleberschrift"/>
                <w:rFonts w:ascii="Times New Roman" w:eastAsia="Times New Roman" w:hAnsi="Times New Roman"/>
                <w:color w:val="000000"/>
                <w:kern w:val="0"/>
                <w:sz w:val="22"/>
                <w:u w:val="none"/>
                <w:lang w:eastAsia="ro-MD"/>
                <w14:ligatures w14:val="none"/>
              </w:rPr>
              <w:tab/>
              <w:t xml:space="preserve">Din care: </w:t>
            </w:r>
            <w:r w:rsidR="00CD7061">
              <w:rPr>
                <w:rStyle w:val="InstructionsTabelleberschrift"/>
                <w:rFonts w:ascii="Times New Roman" w:eastAsia="Times New Roman" w:hAnsi="Times New Roman"/>
                <w:color w:val="000000"/>
                <w:kern w:val="0"/>
                <w:sz w:val="22"/>
                <w:u w:val="none"/>
                <w:lang w:eastAsia="ro-MD"/>
                <w14:ligatures w14:val="none"/>
              </w:rPr>
              <w:t xml:space="preserve">cele </w:t>
            </w:r>
            <w:r w:rsidRPr="009F37FB">
              <w:rPr>
                <w:rStyle w:val="InstructionsTabelleberschrift"/>
                <w:rFonts w:ascii="Times New Roman" w:eastAsia="Times New Roman" w:hAnsi="Times New Roman"/>
                <w:color w:val="000000"/>
                <w:kern w:val="0"/>
                <w:sz w:val="22"/>
                <w:u w:val="none"/>
                <w:lang w:eastAsia="ro-MD"/>
                <w14:ligatures w14:val="none"/>
              </w:rPr>
              <w:t xml:space="preserve">datorate ponderilor de risc modificate destinate țintirii bulelor </w:t>
            </w:r>
            <w:r w:rsidR="00CD7061">
              <w:rPr>
                <w:rStyle w:val="InstructionsTabelleberschrift"/>
                <w:rFonts w:ascii="Times New Roman" w:eastAsia="Times New Roman" w:hAnsi="Times New Roman"/>
                <w:color w:val="000000"/>
                <w:kern w:val="0"/>
                <w:sz w:val="22"/>
                <w:u w:val="none"/>
                <w:lang w:eastAsia="ro-MD"/>
                <w14:ligatures w14:val="none"/>
              </w:rPr>
              <w:t>speculative</w:t>
            </w:r>
            <w:r w:rsidRPr="009F37FB">
              <w:rPr>
                <w:rStyle w:val="InstructionsTabelleberschrift"/>
                <w:rFonts w:ascii="Times New Roman" w:eastAsia="Times New Roman" w:hAnsi="Times New Roman"/>
                <w:color w:val="000000"/>
                <w:kern w:val="0"/>
                <w:sz w:val="22"/>
                <w:u w:val="none"/>
                <w:lang w:eastAsia="ro-MD"/>
                <w14:ligatures w14:val="none"/>
              </w:rPr>
              <w:t xml:space="preserve"> în sectorul </w:t>
            </w:r>
            <w:r w:rsidR="00CD7061">
              <w:rPr>
                <w:rStyle w:val="InstructionsTabelleberschrift"/>
                <w:rFonts w:ascii="Times New Roman" w:eastAsia="Times New Roman" w:hAnsi="Times New Roman"/>
                <w:color w:val="000000"/>
                <w:kern w:val="0"/>
                <w:sz w:val="22"/>
                <w:u w:val="none"/>
                <w:lang w:eastAsia="ro-MD"/>
                <w14:ligatures w14:val="none"/>
              </w:rPr>
              <w:t>bunu</w:t>
            </w:r>
            <w:r w:rsidRPr="009F37FB">
              <w:rPr>
                <w:rStyle w:val="InstructionsTabelleberschrift"/>
                <w:rFonts w:ascii="Times New Roman" w:eastAsia="Times New Roman" w:hAnsi="Times New Roman"/>
                <w:color w:val="000000"/>
                <w:kern w:val="0"/>
                <w:sz w:val="22"/>
                <w:u w:val="none"/>
                <w:lang w:eastAsia="ro-MD"/>
                <w14:ligatures w14:val="none"/>
              </w:rPr>
              <w:t>r</w:t>
            </w:r>
            <w:r w:rsidR="00CD7061">
              <w:rPr>
                <w:rStyle w:val="InstructionsTabelleberschrift"/>
                <w:rFonts w:ascii="Times New Roman" w:eastAsia="Times New Roman" w:hAnsi="Times New Roman"/>
                <w:color w:val="000000"/>
                <w:kern w:val="0"/>
                <w:sz w:val="22"/>
                <w:u w:val="none"/>
                <w:lang w:eastAsia="ro-MD"/>
                <w14:ligatures w14:val="none"/>
              </w:rPr>
              <w:t>ilor</w:t>
            </w:r>
            <w:r w:rsidRPr="009F37FB">
              <w:rPr>
                <w:rStyle w:val="InstructionsTabelleberschrift"/>
                <w:rFonts w:ascii="Times New Roman" w:eastAsia="Times New Roman" w:hAnsi="Times New Roman"/>
                <w:color w:val="000000"/>
                <w:kern w:val="0"/>
                <w:sz w:val="22"/>
                <w:u w:val="none"/>
                <w:lang w:eastAsia="ro-MD"/>
                <w14:ligatures w14:val="none"/>
              </w:rPr>
              <w:t xml:space="preserve"> imobile locative și comerciale</w:t>
            </w:r>
          </w:p>
          <w:p w14:paraId="040E0226" w14:textId="0DF1796E" w:rsidR="00F60F69" w:rsidRPr="009F37FB" w:rsidRDefault="00F60F69" w:rsidP="009F37FB">
            <w:pPr>
              <w:spacing w:after="0"/>
              <w:rPr>
                <w:rStyle w:val="InstructionsTabelleberschrift"/>
                <w:rFonts w:ascii="Times New Roman" w:eastAsia="Times New Roman" w:hAnsi="Times New Roman"/>
                <w:color w:val="000000"/>
                <w:kern w:val="0"/>
                <w:sz w:val="22"/>
                <w:u w:val="none"/>
                <w:lang w:eastAsia="ro-MD"/>
                <w14:ligatures w14:val="none"/>
              </w:rPr>
            </w:pPr>
          </w:p>
        </w:tc>
        <w:tc>
          <w:tcPr>
            <w:tcW w:w="531" w:type="pct"/>
          </w:tcPr>
          <w:p w14:paraId="5D95F23E" w14:textId="7E357064" w:rsidR="00F60F69" w:rsidRDefault="00F60F69"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C056A0">
              <w:rPr>
                <w:rStyle w:val="InstructionsTabelleberschrift"/>
                <w:rFonts w:ascii="Times New Roman" w:eastAsia="Times New Roman" w:hAnsi="Times New Roman"/>
                <w:b w:val="0"/>
                <w:bCs w:val="0"/>
                <w:color w:val="000000"/>
                <w:kern w:val="0"/>
                <w:sz w:val="22"/>
                <w:u w:val="none"/>
                <w:lang w:eastAsia="ro-MD"/>
                <w14:ligatures w14:val="none"/>
              </w:rPr>
              <w:t>blocat</w:t>
            </w:r>
          </w:p>
        </w:tc>
        <w:tc>
          <w:tcPr>
            <w:tcW w:w="530" w:type="pct"/>
            <w:tcBorders>
              <w:top w:val="single" w:sz="4" w:space="0" w:color="auto"/>
              <w:left w:val="single" w:sz="4" w:space="0" w:color="auto"/>
              <w:bottom w:val="single" w:sz="4" w:space="0" w:color="auto"/>
              <w:right w:val="single" w:sz="4" w:space="0" w:color="auto"/>
            </w:tcBorders>
          </w:tcPr>
          <w:p w14:paraId="1B0559E8" w14:textId="503DDCF1" w:rsidR="00F60F69" w:rsidRPr="003F20AD" w:rsidRDefault="00F60F69"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9776CD">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F60F69" w:rsidRPr="002A677E" w14:paraId="52B13231" w14:textId="3756E3FC"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30C7D89F" w14:textId="77777777" w:rsidR="00F60F69" w:rsidRPr="003F20AD" w:rsidRDefault="00F60F69"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0740</w:t>
            </w:r>
          </w:p>
        </w:tc>
        <w:tc>
          <w:tcPr>
            <w:tcW w:w="3534" w:type="pct"/>
            <w:tcBorders>
              <w:top w:val="single" w:sz="4" w:space="0" w:color="auto"/>
              <w:left w:val="single" w:sz="4" w:space="0" w:color="auto"/>
              <w:bottom w:val="single" w:sz="4" w:space="0" w:color="auto"/>
              <w:right w:val="single" w:sz="4" w:space="0" w:color="auto"/>
            </w:tcBorders>
            <w:hideMark/>
          </w:tcPr>
          <w:p w14:paraId="7DCE1F27" w14:textId="7519518A" w:rsidR="00F60F69" w:rsidRPr="009F37FB" w:rsidRDefault="00F60F69" w:rsidP="009F37FB">
            <w:pPr>
              <w:spacing w:after="0"/>
              <w:rPr>
                <w:rFonts w:ascii="Times New Roman" w:eastAsia="Times New Roman" w:hAnsi="Times New Roman" w:cs="Times New Roman"/>
                <w:color w:val="000000"/>
                <w:kern w:val="0"/>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 xml:space="preserve">1.8.2***Din care: </w:t>
            </w:r>
            <w:r w:rsidR="00CD7061">
              <w:rPr>
                <w:rStyle w:val="InstructionsTabelleberschrift"/>
                <w:rFonts w:ascii="Times New Roman" w:eastAsia="Times New Roman" w:hAnsi="Times New Roman"/>
                <w:color w:val="000000"/>
                <w:kern w:val="0"/>
                <w:sz w:val="22"/>
                <w:u w:val="none"/>
                <w:lang w:eastAsia="ro-MD"/>
                <w14:ligatures w14:val="none"/>
              </w:rPr>
              <w:t xml:space="preserve">cele </w:t>
            </w:r>
            <w:r w:rsidRPr="009F37FB">
              <w:rPr>
                <w:rStyle w:val="InstructionsTabelleberschrift"/>
                <w:rFonts w:ascii="Times New Roman" w:eastAsia="Times New Roman" w:hAnsi="Times New Roman"/>
                <w:color w:val="000000"/>
                <w:kern w:val="0"/>
                <w:sz w:val="22"/>
                <w:u w:val="none"/>
                <w:lang w:eastAsia="ro-MD"/>
                <w14:ligatures w14:val="none"/>
              </w:rPr>
              <w:t xml:space="preserve">datorate expunerilor </w:t>
            </w:r>
            <w:proofErr w:type="spellStart"/>
            <w:r w:rsidRPr="009F37FB">
              <w:rPr>
                <w:rStyle w:val="InstructionsTabelleberschrift"/>
                <w:rFonts w:ascii="Times New Roman" w:eastAsia="Times New Roman" w:hAnsi="Times New Roman"/>
                <w:color w:val="000000"/>
                <w:kern w:val="0"/>
                <w:sz w:val="22"/>
                <w:u w:val="none"/>
                <w:lang w:eastAsia="ro-MD"/>
                <w14:ligatures w14:val="none"/>
              </w:rPr>
              <w:t>intrasectoriale</w:t>
            </w:r>
            <w:proofErr w:type="spellEnd"/>
            <w:r w:rsidRPr="009F37FB">
              <w:rPr>
                <w:rStyle w:val="InstructionsTabelleberschrift"/>
                <w:rFonts w:ascii="Times New Roman" w:eastAsia="Times New Roman" w:hAnsi="Times New Roman"/>
                <w:color w:val="000000"/>
                <w:kern w:val="0"/>
                <w:sz w:val="22"/>
                <w:u w:val="none"/>
                <w:lang w:eastAsia="ro-MD"/>
                <w14:ligatures w14:val="none"/>
              </w:rPr>
              <w:t xml:space="preserve"> din sectorul financiar</w:t>
            </w:r>
          </w:p>
          <w:p w14:paraId="678E21BD" w14:textId="513A85E3" w:rsidR="00F60F69" w:rsidRPr="009F37FB" w:rsidRDefault="00F60F69" w:rsidP="009F37FB">
            <w:pPr>
              <w:spacing w:after="0"/>
              <w:rPr>
                <w:rStyle w:val="InstructionsTabelleberschrift"/>
                <w:rFonts w:ascii="Times New Roman" w:eastAsia="Times New Roman" w:hAnsi="Times New Roman"/>
                <w:color w:val="000000"/>
                <w:kern w:val="0"/>
                <w:sz w:val="22"/>
                <w:u w:val="none"/>
                <w:lang w:eastAsia="ro-MD"/>
                <w14:ligatures w14:val="none"/>
              </w:rPr>
            </w:pPr>
          </w:p>
        </w:tc>
        <w:tc>
          <w:tcPr>
            <w:tcW w:w="531" w:type="pct"/>
          </w:tcPr>
          <w:p w14:paraId="78B7A4E3" w14:textId="7A186CDE" w:rsidR="00F60F69" w:rsidRDefault="00F60F69"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C056A0">
              <w:rPr>
                <w:rStyle w:val="InstructionsTabelleberschrift"/>
                <w:rFonts w:ascii="Times New Roman" w:eastAsia="Times New Roman" w:hAnsi="Times New Roman"/>
                <w:b w:val="0"/>
                <w:bCs w:val="0"/>
                <w:color w:val="000000"/>
                <w:kern w:val="0"/>
                <w:sz w:val="22"/>
                <w:u w:val="none"/>
                <w:lang w:eastAsia="ro-MD"/>
                <w14:ligatures w14:val="none"/>
              </w:rPr>
              <w:t>blocat</w:t>
            </w:r>
          </w:p>
        </w:tc>
        <w:tc>
          <w:tcPr>
            <w:tcW w:w="530" w:type="pct"/>
            <w:tcBorders>
              <w:top w:val="single" w:sz="4" w:space="0" w:color="auto"/>
              <w:left w:val="single" w:sz="4" w:space="0" w:color="auto"/>
              <w:bottom w:val="single" w:sz="4" w:space="0" w:color="auto"/>
              <w:right w:val="single" w:sz="4" w:space="0" w:color="auto"/>
            </w:tcBorders>
          </w:tcPr>
          <w:p w14:paraId="1B75180F" w14:textId="12AC8C8F" w:rsidR="00F60F69" w:rsidRPr="003F20AD" w:rsidRDefault="00F60F69"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9776CD">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F60F69" w:rsidRPr="002A677E" w14:paraId="5B8E26F2" w14:textId="7628C54C"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2DF562B" w14:textId="77777777" w:rsidR="00F60F69" w:rsidRPr="003F20AD" w:rsidRDefault="00F60F69"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0750</w:t>
            </w:r>
          </w:p>
        </w:tc>
        <w:tc>
          <w:tcPr>
            <w:tcW w:w="3534" w:type="pct"/>
            <w:tcBorders>
              <w:top w:val="single" w:sz="4" w:space="0" w:color="auto"/>
              <w:left w:val="single" w:sz="4" w:space="0" w:color="auto"/>
              <w:bottom w:val="single" w:sz="4" w:space="0" w:color="auto"/>
              <w:right w:val="single" w:sz="4" w:space="0" w:color="auto"/>
            </w:tcBorders>
            <w:hideMark/>
          </w:tcPr>
          <w:p w14:paraId="7CF99DB0" w14:textId="14D337CF" w:rsidR="00F60F69" w:rsidRPr="007A7826" w:rsidRDefault="00F60F69"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7A7826">
              <w:rPr>
                <w:rStyle w:val="InstructionsTabelleberschrift"/>
                <w:rFonts w:ascii="Times New Roman" w:eastAsia="Times New Roman" w:hAnsi="Times New Roman"/>
                <w:color w:val="000000"/>
                <w:kern w:val="0"/>
                <w:sz w:val="22"/>
                <w:u w:val="none"/>
                <w:lang w:eastAsia="ro-MD"/>
                <w14:ligatures w14:val="none"/>
              </w:rPr>
              <w:t>1.8.3.</w:t>
            </w:r>
            <w:r w:rsidRPr="007A7826">
              <w:rPr>
                <w:rStyle w:val="InstructionsTabelleberschrift"/>
                <w:rFonts w:ascii="Times New Roman" w:eastAsia="Times New Roman" w:hAnsi="Times New Roman"/>
                <w:color w:val="000000"/>
                <w:kern w:val="0"/>
                <w:sz w:val="22"/>
                <w:u w:val="none"/>
                <w:lang w:eastAsia="ro-MD"/>
                <w14:ligatures w14:val="none"/>
              </w:rPr>
              <w:tab/>
              <w:t xml:space="preserve">Din care: cerințe prudențiale suplimentare mai </w:t>
            </w:r>
            <w:r w:rsidRPr="008105E5">
              <w:rPr>
                <w:rStyle w:val="InstructionsTabelleberschrift"/>
                <w:rFonts w:ascii="Times New Roman" w:eastAsia="Times New Roman" w:hAnsi="Times New Roman"/>
                <w:color w:val="000000"/>
                <w:kern w:val="0"/>
                <w:sz w:val="22"/>
                <w:u w:val="none"/>
                <w:lang w:eastAsia="ro-MD"/>
                <w14:ligatures w14:val="none"/>
              </w:rPr>
              <w:t>stricte</w:t>
            </w:r>
          </w:p>
          <w:p w14:paraId="0F2362B3" w14:textId="498C4D6A" w:rsidR="00F60F69" w:rsidRPr="003F20AD" w:rsidRDefault="00F60F69"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p>
        </w:tc>
        <w:tc>
          <w:tcPr>
            <w:tcW w:w="531" w:type="pct"/>
          </w:tcPr>
          <w:p w14:paraId="2CF45702" w14:textId="33B3CA2E" w:rsidR="00F60F69" w:rsidRDefault="00F60F69"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r w:rsidRPr="00C056A0">
              <w:rPr>
                <w:rStyle w:val="InstructionsTabelleberschrift"/>
                <w:rFonts w:ascii="Times New Roman" w:eastAsia="Times New Roman" w:hAnsi="Times New Roman"/>
                <w:b w:val="0"/>
                <w:bCs w:val="0"/>
                <w:color w:val="000000"/>
                <w:kern w:val="0"/>
                <w:sz w:val="22"/>
                <w:u w:val="none"/>
                <w:lang w:eastAsia="ro-MD"/>
                <w14:ligatures w14:val="none"/>
              </w:rPr>
              <w:t>blocat</w:t>
            </w:r>
          </w:p>
        </w:tc>
        <w:tc>
          <w:tcPr>
            <w:tcW w:w="530" w:type="pct"/>
            <w:tcBorders>
              <w:top w:val="single" w:sz="4" w:space="0" w:color="auto"/>
              <w:left w:val="single" w:sz="4" w:space="0" w:color="auto"/>
              <w:bottom w:val="single" w:sz="4" w:space="0" w:color="auto"/>
              <w:right w:val="single" w:sz="4" w:space="0" w:color="auto"/>
            </w:tcBorders>
          </w:tcPr>
          <w:p w14:paraId="1525EA40" w14:textId="0C32E2C0" w:rsidR="00F60F69" w:rsidRPr="007A7826" w:rsidRDefault="00F60F69"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r w:rsidRPr="009776CD">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F60F69" w:rsidRPr="002A677E" w14:paraId="311BF8B2" w14:textId="6A98539E"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7778FB69" w14:textId="77777777" w:rsidR="00F60F69" w:rsidRPr="003F20AD" w:rsidRDefault="00F60F69"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0755</w:t>
            </w:r>
          </w:p>
        </w:tc>
        <w:tc>
          <w:tcPr>
            <w:tcW w:w="3534" w:type="pct"/>
            <w:tcBorders>
              <w:top w:val="single" w:sz="4" w:space="0" w:color="auto"/>
              <w:left w:val="single" w:sz="4" w:space="0" w:color="auto"/>
              <w:bottom w:val="single" w:sz="4" w:space="0" w:color="auto"/>
              <w:right w:val="single" w:sz="4" w:space="0" w:color="auto"/>
            </w:tcBorders>
            <w:hideMark/>
          </w:tcPr>
          <w:p w14:paraId="1B4E97A3" w14:textId="35D6BA0A" w:rsidR="00F60F69" w:rsidRPr="003F20AD" w:rsidRDefault="00F60F69" w:rsidP="00CC6E3E">
            <w:pPr>
              <w:spacing w:after="0"/>
              <w:rPr>
                <w:rFonts w:ascii="Times New Roman" w:eastAsia="Times New Roman" w:hAnsi="Times New Roman" w:cs="Times New Roman"/>
                <w:color w:val="000000"/>
                <w:kern w:val="0"/>
                <w:lang w:eastAsia="ro-MD"/>
                <w14:ligatures w14:val="none"/>
              </w:rPr>
            </w:pPr>
            <w:r w:rsidRPr="009F37FB">
              <w:rPr>
                <w:rFonts w:ascii="Times New Roman" w:eastAsia="Times New Roman" w:hAnsi="Times New Roman" w:cs="Times New Roman"/>
                <w:b/>
                <w:bCs/>
                <w:color w:val="000000"/>
                <w:kern w:val="0"/>
                <w:lang w:eastAsia="ro-MD"/>
                <w14:ligatures w14:val="none"/>
              </w:rPr>
              <w:t xml:space="preserve">1.8.3a   Din care: RWEA suplimentar pentru riscul de piață impus de autoritatea de supraveghere în temeiul articolului </w:t>
            </w:r>
            <w:r w:rsidR="00DB3FC4" w:rsidRPr="009F37FB">
              <w:rPr>
                <w:rFonts w:ascii="Times New Roman" w:eastAsia="Times New Roman" w:hAnsi="Times New Roman" w:cs="Times New Roman"/>
                <w:b/>
                <w:bCs/>
                <w:color w:val="000000"/>
                <w:kern w:val="0"/>
                <w:lang w:eastAsia="ro-MD"/>
                <w14:ligatures w14:val="none"/>
              </w:rPr>
              <w:t>99 alin. (2) din Legea nr. 202/2017</w:t>
            </w:r>
          </w:p>
        </w:tc>
        <w:tc>
          <w:tcPr>
            <w:tcW w:w="531" w:type="pct"/>
          </w:tcPr>
          <w:p w14:paraId="7708FE3D" w14:textId="603A67A5" w:rsidR="00F60F69" w:rsidRDefault="00C92EE9" w:rsidP="009F37FB">
            <w:pPr>
              <w:spacing w:after="0"/>
              <w:jc w:val="center"/>
              <w:rPr>
                <w:rFonts w:ascii="Times New Roman" w:eastAsia="Times New Roman" w:hAnsi="Times New Roman" w:cs="Times New Roman"/>
                <w:color w:val="000000"/>
                <w:kern w:val="0"/>
                <w:lang w:eastAsia="ro-MD"/>
                <w14:ligatures w14:val="none"/>
              </w:rPr>
            </w:pPr>
            <w:r w:rsidRPr="009776CD">
              <w:rPr>
                <w:rStyle w:val="InstructionsTabelleberschrift"/>
                <w:rFonts w:ascii="Times New Roman" w:eastAsia="Times New Roman" w:hAnsi="Times New Roman"/>
                <w:b w:val="0"/>
                <w:bCs w:val="0"/>
                <w:color w:val="000000"/>
                <w:kern w:val="0"/>
                <w:sz w:val="22"/>
                <w:u w:val="none"/>
                <w:lang w:eastAsia="ro-MD"/>
                <w14:ligatures w14:val="none"/>
              </w:rPr>
              <w:t>blocat</w:t>
            </w:r>
          </w:p>
        </w:tc>
        <w:tc>
          <w:tcPr>
            <w:tcW w:w="530" w:type="pct"/>
            <w:tcBorders>
              <w:top w:val="single" w:sz="4" w:space="0" w:color="auto"/>
              <w:left w:val="single" w:sz="4" w:space="0" w:color="auto"/>
              <w:bottom w:val="single" w:sz="4" w:space="0" w:color="auto"/>
              <w:right w:val="single" w:sz="4" w:space="0" w:color="auto"/>
            </w:tcBorders>
          </w:tcPr>
          <w:p w14:paraId="70CCC157" w14:textId="64ECA99A" w:rsidR="00F60F69" w:rsidRPr="003F20AD" w:rsidRDefault="00F60F69" w:rsidP="009F37FB">
            <w:pPr>
              <w:spacing w:after="0"/>
              <w:jc w:val="center"/>
              <w:rPr>
                <w:rFonts w:ascii="Times New Roman" w:eastAsia="Times New Roman" w:hAnsi="Times New Roman" w:cs="Times New Roman"/>
                <w:color w:val="000000"/>
                <w:kern w:val="0"/>
                <w:lang w:eastAsia="ro-MD"/>
                <w14:ligatures w14:val="none"/>
              </w:rPr>
            </w:pPr>
            <w:r w:rsidRPr="009776CD">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F60F69" w:rsidRPr="002A677E" w14:paraId="146D7F9D" w14:textId="7A222ADA"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19208C26" w14:textId="77777777" w:rsidR="00F60F69" w:rsidRPr="003F20AD" w:rsidRDefault="00F60F69"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0760</w:t>
            </w:r>
          </w:p>
        </w:tc>
        <w:tc>
          <w:tcPr>
            <w:tcW w:w="3534" w:type="pct"/>
            <w:tcBorders>
              <w:top w:val="single" w:sz="4" w:space="0" w:color="auto"/>
              <w:left w:val="single" w:sz="4" w:space="0" w:color="auto"/>
              <w:bottom w:val="single" w:sz="4" w:space="0" w:color="auto"/>
              <w:right w:val="single" w:sz="4" w:space="0" w:color="auto"/>
            </w:tcBorders>
            <w:hideMark/>
          </w:tcPr>
          <w:p w14:paraId="44318657" w14:textId="77777777" w:rsidR="002B024E" w:rsidRDefault="00F60F69" w:rsidP="009F37FB">
            <w:pPr>
              <w:spacing w:after="0"/>
              <w:rPr>
                <w:rFonts w:ascii="Times New Roman" w:eastAsia="Times New Roman" w:hAnsi="Times New Roman" w:cs="Times New Roman"/>
                <w:color w:val="000000"/>
                <w:kern w:val="0"/>
                <w:lang w:eastAsia="ro-MD"/>
                <w14:ligatures w14:val="none"/>
              </w:rPr>
            </w:pPr>
            <w:r w:rsidRPr="007A7826">
              <w:rPr>
                <w:rStyle w:val="InstructionsTabelleberschrift"/>
                <w:rFonts w:ascii="Times New Roman" w:eastAsia="Times New Roman" w:hAnsi="Times New Roman"/>
                <w:color w:val="000000"/>
                <w:kern w:val="0"/>
                <w:sz w:val="22"/>
                <w:u w:val="none"/>
                <w:lang w:eastAsia="ro-MD"/>
                <w14:ligatures w14:val="none"/>
              </w:rPr>
              <w:t>1.8.4.</w:t>
            </w:r>
            <w:r w:rsidRPr="007A7826">
              <w:rPr>
                <w:rStyle w:val="InstructionsTabelleberschrift"/>
                <w:rFonts w:ascii="Times New Roman" w:eastAsia="Times New Roman" w:hAnsi="Times New Roman"/>
                <w:color w:val="000000"/>
                <w:kern w:val="0"/>
                <w:sz w:val="22"/>
                <w:u w:val="none"/>
                <w:lang w:eastAsia="ro-MD"/>
                <w14:ligatures w14:val="none"/>
              </w:rPr>
              <w:tab/>
              <w:t xml:space="preserve">Din care: cuantumul suplimentar al expunerii la risc conform </w:t>
            </w:r>
            <w:r w:rsidRPr="00EA59DC">
              <w:rPr>
                <w:rStyle w:val="InstructionsTabelleberschrift"/>
                <w:rFonts w:ascii="Times New Roman" w:hAnsi="Times New Roman"/>
                <w:sz w:val="22"/>
                <w:u w:val="none"/>
              </w:rPr>
              <w:t>punctului 3 din Regulamentul nr.109/2018</w:t>
            </w:r>
          </w:p>
          <w:p w14:paraId="328DF05D" w14:textId="77777777" w:rsidR="00CC6E3E" w:rsidRDefault="00F60F69" w:rsidP="009F37FB">
            <w:pPr>
              <w:spacing w:after="0"/>
              <w:rPr>
                <w:rFonts w:ascii="Times New Roman" w:eastAsia="Times New Roman" w:hAnsi="Times New Roman" w:cs="Times New Roman"/>
                <w:color w:val="000000"/>
                <w:kern w:val="0"/>
                <w:lang w:eastAsia="ro-MD"/>
                <w14:ligatures w14:val="none"/>
              </w:rPr>
            </w:pPr>
            <w:r w:rsidRPr="00886AF4">
              <w:rPr>
                <w:rFonts w:ascii="Times New Roman" w:eastAsia="Times New Roman" w:hAnsi="Times New Roman" w:cs="Times New Roman"/>
                <w:color w:val="000000"/>
                <w:kern w:val="0"/>
                <w:lang w:eastAsia="ro-MD"/>
                <w14:ligatures w14:val="none"/>
              </w:rPr>
              <w:t>Punctul 3 din Regulamentul nr.109/2018</w:t>
            </w:r>
          </w:p>
          <w:p w14:paraId="57EF5A71" w14:textId="05589662" w:rsidR="00F60F69" w:rsidRPr="003F20AD" w:rsidRDefault="00F60F69"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Style w:val="InstructionsTabelleberschrift"/>
                <w:rFonts w:ascii="Times New Roman" w:eastAsia="Times New Roman" w:hAnsi="Times New Roman"/>
                <w:b w:val="0"/>
                <w:bCs w:val="0"/>
                <w:color w:val="000000"/>
                <w:kern w:val="0"/>
                <w:sz w:val="22"/>
                <w:u w:val="none"/>
                <w:lang w:eastAsia="ro-MD"/>
                <w14:ligatures w14:val="none"/>
              </w:rPr>
              <w:t xml:space="preserve">Se raportează cuantumul suplimentar al expunerii la risc. Acesta trebuie să includă numai cuantumurile suplimentare </w:t>
            </w:r>
            <w:r>
              <w:rPr>
                <w:rStyle w:val="InstructionsTabelleberschrift"/>
                <w:rFonts w:ascii="Times New Roman" w:eastAsia="Times New Roman" w:hAnsi="Times New Roman"/>
                <w:b w:val="0"/>
                <w:bCs w:val="0"/>
                <w:color w:val="000000"/>
                <w:kern w:val="0"/>
                <w:sz w:val="22"/>
                <w:u w:val="none"/>
                <w:lang w:eastAsia="ro-MD"/>
                <w14:ligatures w14:val="none"/>
              </w:rPr>
              <w:t>(</w:t>
            </w:r>
            <w:r w:rsidRPr="003F20AD">
              <w:rPr>
                <w:rStyle w:val="InstructionsTabelleberschrift"/>
                <w:rFonts w:ascii="Times New Roman" w:eastAsia="Times New Roman" w:hAnsi="Times New Roman"/>
                <w:b w:val="0"/>
                <w:bCs w:val="0"/>
                <w:color w:val="000000"/>
                <w:kern w:val="0"/>
                <w:sz w:val="22"/>
                <w:u w:val="none"/>
                <w:lang w:eastAsia="ro-MD"/>
                <w14:ligatures w14:val="none"/>
              </w:rPr>
              <w:t>de exemplu, în cazul în care o expunere de 100 are o pondere de risc de 20</w:t>
            </w:r>
            <w:r w:rsidRPr="003F20AD">
              <w:rPr>
                <w:rFonts w:ascii="Times New Roman" w:eastAsia="Times New Roman" w:hAnsi="Times New Roman" w:cs="Times New Roman"/>
                <w:color w:val="000000"/>
                <w:kern w:val="0"/>
                <w:lang w:eastAsia="ro-MD"/>
                <w14:ligatures w14:val="none"/>
              </w:rPr>
              <w:t> </w:t>
            </w:r>
            <w:r w:rsidRPr="003F20AD">
              <w:rPr>
                <w:rStyle w:val="InstructionsTabelleberschrift"/>
                <w:rFonts w:ascii="Times New Roman" w:eastAsia="Times New Roman" w:hAnsi="Times New Roman"/>
                <w:b w:val="0"/>
                <w:bCs w:val="0"/>
                <w:color w:val="000000"/>
                <w:kern w:val="0"/>
                <w:sz w:val="22"/>
                <w:u w:val="none"/>
                <w:lang w:eastAsia="ro-MD"/>
                <w14:ligatures w14:val="none"/>
              </w:rPr>
              <w:t xml:space="preserve">% și </w:t>
            </w:r>
            <w:r>
              <w:rPr>
                <w:rStyle w:val="InstructionsTabelleberschrift"/>
                <w:rFonts w:ascii="Times New Roman" w:eastAsia="Times New Roman" w:hAnsi="Times New Roman"/>
                <w:b w:val="0"/>
                <w:bCs w:val="0"/>
                <w:color w:val="000000"/>
                <w:kern w:val="0"/>
                <w:sz w:val="22"/>
                <w:u w:val="none"/>
                <w:lang w:eastAsia="ro-MD"/>
                <w14:ligatures w14:val="none"/>
              </w:rPr>
              <w:t>băncil</w:t>
            </w:r>
            <w:r w:rsidRPr="003F20AD">
              <w:rPr>
                <w:rStyle w:val="InstructionsTabelleberschrift"/>
                <w:rFonts w:ascii="Times New Roman" w:eastAsia="Times New Roman" w:hAnsi="Times New Roman"/>
                <w:b w:val="0"/>
                <w:bCs w:val="0"/>
                <w:color w:val="000000"/>
                <w:kern w:val="0"/>
                <w:sz w:val="22"/>
                <w:u w:val="none"/>
                <w:lang w:eastAsia="ro-MD"/>
                <w14:ligatures w14:val="none"/>
              </w:rPr>
              <w:t>e aplică o pondere de risc de 50</w:t>
            </w:r>
            <w:r w:rsidRPr="003F20AD">
              <w:rPr>
                <w:rFonts w:ascii="Times New Roman" w:eastAsia="Times New Roman" w:hAnsi="Times New Roman" w:cs="Times New Roman"/>
                <w:color w:val="000000"/>
                <w:kern w:val="0"/>
                <w:lang w:eastAsia="ro-MD"/>
                <w14:ligatures w14:val="none"/>
              </w:rPr>
              <w:t> </w:t>
            </w:r>
            <w:r w:rsidRPr="003F20AD">
              <w:rPr>
                <w:rStyle w:val="InstructionsTabelleberschrift"/>
                <w:rFonts w:ascii="Times New Roman" w:eastAsia="Times New Roman" w:hAnsi="Times New Roman"/>
                <w:b w:val="0"/>
                <w:bCs w:val="0"/>
                <w:color w:val="000000"/>
                <w:kern w:val="0"/>
                <w:sz w:val="22"/>
                <w:u w:val="none"/>
                <w:lang w:eastAsia="ro-MD"/>
                <w14:ligatures w14:val="none"/>
              </w:rPr>
              <w:t xml:space="preserve">%, pe baza </w:t>
            </w:r>
            <w:r>
              <w:rPr>
                <w:rStyle w:val="InstructionsTabelleberschrift"/>
                <w:rFonts w:ascii="Times New Roman" w:eastAsia="Times New Roman" w:hAnsi="Times New Roman"/>
                <w:b w:val="0"/>
                <w:bCs w:val="0"/>
                <w:color w:val="000000"/>
                <w:kern w:val="0"/>
                <w:sz w:val="22"/>
                <w:u w:val="none"/>
                <w:lang w:eastAsia="ro-MD"/>
                <w14:ligatures w14:val="none"/>
              </w:rPr>
              <w:t>p</w:t>
            </w:r>
            <w:r w:rsidRPr="00886AF4">
              <w:rPr>
                <w:rFonts w:ascii="Times New Roman" w:eastAsia="Times New Roman" w:hAnsi="Times New Roman" w:cs="Times New Roman"/>
                <w:color w:val="000000"/>
                <w:kern w:val="0"/>
                <w:lang w:eastAsia="ro-MD"/>
                <w14:ligatures w14:val="none"/>
              </w:rPr>
              <w:t>unctul</w:t>
            </w:r>
            <w:r>
              <w:rPr>
                <w:rFonts w:ascii="Times New Roman" w:eastAsia="Times New Roman" w:hAnsi="Times New Roman" w:cs="Times New Roman"/>
                <w:color w:val="000000"/>
                <w:kern w:val="0"/>
                <w:lang w:eastAsia="ro-MD"/>
                <w14:ligatures w14:val="none"/>
              </w:rPr>
              <w:t>ui</w:t>
            </w:r>
            <w:r w:rsidRPr="00886AF4">
              <w:rPr>
                <w:rFonts w:ascii="Times New Roman" w:eastAsia="Times New Roman" w:hAnsi="Times New Roman" w:cs="Times New Roman"/>
                <w:color w:val="000000"/>
                <w:kern w:val="0"/>
                <w:lang w:eastAsia="ro-MD"/>
                <w14:ligatures w14:val="none"/>
              </w:rPr>
              <w:t xml:space="preserve"> 3 din Regulamentul nr.109/2018</w:t>
            </w:r>
            <w:r w:rsidRPr="003F20AD">
              <w:rPr>
                <w:rStyle w:val="InstructionsTabelleberschrift"/>
                <w:rFonts w:ascii="Times New Roman" w:eastAsia="Times New Roman" w:hAnsi="Times New Roman"/>
                <w:b w:val="0"/>
                <w:bCs w:val="0"/>
                <w:color w:val="000000"/>
                <w:kern w:val="0"/>
                <w:sz w:val="22"/>
                <w:u w:val="none"/>
                <w:lang w:eastAsia="ro-MD"/>
                <w14:ligatures w14:val="none"/>
              </w:rPr>
              <w:t>, cuantumul de raportat este 30</w:t>
            </w:r>
            <w:r>
              <w:rPr>
                <w:rStyle w:val="InstructionsTabelleberschrift"/>
                <w:rFonts w:ascii="Times New Roman" w:eastAsia="Times New Roman" w:hAnsi="Times New Roman"/>
                <w:b w:val="0"/>
                <w:bCs w:val="0"/>
                <w:color w:val="000000"/>
                <w:kern w:val="0"/>
                <w:sz w:val="22"/>
                <w:u w:val="none"/>
                <w:lang w:eastAsia="ro-MD"/>
                <w14:ligatures w14:val="none"/>
              </w:rPr>
              <w:t>)</w:t>
            </w:r>
            <w:r w:rsidRPr="003F20AD">
              <w:rPr>
                <w:rStyle w:val="InstructionsTabelleberschrift"/>
                <w:rFonts w:ascii="Times New Roman" w:eastAsia="Times New Roman" w:hAnsi="Times New Roman"/>
                <w:b w:val="0"/>
                <w:bCs w:val="0"/>
                <w:color w:val="000000"/>
                <w:kern w:val="0"/>
                <w:sz w:val="22"/>
                <w:u w:val="none"/>
                <w:lang w:eastAsia="ro-MD"/>
                <w14:ligatures w14:val="none"/>
              </w:rPr>
              <w:t xml:space="preserve">. </w:t>
            </w:r>
          </w:p>
        </w:tc>
        <w:tc>
          <w:tcPr>
            <w:tcW w:w="531" w:type="pct"/>
          </w:tcPr>
          <w:p w14:paraId="56A32880" w14:textId="77777777" w:rsidR="00F60F69" w:rsidRPr="007A7826" w:rsidRDefault="00F60F69"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0BD2DDF7" w14:textId="66336DB8" w:rsidR="00F60F69" w:rsidRPr="007A7826" w:rsidRDefault="00F60F69"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r w:rsidRPr="009776CD">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F60F69" w:rsidRPr="002A677E" w14:paraId="2A3C5F29" w14:textId="339A0E72"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47C5665A" w14:textId="77777777" w:rsidR="00F60F69" w:rsidRPr="003F20AD" w:rsidRDefault="00F60F69"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0770</w:t>
            </w:r>
          </w:p>
        </w:tc>
        <w:tc>
          <w:tcPr>
            <w:tcW w:w="3534" w:type="pct"/>
            <w:tcBorders>
              <w:top w:val="single" w:sz="4" w:space="0" w:color="auto"/>
              <w:left w:val="single" w:sz="4" w:space="0" w:color="auto"/>
              <w:bottom w:val="single" w:sz="4" w:space="0" w:color="auto"/>
              <w:right w:val="single" w:sz="4" w:space="0" w:color="auto"/>
            </w:tcBorders>
            <w:hideMark/>
          </w:tcPr>
          <w:p w14:paraId="7AF46CFF" w14:textId="2BED8BD1" w:rsidR="00F60F69" w:rsidRPr="009F37FB" w:rsidRDefault="00F60F69" w:rsidP="009F37FB">
            <w:pPr>
              <w:spacing w:after="0"/>
              <w:rPr>
                <w:rStyle w:val="InstructionsTabelleberschrift"/>
                <w:rFonts w:ascii="Times New Roman" w:eastAsia="Times New Roman" w:hAnsi="Times New Roman"/>
                <w:color w:val="000000"/>
                <w:kern w:val="0"/>
                <w:sz w:val="22"/>
                <w:u w:val="none"/>
                <w:lang w:eastAsia="ro-MD"/>
                <w14:ligatures w14:val="none"/>
              </w:rPr>
            </w:pPr>
            <w:r w:rsidRPr="009F37FB">
              <w:rPr>
                <w:rStyle w:val="InstructionsTabelleberschrift"/>
                <w:rFonts w:ascii="Times New Roman" w:eastAsia="Times New Roman" w:hAnsi="Times New Roman"/>
                <w:color w:val="000000"/>
                <w:kern w:val="0"/>
                <w:sz w:val="22"/>
                <w:u w:val="none"/>
                <w:lang w:eastAsia="ro-MD"/>
                <w14:ligatures w14:val="none"/>
              </w:rPr>
              <w:t>1.8.4*   Din care: RWEA suplimentar pentru riscul de piață</w:t>
            </w:r>
          </w:p>
          <w:p w14:paraId="0E067ED5" w14:textId="77777777" w:rsidR="00F60F69" w:rsidRPr="003F20AD" w:rsidRDefault="00F60F69"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3F20AD">
              <w:rPr>
                <w:rFonts w:ascii="Times New Roman" w:eastAsia="Times New Roman" w:hAnsi="Times New Roman" w:cs="Times New Roman"/>
                <w:color w:val="000000"/>
                <w:kern w:val="0"/>
                <w:lang w:eastAsia="ro-MD"/>
                <w14:ligatures w14:val="none"/>
              </w:rPr>
              <w:t>Inclusiv cazul „riscurilor care nu se regăsesc în motorul modelului” (</w:t>
            </w:r>
            <w:proofErr w:type="spellStart"/>
            <w:r w:rsidRPr="003F20AD">
              <w:rPr>
                <w:rFonts w:ascii="Times New Roman" w:eastAsia="Times New Roman" w:hAnsi="Times New Roman" w:cs="Times New Roman"/>
                <w:color w:val="000000"/>
                <w:kern w:val="0"/>
                <w:lang w:eastAsia="ro-MD"/>
                <w14:ligatures w14:val="none"/>
              </w:rPr>
              <w:t>risks</w:t>
            </w:r>
            <w:proofErr w:type="spellEnd"/>
            <w:r w:rsidRPr="003F20AD">
              <w:rPr>
                <w:rFonts w:ascii="Times New Roman" w:eastAsia="Times New Roman" w:hAnsi="Times New Roman" w:cs="Times New Roman"/>
                <w:color w:val="000000"/>
                <w:kern w:val="0"/>
                <w:lang w:eastAsia="ro-MD"/>
                <w14:ligatures w14:val="none"/>
              </w:rPr>
              <w:t xml:space="preserve"> </w:t>
            </w:r>
            <w:proofErr w:type="spellStart"/>
            <w:r w:rsidRPr="003F20AD">
              <w:rPr>
                <w:rFonts w:ascii="Times New Roman" w:eastAsia="Times New Roman" w:hAnsi="Times New Roman" w:cs="Times New Roman"/>
                <w:color w:val="000000"/>
                <w:kern w:val="0"/>
                <w:lang w:eastAsia="ro-MD"/>
                <w14:ligatures w14:val="none"/>
              </w:rPr>
              <w:t>not</w:t>
            </w:r>
            <w:proofErr w:type="spellEnd"/>
            <w:r w:rsidRPr="003F20AD">
              <w:rPr>
                <w:rFonts w:ascii="Times New Roman" w:eastAsia="Times New Roman" w:hAnsi="Times New Roman" w:cs="Times New Roman"/>
                <w:color w:val="000000"/>
                <w:kern w:val="0"/>
                <w:lang w:eastAsia="ro-MD"/>
                <w14:ligatures w14:val="none"/>
              </w:rPr>
              <w:t xml:space="preserve"> in </w:t>
            </w:r>
            <w:proofErr w:type="spellStart"/>
            <w:r w:rsidRPr="003F20AD">
              <w:rPr>
                <w:rFonts w:ascii="Times New Roman" w:eastAsia="Times New Roman" w:hAnsi="Times New Roman" w:cs="Times New Roman"/>
                <w:color w:val="000000"/>
                <w:kern w:val="0"/>
                <w:lang w:eastAsia="ro-MD"/>
                <w14:ligatures w14:val="none"/>
              </w:rPr>
              <w:t>the</w:t>
            </w:r>
            <w:proofErr w:type="spellEnd"/>
            <w:r w:rsidRPr="003F20AD">
              <w:rPr>
                <w:rFonts w:ascii="Times New Roman" w:eastAsia="Times New Roman" w:hAnsi="Times New Roman" w:cs="Times New Roman"/>
                <w:color w:val="000000"/>
                <w:kern w:val="0"/>
                <w:lang w:eastAsia="ro-MD"/>
                <w14:ligatures w14:val="none"/>
              </w:rPr>
              <w:t xml:space="preserve"> model </w:t>
            </w:r>
            <w:proofErr w:type="spellStart"/>
            <w:r w:rsidRPr="003F20AD">
              <w:rPr>
                <w:rFonts w:ascii="Times New Roman" w:eastAsia="Times New Roman" w:hAnsi="Times New Roman" w:cs="Times New Roman"/>
                <w:color w:val="000000"/>
                <w:kern w:val="0"/>
                <w:lang w:eastAsia="ro-MD"/>
                <w14:ligatures w14:val="none"/>
              </w:rPr>
              <w:t>engine</w:t>
            </w:r>
            <w:proofErr w:type="spellEnd"/>
            <w:r w:rsidRPr="003F20AD">
              <w:rPr>
                <w:rFonts w:ascii="Times New Roman" w:eastAsia="Times New Roman" w:hAnsi="Times New Roman" w:cs="Times New Roman"/>
                <w:color w:val="000000"/>
                <w:kern w:val="0"/>
                <w:lang w:eastAsia="ro-MD"/>
                <w14:ligatures w14:val="none"/>
              </w:rPr>
              <w:t xml:space="preserve"> - RNIME), dar fără a se limita la acesta.</w:t>
            </w:r>
          </w:p>
        </w:tc>
        <w:tc>
          <w:tcPr>
            <w:tcW w:w="531" w:type="pct"/>
          </w:tcPr>
          <w:p w14:paraId="0A94BF83" w14:textId="77777777" w:rsidR="00F60F69" w:rsidRDefault="00F60F69"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3828EA5B" w14:textId="1D4A1ECC" w:rsidR="00F60F69" w:rsidRPr="003F20AD" w:rsidRDefault="00F60F69" w:rsidP="009F37FB">
            <w:pPr>
              <w:spacing w:after="0"/>
              <w:jc w:val="center"/>
              <w:rPr>
                <w:rStyle w:val="InstructionsTabelleberschrift"/>
                <w:rFonts w:ascii="Times New Roman" w:eastAsia="Times New Roman" w:hAnsi="Times New Roman"/>
                <w:b w:val="0"/>
                <w:bCs w:val="0"/>
                <w:color w:val="000000"/>
                <w:kern w:val="0"/>
                <w:sz w:val="22"/>
                <w:u w:val="none"/>
                <w:lang w:eastAsia="ro-MD"/>
                <w14:ligatures w14:val="none"/>
              </w:rPr>
            </w:pPr>
            <w:r w:rsidRPr="009776CD">
              <w:rPr>
                <w:rStyle w:val="InstructionsTabelleberschrift"/>
                <w:rFonts w:ascii="Times New Roman" w:eastAsia="Times New Roman" w:hAnsi="Times New Roman"/>
                <w:b w:val="0"/>
                <w:bCs w:val="0"/>
                <w:color w:val="000000"/>
                <w:kern w:val="0"/>
                <w:sz w:val="22"/>
                <w:u w:val="none"/>
                <w:lang w:eastAsia="ro-MD"/>
                <w14:ligatures w14:val="none"/>
              </w:rPr>
              <w:t>blocat</w:t>
            </w:r>
          </w:p>
        </w:tc>
      </w:tr>
      <w:tr w:rsidR="00F60F69" w:rsidRPr="002A677E" w14:paraId="0156D274" w14:textId="14B36EB7" w:rsidTr="002B024E">
        <w:trPr>
          <w:tblCellSpacing w:w="0" w:type="dxa"/>
        </w:trPr>
        <w:tc>
          <w:tcPr>
            <w:tcW w:w="405" w:type="pct"/>
            <w:tcBorders>
              <w:top w:val="single" w:sz="4" w:space="0" w:color="auto"/>
              <w:left w:val="single" w:sz="4" w:space="0" w:color="auto"/>
              <w:bottom w:val="single" w:sz="4" w:space="0" w:color="auto"/>
              <w:right w:val="single" w:sz="4" w:space="0" w:color="auto"/>
            </w:tcBorders>
            <w:hideMark/>
          </w:tcPr>
          <w:p w14:paraId="691B810F" w14:textId="77777777" w:rsidR="00F60F69" w:rsidRPr="003F20AD" w:rsidRDefault="00F60F69" w:rsidP="009F37FB">
            <w:pPr>
              <w:spacing w:after="0"/>
              <w:rPr>
                <w:rStyle w:val="FormatvorlageInstructionsTabelleText"/>
                <w:rFonts w:ascii="Times New Roman" w:eastAsia="Times New Roman" w:hAnsi="Times New Roman"/>
                <w:bCs w:val="0"/>
                <w:color w:val="000000"/>
                <w:kern w:val="0"/>
                <w:sz w:val="22"/>
                <w:lang w:eastAsia="ro-MD"/>
                <w14:ligatures w14:val="none"/>
              </w:rPr>
            </w:pPr>
            <w:r w:rsidRPr="003F20AD">
              <w:rPr>
                <w:rStyle w:val="FormatvorlageInstructionsTabelleText"/>
                <w:rFonts w:ascii="Times New Roman" w:eastAsia="Times New Roman" w:hAnsi="Times New Roman"/>
                <w:bCs w:val="0"/>
                <w:color w:val="000000"/>
                <w:kern w:val="0"/>
                <w:sz w:val="22"/>
                <w:lang w:eastAsia="ro-MD"/>
                <w14:ligatures w14:val="none"/>
              </w:rPr>
              <w:t>0780</w:t>
            </w:r>
          </w:p>
        </w:tc>
        <w:tc>
          <w:tcPr>
            <w:tcW w:w="3534" w:type="pct"/>
            <w:tcBorders>
              <w:top w:val="single" w:sz="4" w:space="0" w:color="auto"/>
              <w:left w:val="single" w:sz="4" w:space="0" w:color="auto"/>
              <w:bottom w:val="single" w:sz="4" w:space="0" w:color="auto"/>
              <w:right w:val="single" w:sz="4" w:space="0" w:color="auto"/>
            </w:tcBorders>
            <w:hideMark/>
          </w:tcPr>
          <w:p w14:paraId="41FF7C78" w14:textId="0F41F4F0" w:rsidR="00F60F69" w:rsidRPr="003F20AD" w:rsidRDefault="00F60F69" w:rsidP="009F37FB">
            <w:pPr>
              <w:spacing w:after="0"/>
              <w:rPr>
                <w:rStyle w:val="InstructionsTabelleberschrift"/>
                <w:rFonts w:ascii="Times New Roman" w:eastAsia="Times New Roman" w:hAnsi="Times New Roman"/>
                <w:b w:val="0"/>
                <w:bCs w:val="0"/>
                <w:color w:val="000000"/>
                <w:kern w:val="0"/>
                <w:sz w:val="22"/>
                <w:u w:val="none"/>
                <w:lang w:eastAsia="ro-MD"/>
                <w14:ligatures w14:val="none"/>
              </w:rPr>
            </w:pPr>
            <w:r w:rsidRPr="007A7826">
              <w:rPr>
                <w:rStyle w:val="InstructionsTabelleberschrift"/>
                <w:rFonts w:ascii="Times New Roman" w:eastAsia="Times New Roman" w:hAnsi="Times New Roman"/>
                <w:color w:val="000000"/>
                <w:kern w:val="0"/>
                <w:sz w:val="22"/>
                <w:u w:val="none"/>
                <w:lang w:eastAsia="ro-MD"/>
                <w14:ligatures w14:val="none"/>
              </w:rPr>
              <w:t xml:space="preserve">1.8.5   Din care: cuantumul tranzitoriu al expunerii la riscul legat de </w:t>
            </w:r>
            <w:proofErr w:type="spellStart"/>
            <w:r w:rsidRPr="007A7826">
              <w:rPr>
                <w:rStyle w:val="InstructionsTabelleberschrift"/>
                <w:rFonts w:ascii="Times New Roman" w:eastAsia="Times New Roman" w:hAnsi="Times New Roman"/>
                <w:color w:val="000000"/>
                <w:kern w:val="0"/>
                <w:sz w:val="22"/>
                <w:u w:val="none"/>
                <w:lang w:eastAsia="ro-MD"/>
                <w14:ligatures w14:val="none"/>
              </w:rPr>
              <w:t>criptoactive</w:t>
            </w:r>
            <w:proofErr w:type="spellEnd"/>
            <w:r w:rsidRPr="007A7826">
              <w:rPr>
                <w:rStyle w:val="InstructionsTabelleberschrift"/>
                <w:rFonts w:ascii="Times New Roman" w:eastAsia="Times New Roman" w:hAnsi="Times New Roman"/>
                <w:color w:val="000000"/>
                <w:kern w:val="0"/>
                <w:sz w:val="22"/>
                <w:u w:val="none"/>
                <w:lang w:eastAsia="ro-MD"/>
                <w14:ligatures w14:val="none"/>
              </w:rPr>
              <w:t xml:space="preserve"> </w:t>
            </w:r>
          </w:p>
        </w:tc>
        <w:tc>
          <w:tcPr>
            <w:tcW w:w="531" w:type="pct"/>
          </w:tcPr>
          <w:p w14:paraId="647287C0" w14:textId="77777777" w:rsidR="00F60F69" w:rsidRDefault="00F60F69"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p>
        </w:tc>
        <w:tc>
          <w:tcPr>
            <w:tcW w:w="530" w:type="pct"/>
            <w:tcBorders>
              <w:top w:val="single" w:sz="4" w:space="0" w:color="auto"/>
              <w:left w:val="single" w:sz="4" w:space="0" w:color="auto"/>
              <w:bottom w:val="single" w:sz="4" w:space="0" w:color="auto"/>
              <w:right w:val="single" w:sz="4" w:space="0" w:color="auto"/>
            </w:tcBorders>
          </w:tcPr>
          <w:p w14:paraId="42AB2B29" w14:textId="7F684B8C" w:rsidR="00F60F69" w:rsidRPr="007A7826" w:rsidRDefault="00F60F69" w:rsidP="009F37FB">
            <w:pPr>
              <w:spacing w:after="0"/>
              <w:jc w:val="center"/>
              <w:rPr>
                <w:rStyle w:val="InstructionsTabelleberschrift"/>
                <w:rFonts w:ascii="Times New Roman" w:eastAsia="Times New Roman" w:hAnsi="Times New Roman"/>
                <w:color w:val="000000"/>
                <w:kern w:val="0"/>
                <w:sz w:val="22"/>
                <w:u w:val="none"/>
                <w:lang w:eastAsia="ro-MD"/>
                <w14:ligatures w14:val="none"/>
              </w:rPr>
            </w:pPr>
            <w:r w:rsidRPr="009776CD">
              <w:rPr>
                <w:rStyle w:val="InstructionsTabelleberschrift"/>
                <w:rFonts w:ascii="Times New Roman" w:eastAsia="Times New Roman" w:hAnsi="Times New Roman"/>
                <w:b w:val="0"/>
                <w:bCs w:val="0"/>
                <w:color w:val="000000"/>
                <w:kern w:val="0"/>
                <w:sz w:val="22"/>
                <w:u w:val="none"/>
                <w:lang w:eastAsia="ro-MD"/>
                <w14:ligatures w14:val="none"/>
              </w:rPr>
              <w:t>blocat</w:t>
            </w:r>
          </w:p>
        </w:tc>
      </w:tr>
    </w:tbl>
    <w:p w14:paraId="25E48D10" w14:textId="77777777" w:rsidR="00260C32" w:rsidRDefault="00260C32"/>
    <w:p w14:paraId="5751E18B" w14:textId="310731D2" w:rsidR="00232DE0" w:rsidRPr="002B024E" w:rsidRDefault="00232DE0" w:rsidP="00232DE0">
      <w:pPr>
        <w:jc w:val="center"/>
        <w:rPr>
          <w:rFonts w:ascii="Times New Roman" w:hAnsi="Times New Roman" w:cs="Times New Roman"/>
          <w:b/>
          <w:bCs/>
        </w:rPr>
      </w:pPr>
      <w:r w:rsidRPr="002B024E">
        <w:rPr>
          <w:rFonts w:ascii="Times New Roman" w:hAnsi="Times New Roman" w:cs="Times New Roman"/>
          <w:b/>
          <w:bCs/>
        </w:rPr>
        <w:t>Form</w:t>
      </w:r>
      <w:r w:rsidR="008619D0">
        <w:rPr>
          <w:rFonts w:ascii="Times New Roman" w:hAnsi="Times New Roman" w:cs="Times New Roman"/>
          <w:b/>
          <w:bCs/>
        </w:rPr>
        <w:t>ularul</w:t>
      </w:r>
      <w:r w:rsidRPr="002B024E">
        <w:rPr>
          <w:rFonts w:ascii="Times New Roman" w:hAnsi="Times New Roman" w:cs="Times New Roman"/>
          <w:b/>
          <w:bCs/>
        </w:rPr>
        <w:t xml:space="preserve"> raportului C 0</w:t>
      </w:r>
      <w:r>
        <w:rPr>
          <w:rFonts w:ascii="Times New Roman" w:hAnsi="Times New Roman" w:cs="Times New Roman"/>
          <w:b/>
          <w:bCs/>
        </w:rPr>
        <w:t>3</w:t>
      </w:r>
      <w:r w:rsidRPr="002B024E">
        <w:rPr>
          <w:rFonts w:ascii="Times New Roman" w:hAnsi="Times New Roman" w:cs="Times New Roman"/>
          <w:b/>
          <w:bCs/>
        </w:rPr>
        <w:t>.00</w:t>
      </w:r>
    </w:p>
    <w:p w14:paraId="7B466F61" w14:textId="77777777" w:rsidR="00232DE0" w:rsidRPr="002B024E" w:rsidRDefault="00232DE0" w:rsidP="00232DE0">
      <w:pPr>
        <w:spacing w:after="0"/>
        <w:rPr>
          <w:rFonts w:ascii="Times New Roman" w:hAnsi="Times New Roman" w:cs="Times New Roman"/>
          <w:b/>
          <w:bCs/>
        </w:rPr>
      </w:pPr>
    </w:p>
    <w:p w14:paraId="582BCCEE" w14:textId="77777777" w:rsidR="00232DE0" w:rsidRPr="002B024E" w:rsidRDefault="00232DE0" w:rsidP="00232DE0">
      <w:pPr>
        <w:spacing w:after="0"/>
        <w:rPr>
          <w:rFonts w:ascii="Times New Roman" w:hAnsi="Times New Roman" w:cs="Times New Roman"/>
          <w:b/>
          <w:bCs/>
        </w:rPr>
      </w:pPr>
      <w:r w:rsidRPr="002B024E">
        <w:rPr>
          <w:rFonts w:ascii="Times New Roman" w:hAnsi="Times New Roman" w:cs="Times New Roman"/>
          <w:b/>
          <w:bCs/>
        </w:rPr>
        <w:t>Codul băncii ____________________</w:t>
      </w:r>
    </w:p>
    <w:p w14:paraId="2361A77F" w14:textId="27EF0796" w:rsidR="00232DE0" w:rsidRDefault="00232DE0" w:rsidP="00232DE0">
      <w:pPr>
        <w:spacing w:after="0"/>
        <w:rPr>
          <w:rFonts w:ascii="Times New Roman" w:hAnsi="Times New Roman" w:cs="Times New Roman"/>
          <w:b/>
          <w:bCs/>
        </w:rPr>
      </w:pPr>
      <w:r w:rsidRPr="002B024E">
        <w:rPr>
          <w:rFonts w:ascii="Times New Roman" w:hAnsi="Times New Roman" w:cs="Times New Roman"/>
          <w:b/>
          <w:bCs/>
        </w:rPr>
        <w:t>Perioada de raportare_____________                                                Formular C</w:t>
      </w:r>
      <w:r>
        <w:rPr>
          <w:rFonts w:ascii="Times New Roman" w:hAnsi="Times New Roman" w:cs="Times New Roman"/>
          <w:b/>
          <w:bCs/>
        </w:rPr>
        <w:t xml:space="preserve"> </w:t>
      </w:r>
      <w:r w:rsidRPr="002B024E">
        <w:rPr>
          <w:rFonts w:ascii="Times New Roman" w:hAnsi="Times New Roman" w:cs="Times New Roman"/>
          <w:b/>
          <w:bCs/>
        </w:rPr>
        <w:t>0</w:t>
      </w:r>
      <w:r>
        <w:rPr>
          <w:rFonts w:ascii="Times New Roman" w:hAnsi="Times New Roman" w:cs="Times New Roman"/>
          <w:b/>
          <w:bCs/>
        </w:rPr>
        <w:t>3</w:t>
      </w:r>
      <w:r w:rsidRPr="002B024E">
        <w:rPr>
          <w:rFonts w:ascii="Times New Roman" w:hAnsi="Times New Roman" w:cs="Times New Roman"/>
          <w:b/>
          <w:bCs/>
        </w:rPr>
        <w:t>.00</w:t>
      </w:r>
    </w:p>
    <w:p w14:paraId="39C943F9" w14:textId="77777777" w:rsidR="00232DE0" w:rsidRDefault="00232DE0" w:rsidP="00232DE0">
      <w:pPr>
        <w:spacing w:after="0"/>
        <w:jc w:val="center"/>
        <w:rPr>
          <w:rFonts w:ascii="Times New Roman" w:hAnsi="Times New Roman" w:cs="Times New Roman"/>
          <w:b/>
          <w:bCs/>
        </w:rPr>
      </w:pPr>
    </w:p>
    <w:p w14:paraId="16B6B4EE" w14:textId="77777777" w:rsidR="00232DE0" w:rsidRPr="00232DE0" w:rsidRDefault="00232DE0" w:rsidP="00232DE0">
      <w:pPr>
        <w:spacing w:after="0"/>
        <w:jc w:val="center"/>
        <w:rPr>
          <w:rFonts w:ascii="Times New Roman" w:hAnsi="Times New Roman" w:cs="Times New Roman"/>
          <w:b/>
          <w:bCs/>
        </w:rPr>
      </w:pPr>
    </w:p>
    <w:p w14:paraId="0B7771BE" w14:textId="28A8C90D" w:rsidR="00260C32" w:rsidRPr="00232DE0" w:rsidRDefault="00260C32" w:rsidP="00232DE0">
      <w:pPr>
        <w:jc w:val="center"/>
        <w:rPr>
          <w:rFonts w:ascii="Times New Roman" w:hAnsi="Times New Roman" w:cs="Times New Roman"/>
          <w:b/>
          <w:bCs/>
          <w:lang w:eastAsia="ro-MD"/>
        </w:rPr>
      </w:pPr>
      <w:r w:rsidRPr="00232DE0">
        <w:rPr>
          <w:rFonts w:ascii="Times New Roman" w:hAnsi="Times New Roman" w:cs="Times New Roman"/>
          <w:b/>
          <w:bCs/>
          <w:lang w:eastAsia="ro-MD"/>
        </w:rPr>
        <w:t xml:space="preserve">C 03.00 – RATELE </w:t>
      </w:r>
      <w:r w:rsidR="00440F8C">
        <w:rPr>
          <w:rFonts w:ascii="Times New Roman" w:hAnsi="Times New Roman" w:cs="Times New Roman"/>
          <w:b/>
          <w:bCs/>
          <w:lang w:eastAsia="ro-MD"/>
        </w:rPr>
        <w:t>CAPITALULUI</w:t>
      </w:r>
      <w:r w:rsidRPr="00232DE0">
        <w:rPr>
          <w:rFonts w:ascii="Times New Roman" w:hAnsi="Times New Roman" w:cs="Times New Roman"/>
          <w:b/>
          <w:bCs/>
          <w:lang w:eastAsia="ro-MD"/>
        </w:rPr>
        <w:t xml:space="preserve"> ȘI NIVELURILE DE CAPITAL (CA3)</w:t>
      </w:r>
    </w:p>
    <w:p w14:paraId="0DAFDAD2" w14:textId="77777777" w:rsidR="007874EE" w:rsidRPr="007874EE" w:rsidRDefault="007874EE" w:rsidP="007874EE">
      <w:pPr>
        <w:rPr>
          <w:lang w:eastAsia="ro-MD"/>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5"/>
        <w:gridCol w:w="558"/>
        <w:gridCol w:w="7199"/>
        <w:gridCol w:w="913"/>
      </w:tblGrid>
      <w:tr w:rsidR="00260C32" w:rsidRPr="00260C32" w14:paraId="22D7A9A2" w14:textId="77777777" w:rsidTr="000D128C">
        <w:trPr>
          <w:tblCellSpacing w:w="0" w:type="dxa"/>
        </w:trPr>
        <w:tc>
          <w:tcPr>
            <w:tcW w:w="0" w:type="auto"/>
            <w:shd w:val="clear" w:color="auto" w:fill="E7E6E6" w:themeFill="background2"/>
            <w:hideMark/>
          </w:tcPr>
          <w:p w14:paraId="00532BF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Rânduri</w:t>
            </w:r>
          </w:p>
        </w:tc>
        <w:tc>
          <w:tcPr>
            <w:tcW w:w="0" w:type="auto"/>
            <w:shd w:val="clear" w:color="auto" w:fill="E7E6E6" w:themeFill="background2"/>
            <w:hideMark/>
          </w:tcPr>
          <w:p w14:paraId="11C96C95" w14:textId="15CA4724" w:rsidR="00260C32" w:rsidRPr="00260C32" w:rsidRDefault="000D128C"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0D128C">
              <w:rPr>
                <w:rFonts w:ascii="Times New Roman" w:eastAsia="Times New Roman" w:hAnsi="Times New Roman" w:cs="Times New Roman"/>
                <w:b/>
                <w:bCs/>
                <w:color w:val="000000"/>
                <w:kern w:val="0"/>
                <w:lang w:eastAsia="ro-MD"/>
                <w14:ligatures w14:val="none"/>
              </w:rPr>
              <w:t>ID</w:t>
            </w:r>
          </w:p>
        </w:tc>
        <w:tc>
          <w:tcPr>
            <w:tcW w:w="0" w:type="auto"/>
            <w:shd w:val="clear" w:color="auto" w:fill="E7E6E6" w:themeFill="background2"/>
            <w:hideMark/>
          </w:tcPr>
          <w:p w14:paraId="388A2FF2" w14:textId="77777777" w:rsid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Element</w:t>
            </w:r>
          </w:p>
          <w:p w14:paraId="7757542A" w14:textId="77777777" w:rsidR="000D128C" w:rsidRPr="00260C32" w:rsidRDefault="000D128C"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p>
        </w:tc>
        <w:tc>
          <w:tcPr>
            <w:tcW w:w="0" w:type="auto"/>
            <w:shd w:val="clear" w:color="auto" w:fill="E7E6E6" w:themeFill="background2"/>
            <w:hideMark/>
          </w:tcPr>
          <w:p w14:paraId="6C44B4C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Cuantum</w:t>
            </w:r>
          </w:p>
        </w:tc>
      </w:tr>
      <w:tr w:rsidR="00260C32" w:rsidRPr="00260C32" w14:paraId="08832BD8" w14:textId="77777777" w:rsidTr="00260C32">
        <w:trPr>
          <w:tblCellSpacing w:w="0" w:type="dxa"/>
        </w:trPr>
        <w:tc>
          <w:tcPr>
            <w:tcW w:w="0" w:type="auto"/>
            <w:hideMark/>
          </w:tcPr>
          <w:p w14:paraId="46936B0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0010</w:t>
            </w:r>
          </w:p>
        </w:tc>
        <w:tc>
          <w:tcPr>
            <w:tcW w:w="0" w:type="auto"/>
            <w:hideMark/>
          </w:tcPr>
          <w:p w14:paraId="207D570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w:t>
            </w:r>
          </w:p>
        </w:tc>
        <w:tc>
          <w:tcPr>
            <w:tcW w:w="0" w:type="auto"/>
            <w:hideMark/>
          </w:tcPr>
          <w:p w14:paraId="037FF0C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Rata fondurilor proprii de nivel 1 de bază</w:t>
            </w:r>
          </w:p>
        </w:tc>
        <w:tc>
          <w:tcPr>
            <w:tcW w:w="0" w:type="auto"/>
            <w:hideMark/>
          </w:tcPr>
          <w:p w14:paraId="5E4497D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w:t>
            </w:r>
          </w:p>
        </w:tc>
      </w:tr>
      <w:tr w:rsidR="00260C32" w:rsidRPr="00260C32" w14:paraId="4A3A5AEE" w14:textId="77777777" w:rsidTr="00260C32">
        <w:trPr>
          <w:tblCellSpacing w:w="0" w:type="dxa"/>
        </w:trPr>
        <w:tc>
          <w:tcPr>
            <w:tcW w:w="0" w:type="auto"/>
            <w:hideMark/>
          </w:tcPr>
          <w:p w14:paraId="2B35AB2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0020</w:t>
            </w:r>
          </w:p>
        </w:tc>
        <w:tc>
          <w:tcPr>
            <w:tcW w:w="0" w:type="auto"/>
            <w:hideMark/>
          </w:tcPr>
          <w:p w14:paraId="44F4AF8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2</w:t>
            </w:r>
          </w:p>
        </w:tc>
        <w:tc>
          <w:tcPr>
            <w:tcW w:w="0" w:type="auto"/>
            <w:hideMark/>
          </w:tcPr>
          <w:p w14:paraId="79FF4B4C" w14:textId="79F32041"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Excedentul(+)/Deficitul(-) fondurilor proprii de nivel 1 de bază</w:t>
            </w:r>
          </w:p>
        </w:tc>
        <w:tc>
          <w:tcPr>
            <w:tcW w:w="0" w:type="auto"/>
            <w:hideMark/>
          </w:tcPr>
          <w:p w14:paraId="51F8A0B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w:t>
            </w:r>
          </w:p>
        </w:tc>
      </w:tr>
      <w:tr w:rsidR="00260C32" w:rsidRPr="00260C32" w14:paraId="59952D23" w14:textId="77777777" w:rsidTr="00260C32">
        <w:trPr>
          <w:tblCellSpacing w:w="0" w:type="dxa"/>
        </w:trPr>
        <w:tc>
          <w:tcPr>
            <w:tcW w:w="0" w:type="auto"/>
            <w:hideMark/>
          </w:tcPr>
          <w:p w14:paraId="3BBF3D1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0030</w:t>
            </w:r>
          </w:p>
        </w:tc>
        <w:tc>
          <w:tcPr>
            <w:tcW w:w="0" w:type="auto"/>
            <w:hideMark/>
          </w:tcPr>
          <w:p w14:paraId="32988DE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3</w:t>
            </w:r>
          </w:p>
        </w:tc>
        <w:tc>
          <w:tcPr>
            <w:tcW w:w="0" w:type="auto"/>
            <w:hideMark/>
          </w:tcPr>
          <w:p w14:paraId="2187AC6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Rata fondurilor proprii de nivel 1</w:t>
            </w:r>
          </w:p>
        </w:tc>
        <w:tc>
          <w:tcPr>
            <w:tcW w:w="0" w:type="auto"/>
            <w:hideMark/>
          </w:tcPr>
          <w:p w14:paraId="6CECF58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w:t>
            </w:r>
          </w:p>
        </w:tc>
      </w:tr>
      <w:tr w:rsidR="00260C32" w:rsidRPr="00260C32" w14:paraId="632BEE46" w14:textId="77777777" w:rsidTr="00260C32">
        <w:trPr>
          <w:tblCellSpacing w:w="0" w:type="dxa"/>
        </w:trPr>
        <w:tc>
          <w:tcPr>
            <w:tcW w:w="0" w:type="auto"/>
            <w:hideMark/>
          </w:tcPr>
          <w:p w14:paraId="4AF18EE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0040</w:t>
            </w:r>
          </w:p>
        </w:tc>
        <w:tc>
          <w:tcPr>
            <w:tcW w:w="0" w:type="auto"/>
            <w:hideMark/>
          </w:tcPr>
          <w:p w14:paraId="3004F39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4</w:t>
            </w:r>
          </w:p>
        </w:tc>
        <w:tc>
          <w:tcPr>
            <w:tcW w:w="0" w:type="auto"/>
            <w:hideMark/>
          </w:tcPr>
          <w:p w14:paraId="4900B08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Excedentul(+)/Deficitul(-) fondurilor proprii de nivel 1</w:t>
            </w:r>
          </w:p>
        </w:tc>
        <w:tc>
          <w:tcPr>
            <w:tcW w:w="0" w:type="auto"/>
            <w:hideMark/>
          </w:tcPr>
          <w:p w14:paraId="3A8032D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w:t>
            </w:r>
          </w:p>
        </w:tc>
      </w:tr>
      <w:tr w:rsidR="00260C32" w:rsidRPr="00260C32" w14:paraId="339A3173" w14:textId="77777777" w:rsidTr="00260C32">
        <w:trPr>
          <w:tblCellSpacing w:w="0" w:type="dxa"/>
        </w:trPr>
        <w:tc>
          <w:tcPr>
            <w:tcW w:w="0" w:type="auto"/>
            <w:hideMark/>
          </w:tcPr>
          <w:p w14:paraId="2760D0C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0050</w:t>
            </w:r>
          </w:p>
        </w:tc>
        <w:tc>
          <w:tcPr>
            <w:tcW w:w="0" w:type="auto"/>
            <w:hideMark/>
          </w:tcPr>
          <w:p w14:paraId="4836BBA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5</w:t>
            </w:r>
          </w:p>
        </w:tc>
        <w:tc>
          <w:tcPr>
            <w:tcW w:w="0" w:type="auto"/>
            <w:hideMark/>
          </w:tcPr>
          <w:p w14:paraId="76CA19E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Rata fondurilor proprii totale</w:t>
            </w:r>
          </w:p>
        </w:tc>
        <w:tc>
          <w:tcPr>
            <w:tcW w:w="0" w:type="auto"/>
            <w:hideMark/>
          </w:tcPr>
          <w:p w14:paraId="4250DF7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w:t>
            </w:r>
          </w:p>
        </w:tc>
      </w:tr>
      <w:tr w:rsidR="00260C32" w:rsidRPr="00260C32" w14:paraId="62BB54B1" w14:textId="77777777" w:rsidTr="00260C32">
        <w:trPr>
          <w:tblCellSpacing w:w="0" w:type="dxa"/>
        </w:trPr>
        <w:tc>
          <w:tcPr>
            <w:tcW w:w="0" w:type="auto"/>
            <w:hideMark/>
          </w:tcPr>
          <w:p w14:paraId="3D67D25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0060</w:t>
            </w:r>
          </w:p>
        </w:tc>
        <w:tc>
          <w:tcPr>
            <w:tcW w:w="0" w:type="auto"/>
            <w:hideMark/>
          </w:tcPr>
          <w:p w14:paraId="52FDD52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6</w:t>
            </w:r>
          </w:p>
        </w:tc>
        <w:tc>
          <w:tcPr>
            <w:tcW w:w="0" w:type="auto"/>
            <w:hideMark/>
          </w:tcPr>
          <w:p w14:paraId="6EE65EA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Excedentul(+)/Deficitul(-) fondurilor proprii totale</w:t>
            </w:r>
          </w:p>
        </w:tc>
        <w:tc>
          <w:tcPr>
            <w:tcW w:w="0" w:type="auto"/>
            <w:hideMark/>
          </w:tcPr>
          <w:p w14:paraId="16CA1CB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w:t>
            </w:r>
          </w:p>
        </w:tc>
      </w:tr>
      <w:tr w:rsidR="000D128C" w:rsidRPr="002569FD" w14:paraId="011068CC" w14:textId="77777777" w:rsidTr="000D128C">
        <w:trPr>
          <w:tblCellSpacing w:w="0" w:type="dxa"/>
        </w:trPr>
        <w:tc>
          <w:tcPr>
            <w:tcW w:w="0" w:type="auto"/>
            <w:gridSpan w:val="4"/>
            <w:shd w:val="clear" w:color="auto" w:fill="E7E6E6" w:themeFill="background2"/>
          </w:tcPr>
          <w:p w14:paraId="283E8210" w14:textId="5DED9DFF" w:rsidR="000D128C" w:rsidRPr="002569FD" w:rsidRDefault="000D128C"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Elemente memorandum: Rata fondurilor proprii luând în considerare TREA fără aplicarea pragului minim</w:t>
            </w:r>
          </w:p>
        </w:tc>
      </w:tr>
      <w:tr w:rsidR="000D128C" w:rsidRPr="002569FD" w14:paraId="00D8F97C" w14:textId="77777777" w:rsidTr="00260C32">
        <w:trPr>
          <w:tblCellSpacing w:w="0" w:type="dxa"/>
        </w:trPr>
        <w:tc>
          <w:tcPr>
            <w:tcW w:w="0" w:type="auto"/>
          </w:tcPr>
          <w:p w14:paraId="56240928" w14:textId="240D9DA7" w:rsidR="000D128C" w:rsidRPr="002569FD" w:rsidRDefault="000D128C"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0070</w:t>
            </w:r>
          </w:p>
        </w:tc>
        <w:tc>
          <w:tcPr>
            <w:tcW w:w="0" w:type="auto"/>
          </w:tcPr>
          <w:p w14:paraId="3F801893" w14:textId="08230ECE" w:rsidR="000D128C" w:rsidRPr="002569FD" w:rsidRDefault="000D128C"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7</w:t>
            </w:r>
          </w:p>
        </w:tc>
        <w:tc>
          <w:tcPr>
            <w:tcW w:w="0" w:type="auto"/>
          </w:tcPr>
          <w:p w14:paraId="303B9F76" w14:textId="59B4EBA8" w:rsidR="000D128C" w:rsidRPr="002569FD" w:rsidRDefault="000D128C" w:rsidP="000D128C">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Rata fondurilor proprii de nivel 1 de bază luând în considerare TREA fără aplicarea pragului minim</w:t>
            </w:r>
          </w:p>
        </w:tc>
        <w:tc>
          <w:tcPr>
            <w:tcW w:w="0" w:type="auto"/>
          </w:tcPr>
          <w:p w14:paraId="7A614675" w14:textId="77777777" w:rsidR="000D128C" w:rsidRPr="002569FD" w:rsidRDefault="000D128C"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p>
        </w:tc>
      </w:tr>
      <w:tr w:rsidR="000D128C" w:rsidRPr="002569FD" w14:paraId="3ED63BD4" w14:textId="77777777" w:rsidTr="00260C32">
        <w:trPr>
          <w:tblCellSpacing w:w="0" w:type="dxa"/>
        </w:trPr>
        <w:tc>
          <w:tcPr>
            <w:tcW w:w="0" w:type="auto"/>
          </w:tcPr>
          <w:p w14:paraId="4BB98EA6" w14:textId="5542EE91" w:rsidR="000D128C" w:rsidRPr="002569FD" w:rsidRDefault="000D128C"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0080</w:t>
            </w:r>
          </w:p>
        </w:tc>
        <w:tc>
          <w:tcPr>
            <w:tcW w:w="0" w:type="auto"/>
          </w:tcPr>
          <w:p w14:paraId="28A2649A" w14:textId="43FBB473" w:rsidR="000D128C" w:rsidRPr="002569FD" w:rsidRDefault="000D128C"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8</w:t>
            </w:r>
          </w:p>
        </w:tc>
        <w:tc>
          <w:tcPr>
            <w:tcW w:w="0" w:type="auto"/>
          </w:tcPr>
          <w:p w14:paraId="78FA29CE" w14:textId="5125CEE2" w:rsidR="000D128C" w:rsidRPr="002569FD" w:rsidRDefault="000D128C" w:rsidP="000D128C">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Rata fondurilor proprii de nivel 1 luând în considerare TREA fără aplicarea pragului minim</w:t>
            </w:r>
          </w:p>
        </w:tc>
        <w:tc>
          <w:tcPr>
            <w:tcW w:w="0" w:type="auto"/>
          </w:tcPr>
          <w:p w14:paraId="3022B714" w14:textId="77777777" w:rsidR="000D128C" w:rsidRPr="002569FD" w:rsidRDefault="000D128C"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p>
        </w:tc>
      </w:tr>
      <w:tr w:rsidR="000D128C" w:rsidRPr="00260C32" w14:paraId="7A722E83" w14:textId="77777777" w:rsidTr="00260C32">
        <w:trPr>
          <w:tblCellSpacing w:w="0" w:type="dxa"/>
        </w:trPr>
        <w:tc>
          <w:tcPr>
            <w:tcW w:w="0" w:type="auto"/>
          </w:tcPr>
          <w:p w14:paraId="3DF2FDC5" w14:textId="678F91D6" w:rsidR="000D128C" w:rsidRPr="002569FD" w:rsidRDefault="000D128C"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0090</w:t>
            </w:r>
          </w:p>
        </w:tc>
        <w:tc>
          <w:tcPr>
            <w:tcW w:w="0" w:type="auto"/>
          </w:tcPr>
          <w:p w14:paraId="2DFE3FDD" w14:textId="2A4681C9" w:rsidR="000D128C" w:rsidRPr="002569FD" w:rsidRDefault="000D128C"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9</w:t>
            </w:r>
          </w:p>
        </w:tc>
        <w:tc>
          <w:tcPr>
            <w:tcW w:w="0" w:type="auto"/>
          </w:tcPr>
          <w:p w14:paraId="0DE4DE33" w14:textId="19951A6A" w:rsidR="000D128C" w:rsidRPr="00260C32" w:rsidRDefault="000D128C" w:rsidP="000D128C">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Rata fondurilor proprii totale luând în considerare TREA fără aplicarea pragului minim</w:t>
            </w:r>
          </w:p>
        </w:tc>
        <w:tc>
          <w:tcPr>
            <w:tcW w:w="0" w:type="auto"/>
          </w:tcPr>
          <w:p w14:paraId="202D06FF" w14:textId="77777777" w:rsidR="000D128C" w:rsidRPr="00260C32" w:rsidRDefault="000D128C"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p>
        </w:tc>
      </w:tr>
      <w:tr w:rsidR="00260C32" w:rsidRPr="002569FD" w14:paraId="50DE120C" w14:textId="77777777" w:rsidTr="000D128C">
        <w:trPr>
          <w:tblCellSpacing w:w="0" w:type="dxa"/>
        </w:trPr>
        <w:tc>
          <w:tcPr>
            <w:tcW w:w="0" w:type="auto"/>
            <w:gridSpan w:val="4"/>
            <w:shd w:val="clear" w:color="auto" w:fill="E7E6E6" w:themeFill="background2"/>
            <w:hideMark/>
          </w:tcPr>
          <w:p w14:paraId="47ACF273" w14:textId="77777777" w:rsidR="00260C32" w:rsidRPr="002569FD"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Elemente memorandum: Cerința totală de capital SREP (TSCR), cerința globală de capital (OCR) și orientările din cadrul pilonului al doilea (P2G)</w:t>
            </w:r>
          </w:p>
        </w:tc>
      </w:tr>
      <w:tr w:rsidR="00260C32" w:rsidRPr="002569FD" w14:paraId="1E8B3707" w14:textId="77777777" w:rsidTr="00260C32">
        <w:trPr>
          <w:tblCellSpacing w:w="0" w:type="dxa"/>
        </w:trPr>
        <w:tc>
          <w:tcPr>
            <w:tcW w:w="0" w:type="auto"/>
            <w:hideMark/>
          </w:tcPr>
          <w:p w14:paraId="72674241" w14:textId="77777777" w:rsidR="00260C32" w:rsidRPr="002569FD"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0130</w:t>
            </w:r>
          </w:p>
        </w:tc>
        <w:tc>
          <w:tcPr>
            <w:tcW w:w="0" w:type="auto"/>
            <w:hideMark/>
          </w:tcPr>
          <w:p w14:paraId="7E65A707" w14:textId="77777777" w:rsidR="00260C32" w:rsidRPr="002569FD"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13</w:t>
            </w:r>
          </w:p>
        </w:tc>
        <w:tc>
          <w:tcPr>
            <w:tcW w:w="0" w:type="auto"/>
            <w:hideMark/>
          </w:tcPr>
          <w:p w14:paraId="1CC5BBA5" w14:textId="77777777" w:rsidR="00260C32" w:rsidRPr="002569FD"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Rata cerinței totale de capital SREP (TSCR)</w:t>
            </w:r>
          </w:p>
        </w:tc>
        <w:tc>
          <w:tcPr>
            <w:tcW w:w="0" w:type="auto"/>
            <w:hideMark/>
          </w:tcPr>
          <w:p w14:paraId="68BC6568" w14:textId="77777777" w:rsidR="00260C32" w:rsidRPr="002569FD"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 </w:t>
            </w:r>
          </w:p>
        </w:tc>
      </w:tr>
      <w:tr w:rsidR="00260C32" w:rsidRPr="002569FD" w14:paraId="6AA0113A" w14:textId="77777777" w:rsidTr="00260C32">
        <w:trPr>
          <w:tblCellSpacing w:w="0" w:type="dxa"/>
        </w:trPr>
        <w:tc>
          <w:tcPr>
            <w:tcW w:w="0" w:type="auto"/>
            <w:hideMark/>
          </w:tcPr>
          <w:p w14:paraId="5DCABEC3" w14:textId="77777777" w:rsidR="00260C32" w:rsidRPr="002569FD"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lastRenderedPageBreak/>
              <w:t>0140</w:t>
            </w:r>
          </w:p>
        </w:tc>
        <w:tc>
          <w:tcPr>
            <w:tcW w:w="0" w:type="auto"/>
            <w:hideMark/>
          </w:tcPr>
          <w:p w14:paraId="46053A06" w14:textId="77777777" w:rsidR="00260C32" w:rsidRPr="002569FD"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13*</w:t>
            </w:r>
          </w:p>
        </w:tc>
        <w:tc>
          <w:tcPr>
            <w:tcW w:w="0" w:type="auto"/>
            <w:hideMark/>
          </w:tcPr>
          <w:p w14:paraId="518FC355" w14:textId="77777777" w:rsidR="00260C32" w:rsidRPr="002569FD"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TSCR: va consta în fonduri proprii de nivel 1 de bază</w:t>
            </w:r>
          </w:p>
        </w:tc>
        <w:tc>
          <w:tcPr>
            <w:tcW w:w="0" w:type="auto"/>
            <w:hideMark/>
          </w:tcPr>
          <w:p w14:paraId="134574D7" w14:textId="77777777" w:rsidR="00260C32" w:rsidRPr="002569FD"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 </w:t>
            </w:r>
          </w:p>
        </w:tc>
      </w:tr>
      <w:tr w:rsidR="00260C32" w:rsidRPr="00260C32" w14:paraId="440B8DE3" w14:textId="77777777" w:rsidTr="00260C32">
        <w:trPr>
          <w:tblCellSpacing w:w="0" w:type="dxa"/>
        </w:trPr>
        <w:tc>
          <w:tcPr>
            <w:tcW w:w="0" w:type="auto"/>
            <w:hideMark/>
          </w:tcPr>
          <w:p w14:paraId="19C1D5F5" w14:textId="77777777" w:rsidR="00260C32" w:rsidRPr="002569FD"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0150</w:t>
            </w:r>
          </w:p>
        </w:tc>
        <w:tc>
          <w:tcPr>
            <w:tcW w:w="0" w:type="auto"/>
            <w:hideMark/>
          </w:tcPr>
          <w:p w14:paraId="3C39E375" w14:textId="77777777" w:rsidR="00260C32" w:rsidRPr="002569FD"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13**</w:t>
            </w:r>
          </w:p>
        </w:tc>
        <w:tc>
          <w:tcPr>
            <w:tcW w:w="0" w:type="auto"/>
            <w:hideMark/>
          </w:tcPr>
          <w:p w14:paraId="13D7D5F9" w14:textId="77777777" w:rsidR="00260C32" w:rsidRPr="002569FD"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569FD">
              <w:rPr>
                <w:rFonts w:ascii="Times New Roman" w:eastAsia="Times New Roman" w:hAnsi="Times New Roman" w:cs="Times New Roman"/>
                <w:color w:val="000000"/>
                <w:kern w:val="0"/>
                <w:lang w:eastAsia="ro-MD"/>
                <w14:ligatures w14:val="none"/>
              </w:rPr>
              <w:t>TSCR: va consta în fonduri proprii de nivel 1</w:t>
            </w:r>
          </w:p>
        </w:tc>
        <w:tc>
          <w:tcPr>
            <w:tcW w:w="0" w:type="auto"/>
            <w:hideMark/>
          </w:tcPr>
          <w:p w14:paraId="5A387C7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w:t>
            </w:r>
          </w:p>
        </w:tc>
      </w:tr>
      <w:tr w:rsidR="00913EAD" w:rsidRPr="00913EAD" w14:paraId="5C5910C0" w14:textId="77777777" w:rsidTr="00260C32">
        <w:trPr>
          <w:tblCellSpacing w:w="0" w:type="dxa"/>
        </w:trPr>
        <w:tc>
          <w:tcPr>
            <w:tcW w:w="0" w:type="auto"/>
          </w:tcPr>
          <w:p w14:paraId="5EA5C80A" w14:textId="7730FBFE" w:rsidR="00913EAD" w:rsidRPr="002B024E" w:rsidRDefault="00913EAD"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B024E">
              <w:rPr>
                <w:rFonts w:ascii="Times New Roman" w:eastAsia="Times New Roman" w:hAnsi="Times New Roman" w:cs="Times New Roman"/>
                <w:color w:val="000000"/>
                <w:kern w:val="0"/>
                <w:lang w:eastAsia="ro-MD"/>
                <w14:ligatures w14:val="none"/>
              </w:rPr>
              <w:t>0151</w:t>
            </w:r>
          </w:p>
        </w:tc>
        <w:tc>
          <w:tcPr>
            <w:tcW w:w="0" w:type="auto"/>
          </w:tcPr>
          <w:p w14:paraId="18F80F69" w14:textId="624D2ADC" w:rsidR="00913EAD" w:rsidRPr="002B024E" w:rsidRDefault="00913EAD"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B024E">
              <w:rPr>
                <w:rFonts w:ascii="Times New Roman" w:eastAsia="Times New Roman" w:hAnsi="Times New Roman" w:cs="Times New Roman"/>
                <w:color w:val="000000"/>
                <w:kern w:val="0"/>
                <w:lang w:eastAsia="ro-MD"/>
                <w14:ligatures w14:val="none"/>
              </w:rPr>
              <w:t>13a</w:t>
            </w:r>
          </w:p>
        </w:tc>
        <w:tc>
          <w:tcPr>
            <w:tcW w:w="0" w:type="auto"/>
          </w:tcPr>
          <w:p w14:paraId="7F73F892" w14:textId="05492F8E" w:rsidR="00913EAD" w:rsidRPr="002B024E" w:rsidRDefault="00913EAD" w:rsidP="00A535C8">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B024E">
              <w:rPr>
                <w:rFonts w:ascii="Times New Roman" w:eastAsia="Times New Roman" w:hAnsi="Times New Roman" w:cs="Times New Roman"/>
                <w:color w:val="000000"/>
                <w:kern w:val="0"/>
                <w:lang w:eastAsia="ro-MD"/>
                <w14:ligatures w14:val="none"/>
              </w:rPr>
              <w:t xml:space="preserve">Rata cerinței totale de capital SREP (TSCR) fără plafonul vizat </w:t>
            </w:r>
            <w:r w:rsidR="00A535C8" w:rsidRPr="00260C32">
              <w:rPr>
                <w:rFonts w:ascii="Times New Roman" w:eastAsia="Times New Roman" w:hAnsi="Times New Roman" w:cs="Times New Roman"/>
                <w:color w:val="000000"/>
                <w:kern w:val="0"/>
                <w:lang w:eastAsia="ro-MD"/>
                <w14:ligatures w14:val="none"/>
              </w:rPr>
              <w:t xml:space="preserve"> ale articolului 1</w:t>
            </w:r>
            <w:r w:rsidR="00A535C8">
              <w:rPr>
                <w:rFonts w:ascii="Times New Roman" w:eastAsia="Times New Roman" w:hAnsi="Times New Roman" w:cs="Times New Roman"/>
                <w:color w:val="000000"/>
                <w:kern w:val="0"/>
                <w:lang w:eastAsia="ro-MD"/>
                <w14:ligatures w14:val="none"/>
              </w:rPr>
              <w:t>39</w:t>
            </w:r>
            <w:r w:rsidR="00A535C8" w:rsidRPr="002B024E">
              <w:rPr>
                <w:rFonts w:ascii="Times New Roman" w:eastAsia="Times New Roman" w:hAnsi="Times New Roman" w:cs="Times New Roman"/>
                <w:color w:val="000000"/>
                <w:kern w:val="0"/>
                <w:vertAlign w:val="superscript"/>
                <w:lang w:eastAsia="ro-MD"/>
                <w14:ligatures w14:val="none"/>
              </w:rPr>
              <w:t>2</w:t>
            </w:r>
            <w:r w:rsidR="00A535C8" w:rsidRPr="00260C32">
              <w:rPr>
                <w:rFonts w:ascii="Times New Roman" w:eastAsia="Times New Roman" w:hAnsi="Times New Roman" w:cs="Times New Roman"/>
                <w:color w:val="000000"/>
                <w:kern w:val="0"/>
                <w:lang w:eastAsia="ro-MD"/>
                <w14:ligatures w14:val="none"/>
              </w:rPr>
              <w:t xml:space="preserve"> din </w:t>
            </w:r>
            <w:r w:rsidR="00A535C8">
              <w:rPr>
                <w:rFonts w:ascii="Times New Roman" w:eastAsia="Times New Roman" w:hAnsi="Times New Roman" w:cs="Times New Roman"/>
                <w:color w:val="000000"/>
                <w:kern w:val="0"/>
                <w:lang w:eastAsia="ro-MD"/>
                <w14:ligatures w14:val="none"/>
              </w:rPr>
              <w:t>Legea nr. 202/2017</w:t>
            </w:r>
          </w:p>
        </w:tc>
        <w:tc>
          <w:tcPr>
            <w:tcW w:w="0" w:type="auto"/>
          </w:tcPr>
          <w:p w14:paraId="1F13F98B" w14:textId="7017859D" w:rsidR="00913EAD" w:rsidRPr="00913EAD" w:rsidRDefault="00913EAD" w:rsidP="002569FD">
            <w:pPr>
              <w:spacing w:before="100" w:beforeAutospacing="1" w:after="100" w:afterAutospacing="1" w:line="240" w:lineRule="auto"/>
              <w:jc w:val="center"/>
              <w:rPr>
                <w:rFonts w:ascii="Times New Roman" w:eastAsia="Times New Roman" w:hAnsi="Times New Roman" w:cs="Times New Roman"/>
                <w:color w:val="000000"/>
                <w:kern w:val="0"/>
                <w:highlight w:val="yellow"/>
                <w:lang w:eastAsia="ro-MD"/>
                <w14:ligatures w14:val="none"/>
              </w:rPr>
            </w:pPr>
          </w:p>
        </w:tc>
      </w:tr>
      <w:tr w:rsidR="00913EAD" w:rsidRPr="00913EAD" w14:paraId="696C2C61" w14:textId="77777777" w:rsidTr="00260C32">
        <w:trPr>
          <w:tblCellSpacing w:w="0" w:type="dxa"/>
        </w:trPr>
        <w:tc>
          <w:tcPr>
            <w:tcW w:w="0" w:type="auto"/>
          </w:tcPr>
          <w:p w14:paraId="25CDF1FC" w14:textId="3E376346" w:rsidR="00913EAD" w:rsidRPr="002B024E" w:rsidRDefault="00913EAD"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B024E">
              <w:rPr>
                <w:rFonts w:ascii="Times New Roman" w:eastAsia="Times New Roman" w:hAnsi="Times New Roman" w:cs="Times New Roman"/>
                <w:color w:val="000000"/>
                <w:kern w:val="0"/>
                <w:lang w:eastAsia="ro-MD"/>
                <w14:ligatures w14:val="none"/>
              </w:rPr>
              <w:t>0152</w:t>
            </w:r>
          </w:p>
        </w:tc>
        <w:tc>
          <w:tcPr>
            <w:tcW w:w="0" w:type="auto"/>
          </w:tcPr>
          <w:p w14:paraId="68C92643" w14:textId="3F9CF679" w:rsidR="00913EAD" w:rsidRPr="002B024E" w:rsidRDefault="00913EAD"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B024E">
              <w:rPr>
                <w:rFonts w:ascii="Times New Roman" w:eastAsia="Times New Roman" w:hAnsi="Times New Roman" w:cs="Times New Roman"/>
                <w:color w:val="000000"/>
                <w:kern w:val="0"/>
                <w:lang w:eastAsia="ro-MD"/>
                <w14:ligatures w14:val="none"/>
              </w:rPr>
              <w:t>13a*</w:t>
            </w:r>
          </w:p>
        </w:tc>
        <w:tc>
          <w:tcPr>
            <w:tcW w:w="0" w:type="auto"/>
          </w:tcPr>
          <w:p w14:paraId="07CDD0C1" w14:textId="25863C6F" w:rsidR="00913EAD" w:rsidRPr="002B024E" w:rsidRDefault="00913EAD"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B024E">
              <w:rPr>
                <w:rFonts w:ascii="Times New Roman" w:eastAsia="Times New Roman" w:hAnsi="Times New Roman" w:cs="Times New Roman"/>
                <w:color w:val="000000"/>
                <w:kern w:val="0"/>
                <w:lang w:eastAsia="ro-MD"/>
                <w14:ligatures w14:val="none"/>
              </w:rPr>
              <w:t>TSCR: vor consta în fonduri proprii de nivel 1 de bază</w:t>
            </w:r>
          </w:p>
        </w:tc>
        <w:tc>
          <w:tcPr>
            <w:tcW w:w="0" w:type="auto"/>
          </w:tcPr>
          <w:p w14:paraId="7DCE2B9D" w14:textId="516DD1CB" w:rsidR="00913EAD" w:rsidRPr="00913EAD" w:rsidRDefault="00913EAD" w:rsidP="002569FD">
            <w:pPr>
              <w:spacing w:before="100" w:beforeAutospacing="1" w:after="100" w:afterAutospacing="1" w:line="240" w:lineRule="auto"/>
              <w:jc w:val="center"/>
              <w:rPr>
                <w:rFonts w:ascii="Times New Roman" w:eastAsia="Times New Roman" w:hAnsi="Times New Roman" w:cs="Times New Roman"/>
                <w:color w:val="000000"/>
                <w:kern w:val="0"/>
                <w:highlight w:val="yellow"/>
                <w:lang w:eastAsia="ro-MD"/>
                <w14:ligatures w14:val="none"/>
              </w:rPr>
            </w:pPr>
          </w:p>
        </w:tc>
      </w:tr>
      <w:tr w:rsidR="00913EAD" w:rsidRPr="00260C32" w14:paraId="20E38FC5" w14:textId="77777777" w:rsidTr="00260C32">
        <w:trPr>
          <w:tblCellSpacing w:w="0" w:type="dxa"/>
        </w:trPr>
        <w:tc>
          <w:tcPr>
            <w:tcW w:w="0" w:type="auto"/>
          </w:tcPr>
          <w:p w14:paraId="093802D4" w14:textId="2CC4630F" w:rsidR="00913EAD" w:rsidRPr="002B024E" w:rsidRDefault="00913EAD"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B024E">
              <w:rPr>
                <w:rFonts w:ascii="Times New Roman" w:eastAsia="Times New Roman" w:hAnsi="Times New Roman" w:cs="Times New Roman"/>
                <w:color w:val="000000"/>
                <w:kern w:val="0"/>
                <w:lang w:eastAsia="ro-MD"/>
                <w14:ligatures w14:val="none"/>
              </w:rPr>
              <w:t>0153</w:t>
            </w:r>
          </w:p>
        </w:tc>
        <w:tc>
          <w:tcPr>
            <w:tcW w:w="0" w:type="auto"/>
          </w:tcPr>
          <w:p w14:paraId="44D13557" w14:textId="2DE7A56B" w:rsidR="00913EAD" w:rsidRPr="002B024E" w:rsidRDefault="00913EAD"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B024E">
              <w:rPr>
                <w:rFonts w:ascii="Times New Roman" w:eastAsia="Times New Roman" w:hAnsi="Times New Roman" w:cs="Times New Roman"/>
                <w:color w:val="000000"/>
                <w:kern w:val="0"/>
                <w:lang w:eastAsia="ro-MD"/>
                <w14:ligatures w14:val="none"/>
              </w:rPr>
              <w:t>13a**</w:t>
            </w:r>
          </w:p>
        </w:tc>
        <w:tc>
          <w:tcPr>
            <w:tcW w:w="0" w:type="auto"/>
          </w:tcPr>
          <w:p w14:paraId="28F81888" w14:textId="2D99C955" w:rsidR="00913EAD" w:rsidRPr="002943BB" w:rsidRDefault="00913EAD"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B024E">
              <w:rPr>
                <w:rFonts w:ascii="Times New Roman" w:eastAsia="Times New Roman" w:hAnsi="Times New Roman" w:cs="Times New Roman"/>
                <w:color w:val="000000"/>
                <w:kern w:val="0"/>
                <w:lang w:eastAsia="ro-MD"/>
                <w14:ligatures w14:val="none"/>
              </w:rPr>
              <w:t>TSCR: vor consta în fonduri proprii de nivel 1</w:t>
            </w:r>
          </w:p>
        </w:tc>
        <w:tc>
          <w:tcPr>
            <w:tcW w:w="0" w:type="auto"/>
          </w:tcPr>
          <w:p w14:paraId="50D1EFA6" w14:textId="7D163907" w:rsidR="00913EAD" w:rsidRPr="00260C32" w:rsidRDefault="00913EAD" w:rsidP="002569FD">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1F20AF" w14:paraId="28F5C416" w14:textId="77777777" w:rsidTr="00260C32">
        <w:trPr>
          <w:tblCellSpacing w:w="0" w:type="dxa"/>
        </w:trPr>
        <w:tc>
          <w:tcPr>
            <w:tcW w:w="0" w:type="auto"/>
            <w:hideMark/>
          </w:tcPr>
          <w:p w14:paraId="0A4F2133"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0160</w:t>
            </w:r>
          </w:p>
        </w:tc>
        <w:tc>
          <w:tcPr>
            <w:tcW w:w="0" w:type="auto"/>
            <w:hideMark/>
          </w:tcPr>
          <w:p w14:paraId="18B94BF1"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14</w:t>
            </w:r>
          </w:p>
        </w:tc>
        <w:tc>
          <w:tcPr>
            <w:tcW w:w="0" w:type="auto"/>
            <w:hideMark/>
          </w:tcPr>
          <w:p w14:paraId="17A308B0"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Rata cerinței globale de capital (OCR)</w:t>
            </w:r>
          </w:p>
        </w:tc>
        <w:tc>
          <w:tcPr>
            <w:tcW w:w="0" w:type="auto"/>
            <w:hideMark/>
          </w:tcPr>
          <w:p w14:paraId="6490FAE3"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BB0D21">
              <w:rPr>
                <w:rFonts w:ascii="Times New Roman" w:eastAsia="Times New Roman" w:hAnsi="Times New Roman" w:cs="Times New Roman"/>
                <w:color w:val="000000"/>
                <w:kern w:val="0"/>
                <w:lang w:eastAsia="ro-MD"/>
                <w14:ligatures w14:val="none"/>
              </w:rPr>
              <w:t> </w:t>
            </w:r>
          </w:p>
        </w:tc>
      </w:tr>
      <w:tr w:rsidR="00260C32" w:rsidRPr="001F20AF" w14:paraId="7108DE67" w14:textId="77777777" w:rsidTr="00260C32">
        <w:trPr>
          <w:tblCellSpacing w:w="0" w:type="dxa"/>
        </w:trPr>
        <w:tc>
          <w:tcPr>
            <w:tcW w:w="0" w:type="auto"/>
            <w:hideMark/>
          </w:tcPr>
          <w:p w14:paraId="77704FDD"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0170</w:t>
            </w:r>
          </w:p>
        </w:tc>
        <w:tc>
          <w:tcPr>
            <w:tcW w:w="0" w:type="auto"/>
            <w:hideMark/>
          </w:tcPr>
          <w:p w14:paraId="2AB4C341"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14*</w:t>
            </w:r>
          </w:p>
        </w:tc>
        <w:tc>
          <w:tcPr>
            <w:tcW w:w="0" w:type="auto"/>
            <w:hideMark/>
          </w:tcPr>
          <w:p w14:paraId="73B352BA"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OCR: va consta în fonduri proprii de nivel 1 de bază</w:t>
            </w:r>
          </w:p>
        </w:tc>
        <w:tc>
          <w:tcPr>
            <w:tcW w:w="0" w:type="auto"/>
            <w:hideMark/>
          </w:tcPr>
          <w:p w14:paraId="417999AA"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BB0D21">
              <w:rPr>
                <w:rFonts w:ascii="Times New Roman" w:eastAsia="Times New Roman" w:hAnsi="Times New Roman" w:cs="Times New Roman"/>
                <w:color w:val="000000"/>
                <w:kern w:val="0"/>
                <w:lang w:eastAsia="ro-MD"/>
                <w14:ligatures w14:val="none"/>
              </w:rPr>
              <w:t> </w:t>
            </w:r>
          </w:p>
        </w:tc>
      </w:tr>
      <w:tr w:rsidR="00260C32" w:rsidRPr="001F20AF" w14:paraId="7CF525AB" w14:textId="77777777" w:rsidTr="00260C32">
        <w:trPr>
          <w:tblCellSpacing w:w="0" w:type="dxa"/>
        </w:trPr>
        <w:tc>
          <w:tcPr>
            <w:tcW w:w="0" w:type="auto"/>
            <w:hideMark/>
          </w:tcPr>
          <w:p w14:paraId="7C4918D7"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0180</w:t>
            </w:r>
          </w:p>
        </w:tc>
        <w:tc>
          <w:tcPr>
            <w:tcW w:w="0" w:type="auto"/>
            <w:hideMark/>
          </w:tcPr>
          <w:p w14:paraId="1B4AE106"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14**</w:t>
            </w:r>
          </w:p>
        </w:tc>
        <w:tc>
          <w:tcPr>
            <w:tcW w:w="0" w:type="auto"/>
            <w:hideMark/>
          </w:tcPr>
          <w:p w14:paraId="22A772D5"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OCR: va consta în fonduri proprii de nivel 1</w:t>
            </w:r>
          </w:p>
        </w:tc>
        <w:tc>
          <w:tcPr>
            <w:tcW w:w="0" w:type="auto"/>
            <w:hideMark/>
          </w:tcPr>
          <w:p w14:paraId="0CED0C14"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BB0D21">
              <w:rPr>
                <w:rFonts w:ascii="Times New Roman" w:eastAsia="Times New Roman" w:hAnsi="Times New Roman" w:cs="Times New Roman"/>
                <w:color w:val="000000"/>
                <w:kern w:val="0"/>
                <w:lang w:eastAsia="ro-MD"/>
                <w14:ligatures w14:val="none"/>
              </w:rPr>
              <w:t> </w:t>
            </w:r>
          </w:p>
        </w:tc>
      </w:tr>
      <w:tr w:rsidR="00260C32" w:rsidRPr="001F20AF" w14:paraId="506E1C46" w14:textId="77777777" w:rsidTr="00260C32">
        <w:trPr>
          <w:tblCellSpacing w:w="0" w:type="dxa"/>
        </w:trPr>
        <w:tc>
          <w:tcPr>
            <w:tcW w:w="0" w:type="auto"/>
            <w:hideMark/>
          </w:tcPr>
          <w:p w14:paraId="63B2F91F"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0190</w:t>
            </w:r>
          </w:p>
        </w:tc>
        <w:tc>
          <w:tcPr>
            <w:tcW w:w="0" w:type="auto"/>
            <w:hideMark/>
          </w:tcPr>
          <w:p w14:paraId="640BF898"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15</w:t>
            </w:r>
          </w:p>
        </w:tc>
        <w:tc>
          <w:tcPr>
            <w:tcW w:w="0" w:type="auto"/>
            <w:hideMark/>
          </w:tcPr>
          <w:p w14:paraId="3A4CD35C" w14:textId="05DF2C36"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 xml:space="preserve">OCR și </w:t>
            </w:r>
            <w:r w:rsidR="004A694D">
              <w:rPr>
                <w:rFonts w:ascii="Times New Roman" w:eastAsia="Times New Roman" w:hAnsi="Times New Roman" w:cs="Times New Roman"/>
                <w:color w:val="000000"/>
                <w:kern w:val="0"/>
                <w:lang w:eastAsia="ro-MD"/>
                <w14:ligatures w14:val="none"/>
              </w:rPr>
              <w:t xml:space="preserve">rata </w:t>
            </w:r>
            <w:proofErr w:type="spellStart"/>
            <w:r w:rsidR="004A694D">
              <w:rPr>
                <w:rFonts w:ascii="Times New Roman" w:eastAsia="Times New Roman" w:hAnsi="Times New Roman" w:cs="Times New Roman"/>
                <w:color w:val="000000"/>
                <w:kern w:val="0"/>
                <w:lang w:eastAsia="ro-MD"/>
                <w14:ligatures w14:val="none"/>
              </w:rPr>
              <w:t>prev</w:t>
            </w:r>
            <w:r w:rsidR="004A694D">
              <w:rPr>
                <w:rFonts w:ascii="Times New Roman" w:eastAsia="Times New Roman" w:hAnsi="Times New Roman" w:cs="Times New Roman"/>
                <w:color w:val="000000"/>
                <w:kern w:val="0"/>
                <w:lang w:val="ro-RO" w:eastAsia="ro-MD"/>
                <w14:ligatures w14:val="none"/>
              </w:rPr>
              <w:t>ăzută</w:t>
            </w:r>
            <w:proofErr w:type="spellEnd"/>
            <w:r w:rsidR="004A694D">
              <w:rPr>
                <w:rFonts w:ascii="Times New Roman" w:eastAsia="Times New Roman" w:hAnsi="Times New Roman" w:cs="Times New Roman"/>
                <w:color w:val="000000"/>
                <w:kern w:val="0"/>
                <w:lang w:val="ro-RO" w:eastAsia="ro-MD"/>
                <w14:ligatures w14:val="none"/>
              </w:rPr>
              <w:t xml:space="preserve"> în </w:t>
            </w:r>
            <w:r w:rsidRPr="001F20AF">
              <w:rPr>
                <w:rFonts w:ascii="Times New Roman" w:eastAsia="Times New Roman" w:hAnsi="Times New Roman" w:cs="Times New Roman"/>
                <w:color w:val="000000"/>
                <w:kern w:val="0"/>
                <w:lang w:eastAsia="ro-MD"/>
                <w14:ligatures w14:val="none"/>
              </w:rPr>
              <w:t>orientările din cadrul pilonului al doilea (P2G)</w:t>
            </w:r>
          </w:p>
        </w:tc>
        <w:tc>
          <w:tcPr>
            <w:tcW w:w="0" w:type="auto"/>
            <w:hideMark/>
          </w:tcPr>
          <w:p w14:paraId="305538BB"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BB0D21">
              <w:rPr>
                <w:rFonts w:ascii="Times New Roman" w:eastAsia="Times New Roman" w:hAnsi="Times New Roman" w:cs="Times New Roman"/>
                <w:color w:val="000000"/>
                <w:kern w:val="0"/>
                <w:lang w:eastAsia="ro-MD"/>
                <w14:ligatures w14:val="none"/>
              </w:rPr>
              <w:t> </w:t>
            </w:r>
          </w:p>
        </w:tc>
      </w:tr>
      <w:tr w:rsidR="00260C32" w:rsidRPr="001F20AF" w14:paraId="285514A6" w14:textId="77777777" w:rsidTr="00260C32">
        <w:trPr>
          <w:tblCellSpacing w:w="0" w:type="dxa"/>
        </w:trPr>
        <w:tc>
          <w:tcPr>
            <w:tcW w:w="0" w:type="auto"/>
            <w:hideMark/>
          </w:tcPr>
          <w:p w14:paraId="2B3F8811"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0200</w:t>
            </w:r>
          </w:p>
        </w:tc>
        <w:tc>
          <w:tcPr>
            <w:tcW w:w="0" w:type="auto"/>
            <w:hideMark/>
          </w:tcPr>
          <w:p w14:paraId="3F53B776"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15*</w:t>
            </w:r>
          </w:p>
        </w:tc>
        <w:tc>
          <w:tcPr>
            <w:tcW w:w="0" w:type="auto"/>
            <w:hideMark/>
          </w:tcPr>
          <w:p w14:paraId="09B2080E"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OCR și P2G: vor consta în fonduri proprii de nivel 1 de bază</w:t>
            </w:r>
          </w:p>
        </w:tc>
        <w:tc>
          <w:tcPr>
            <w:tcW w:w="0" w:type="auto"/>
            <w:hideMark/>
          </w:tcPr>
          <w:p w14:paraId="0DEBC0EE"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BB0D21">
              <w:rPr>
                <w:rFonts w:ascii="Times New Roman" w:eastAsia="Times New Roman" w:hAnsi="Times New Roman" w:cs="Times New Roman"/>
                <w:color w:val="000000"/>
                <w:kern w:val="0"/>
                <w:lang w:eastAsia="ro-MD"/>
                <w14:ligatures w14:val="none"/>
              </w:rPr>
              <w:t> </w:t>
            </w:r>
          </w:p>
        </w:tc>
      </w:tr>
      <w:tr w:rsidR="00260C32" w:rsidRPr="001F20AF" w14:paraId="6DBC83DE" w14:textId="77777777" w:rsidTr="00260C32">
        <w:trPr>
          <w:tblCellSpacing w:w="0" w:type="dxa"/>
        </w:trPr>
        <w:tc>
          <w:tcPr>
            <w:tcW w:w="0" w:type="auto"/>
            <w:hideMark/>
          </w:tcPr>
          <w:p w14:paraId="6305E1E5"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0210</w:t>
            </w:r>
          </w:p>
        </w:tc>
        <w:tc>
          <w:tcPr>
            <w:tcW w:w="0" w:type="auto"/>
            <w:hideMark/>
          </w:tcPr>
          <w:p w14:paraId="73B7F3DE"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15**</w:t>
            </w:r>
          </w:p>
        </w:tc>
        <w:tc>
          <w:tcPr>
            <w:tcW w:w="0" w:type="auto"/>
            <w:hideMark/>
          </w:tcPr>
          <w:p w14:paraId="73137824"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OCR și P2G: vor consta în fonduri proprii de nivel 1</w:t>
            </w:r>
          </w:p>
        </w:tc>
        <w:tc>
          <w:tcPr>
            <w:tcW w:w="0" w:type="auto"/>
            <w:hideMark/>
          </w:tcPr>
          <w:p w14:paraId="4CF4FDE1"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BB0D21">
              <w:rPr>
                <w:rFonts w:ascii="Times New Roman" w:eastAsia="Times New Roman" w:hAnsi="Times New Roman" w:cs="Times New Roman"/>
                <w:color w:val="000000"/>
                <w:kern w:val="0"/>
                <w:lang w:eastAsia="ro-MD"/>
                <w14:ligatures w14:val="none"/>
              </w:rPr>
              <w:t> </w:t>
            </w:r>
          </w:p>
        </w:tc>
      </w:tr>
      <w:tr w:rsidR="00260C32" w:rsidRPr="00260C32" w14:paraId="49DD92B7" w14:textId="77777777" w:rsidTr="00260C32">
        <w:trPr>
          <w:tblCellSpacing w:w="0" w:type="dxa"/>
        </w:trPr>
        <w:tc>
          <w:tcPr>
            <w:tcW w:w="0" w:type="auto"/>
            <w:hideMark/>
          </w:tcPr>
          <w:p w14:paraId="741BC166"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0220</w:t>
            </w:r>
          </w:p>
        </w:tc>
        <w:tc>
          <w:tcPr>
            <w:tcW w:w="0" w:type="auto"/>
            <w:hideMark/>
          </w:tcPr>
          <w:p w14:paraId="67D759AB" w14:textId="77777777" w:rsidR="00260C32" w:rsidRPr="001F20AF"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16</w:t>
            </w:r>
          </w:p>
        </w:tc>
        <w:tc>
          <w:tcPr>
            <w:tcW w:w="0" w:type="auto"/>
            <w:hideMark/>
          </w:tcPr>
          <w:p w14:paraId="4B97D973" w14:textId="6904C17C" w:rsidR="00260C32" w:rsidRPr="001F20AF" w:rsidRDefault="00260C32" w:rsidP="001F20AF">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1F20AF">
              <w:rPr>
                <w:rFonts w:ascii="Times New Roman" w:eastAsia="Times New Roman" w:hAnsi="Times New Roman" w:cs="Times New Roman"/>
                <w:color w:val="000000"/>
                <w:kern w:val="0"/>
                <w:lang w:eastAsia="ro-MD"/>
                <w14:ligatures w14:val="none"/>
              </w:rPr>
              <w:t xml:space="preserve">Excedentul(+)/Deficitul(-) fondurilor proprii de nivel 1 de bază având în vedere cerințele </w:t>
            </w:r>
            <w:r w:rsidR="001F20AF" w:rsidRPr="005802BF">
              <w:rPr>
                <w:rFonts w:ascii="Times New Roman" w:eastAsia="Times New Roman" w:hAnsi="Times New Roman" w:cs="Times New Roman"/>
                <w:color w:val="000000"/>
                <w:kern w:val="0"/>
                <w:lang w:eastAsia="ro-MD"/>
                <w14:ligatures w14:val="none"/>
              </w:rPr>
              <w:t>punct</w:t>
            </w:r>
            <w:r w:rsidR="001F20AF">
              <w:rPr>
                <w:rFonts w:ascii="Times New Roman" w:eastAsia="Times New Roman" w:hAnsi="Times New Roman" w:cs="Times New Roman"/>
                <w:color w:val="000000"/>
                <w:kern w:val="0"/>
                <w:lang w:eastAsia="ro-MD"/>
                <w14:ligatures w14:val="none"/>
              </w:rPr>
              <w:t>elor</w:t>
            </w:r>
            <w:r w:rsidR="001F20AF" w:rsidRPr="005802BF">
              <w:rPr>
                <w:rFonts w:ascii="Times New Roman" w:eastAsia="Times New Roman" w:hAnsi="Times New Roman" w:cs="Times New Roman"/>
                <w:color w:val="000000"/>
                <w:kern w:val="0"/>
                <w:lang w:eastAsia="ro-MD"/>
                <w14:ligatures w14:val="none"/>
              </w:rPr>
              <w:t xml:space="preserve"> 130</w:t>
            </w:r>
            <w:r w:rsidR="001F20AF">
              <w:rPr>
                <w:rFonts w:ascii="Times New Roman" w:eastAsia="Times New Roman" w:hAnsi="Times New Roman" w:cs="Times New Roman"/>
                <w:color w:val="000000"/>
                <w:kern w:val="0"/>
                <w:lang w:eastAsia="ro-MD"/>
                <w14:ligatures w14:val="none"/>
              </w:rPr>
              <w:t>-133</w:t>
            </w:r>
            <w:r w:rsidR="001F20AF" w:rsidRPr="005802BF">
              <w:rPr>
                <w:rFonts w:ascii="Times New Roman" w:eastAsia="Times New Roman" w:hAnsi="Times New Roman" w:cs="Times New Roman"/>
                <w:color w:val="000000"/>
                <w:kern w:val="0"/>
                <w:lang w:eastAsia="ro-MD"/>
                <w14:ligatures w14:val="none"/>
              </w:rPr>
              <w:t xml:space="preserve"> din </w:t>
            </w:r>
            <w:r w:rsidR="001F20AF">
              <w:rPr>
                <w:rFonts w:ascii="Times New Roman" w:eastAsia="Times New Roman" w:hAnsi="Times New Roman" w:cs="Times New Roman"/>
                <w:color w:val="000000"/>
                <w:kern w:val="0"/>
                <w:lang w:eastAsia="ro-MD"/>
                <w14:ligatures w14:val="none"/>
              </w:rPr>
              <w:t xml:space="preserve">Regulamentul nr.109/2018 </w:t>
            </w:r>
            <w:r w:rsidR="001F20AF" w:rsidRPr="00260C32">
              <w:rPr>
                <w:rFonts w:ascii="Times New Roman" w:eastAsia="Times New Roman" w:hAnsi="Times New Roman" w:cs="Times New Roman"/>
                <w:color w:val="000000"/>
                <w:kern w:val="0"/>
                <w:lang w:eastAsia="ro-MD"/>
                <w14:ligatures w14:val="none"/>
              </w:rPr>
              <w:t>și ale articolului 1</w:t>
            </w:r>
            <w:r w:rsidR="001F20AF">
              <w:rPr>
                <w:rFonts w:ascii="Times New Roman" w:eastAsia="Times New Roman" w:hAnsi="Times New Roman" w:cs="Times New Roman"/>
                <w:color w:val="000000"/>
                <w:kern w:val="0"/>
                <w:lang w:eastAsia="ro-MD"/>
                <w14:ligatures w14:val="none"/>
              </w:rPr>
              <w:t>39</w:t>
            </w:r>
            <w:r w:rsidR="001F20AF" w:rsidRPr="00624370">
              <w:rPr>
                <w:rFonts w:ascii="Times New Roman" w:eastAsia="Times New Roman" w:hAnsi="Times New Roman" w:cs="Times New Roman"/>
                <w:color w:val="000000"/>
                <w:kern w:val="0"/>
                <w:vertAlign w:val="superscript"/>
                <w:lang w:eastAsia="ro-MD"/>
                <w14:ligatures w14:val="none"/>
              </w:rPr>
              <w:t>1</w:t>
            </w:r>
            <w:r w:rsidR="001F20AF" w:rsidRPr="00260C32">
              <w:rPr>
                <w:rFonts w:ascii="Times New Roman" w:eastAsia="Times New Roman" w:hAnsi="Times New Roman" w:cs="Times New Roman"/>
                <w:color w:val="000000"/>
                <w:kern w:val="0"/>
                <w:lang w:eastAsia="ro-MD"/>
                <w14:ligatures w14:val="none"/>
              </w:rPr>
              <w:t xml:space="preserve"> din </w:t>
            </w:r>
            <w:r w:rsidR="001F20AF">
              <w:rPr>
                <w:rFonts w:ascii="Times New Roman" w:eastAsia="Times New Roman" w:hAnsi="Times New Roman" w:cs="Times New Roman"/>
                <w:color w:val="000000"/>
                <w:kern w:val="0"/>
                <w:lang w:eastAsia="ro-MD"/>
                <w14:ligatures w14:val="none"/>
              </w:rPr>
              <w:t>Legea nr. 202/2017</w:t>
            </w:r>
          </w:p>
        </w:tc>
        <w:tc>
          <w:tcPr>
            <w:tcW w:w="0" w:type="auto"/>
            <w:hideMark/>
          </w:tcPr>
          <w:p w14:paraId="1B7DF2F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w:t>
            </w:r>
          </w:p>
        </w:tc>
      </w:tr>
      <w:tr w:rsidR="00913EAD" w:rsidRPr="002C0328" w14:paraId="2C7AB840" w14:textId="77777777" w:rsidTr="00475C69">
        <w:trPr>
          <w:tblCellSpacing w:w="0" w:type="dxa"/>
        </w:trPr>
        <w:tc>
          <w:tcPr>
            <w:tcW w:w="0" w:type="auto"/>
            <w:gridSpan w:val="4"/>
            <w:shd w:val="clear" w:color="auto" w:fill="E7E6E6" w:themeFill="background2"/>
            <w:hideMark/>
          </w:tcPr>
          <w:p w14:paraId="22F1ACB1" w14:textId="637442AE" w:rsidR="00913EAD" w:rsidRPr="002C0328" w:rsidRDefault="00913EAD" w:rsidP="00913EA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Elemente memorandum: Ratele fondurilor proprii fără aplicarea dispozițiilor tranzitorii pentru pragul minim privind cerințele de capital</w:t>
            </w:r>
          </w:p>
        </w:tc>
      </w:tr>
      <w:tr w:rsidR="00913EAD" w:rsidRPr="002C0328" w14:paraId="6E71D5ED" w14:textId="77777777" w:rsidTr="002C0328">
        <w:trPr>
          <w:tblCellSpacing w:w="0" w:type="dxa"/>
        </w:trPr>
        <w:tc>
          <w:tcPr>
            <w:tcW w:w="0" w:type="auto"/>
            <w:hideMark/>
          </w:tcPr>
          <w:p w14:paraId="7AFB40B2" w14:textId="69822276" w:rsidR="00913EAD" w:rsidRPr="002C0328" w:rsidRDefault="00913EAD" w:rsidP="00D442AC">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0330</w:t>
            </w:r>
          </w:p>
        </w:tc>
        <w:tc>
          <w:tcPr>
            <w:tcW w:w="0" w:type="auto"/>
            <w:hideMark/>
          </w:tcPr>
          <w:p w14:paraId="13EDD784" w14:textId="77777777" w:rsidR="00913EAD" w:rsidRPr="002C0328" w:rsidRDefault="00913EAD" w:rsidP="00D442AC">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20</w:t>
            </w:r>
          </w:p>
        </w:tc>
        <w:tc>
          <w:tcPr>
            <w:tcW w:w="0" w:type="auto"/>
            <w:hideMark/>
          </w:tcPr>
          <w:p w14:paraId="26719754" w14:textId="46D62B17" w:rsidR="00913EAD" w:rsidRPr="002C0328" w:rsidRDefault="00913EAD" w:rsidP="00D442AC">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Rata fondurilor proprii de nivel 1 de bază „</w:t>
            </w:r>
            <w:proofErr w:type="spellStart"/>
            <w:r w:rsidRPr="002C0328">
              <w:rPr>
                <w:rFonts w:ascii="Times New Roman" w:eastAsia="Times New Roman" w:hAnsi="Times New Roman" w:cs="Times New Roman"/>
                <w:color w:val="000000"/>
                <w:kern w:val="0"/>
                <w:lang w:eastAsia="ro-MD"/>
                <w14:ligatures w14:val="none"/>
              </w:rPr>
              <w:t>fully</w:t>
            </w:r>
            <w:proofErr w:type="spellEnd"/>
            <w:r w:rsidRPr="002C0328">
              <w:rPr>
                <w:rFonts w:ascii="Times New Roman" w:eastAsia="Times New Roman" w:hAnsi="Times New Roman" w:cs="Times New Roman"/>
                <w:color w:val="000000"/>
                <w:kern w:val="0"/>
                <w:lang w:eastAsia="ro-MD"/>
                <w14:ligatures w14:val="none"/>
              </w:rPr>
              <w:t xml:space="preserve"> </w:t>
            </w:r>
            <w:proofErr w:type="spellStart"/>
            <w:r w:rsidRPr="002C0328">
              <w:rPr>
                <w:rFonts w:ascii="Times New Roman" w:eastAsia="Times New Roman" w:hAnsi="Times New Roman" w:cs="Times New Roman"/>
                <w:color w:val="000000"/>
                <w:kern w:val="0"/>
                <w:lang w:eastAsia="ro-MD"/>
                <w14:ligatures w14:val="none"/>
              </w:rPr>
              <w:t>loaded</w:t>
            </w:r>
            <w:proofErr w:type="spellEnd"/>
            <w:r w:rsidRPr="002C0328">
              <w:rPr>
                <w:rFonts w:ascii="Times New Roman" w:eastAsia="Times New Roman" w:hAnsi="Times New Roman" w:cs="Times New Roman"/>
                <w:color w:val="000000"/>
                <w:kern w:val="0"/>
                <w:lang w:eastAsia="ro-MD"/>
                <w14:ligatures w14:val="none"/>
              </w:rPr>
              <w:t>”</w:t>
            </w:r>
          </w:p>
        </w:tc>
        <w:tc>
          <w:tcPr>
            <w:tcW w:w="0" w:type="auto"/>
          </w:tcPr>
          <w:p w14:paraId="6EC74A14" w14:textId="2F7EB9B6" w:rsidR="00913EAD" w:rsidRPr="002C0328" w:rsidRDefault="00913EAD" w:rsidP="001F20AF">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913EAD" w:rsidRPr="002C0328" w14:paraId="7256B913" w14:textId="77777777" w:rsidTr="002C0328">
        <w:trPr>
          <w:tblCellSpacing w:w="0" w:type="dxa"/>
        </w:trPr>
        <w:tc>
          <w:tcPr>
            <w:tcW w:w="0" w:type="auto"/>
            <w:hideMark/>
          </w:tcPr>
          <w:p w14:paraId="2028DE42" w14:textId="191BEF91" w:rsidR="00913EAD" w:rsidRPr="002C0328" w:rsidRDefault="00913EAD" w:rsidP="00D442AC">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0340</w:t>
            </w:r>
          </w:p>
        </w:tc>
        <w:tc>
          <w:tcPr>
            <w:tcW w:w="0" w:type="auto"/>
            <w:hideMark/>
          </w:tcPr>
          <w:p w14:paraId="5AE358E0" w14:textId="77777777" w:rsidR="00913EAD" w:rsidRPr="002C0328" w:rsidRDefault="00913EAD" w:rsidP="00D442AC">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21</w:t>
            </w:r>
          </w:p>
        </w:tc>
        <w:tc>
          <w:tcPr>
            <w:tcW w:w="0" w:type="auto"/>
            <w:hideMark/>
          </w:tcPr>
          <w:p w14:paraId="5ED56D7A" w14:textId="587F1769" w:rsidR="00913EAD" w:rsidRPr="002C0328" w:rsidRDefault="00913EAD" w:rsidP="00D442AC">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Rata fondurilor proprii de nivel 1 „</w:t>
            </w:r>
            <w:proofErr w:type="spellStart"/>
            <w:r w:rsidRPr="002C0328">
              <w:rPr>
                <w:rFonts w:ascii="Times New Roman" w:eastAsia="Times New Roman" w:hAnsi="Times New Roman" w:cs="Times New Roman"/>
                <w:color w:val="000000"/>
                <w:kern w:val="0"/>
                <w:lang w:eastAsia="ro-MD"/>
                <w14:ligatures w14:val="none"/>
              </w:rPr>
              <w:t>fully</w:t>
            </w:r>
            <w:proofErr w:type="spellEnd"/>
            <w:r w:rsidRPr="002C0328">
              <w:rPr>
                <w:rFonts w:ascii="Times New Roman" w:eastAsia="Times New Roman" w:hAnsi="Times New Roman" w:cs="Times New Roman"/>
                <w:color w:val="000000"/>
                <w:kern w:val="0"/>
                <w:lang w:eastAsia="ro-MD"/>
                <w14:ligatures w14:val="none"/>
              </w:rPr>
              <w:t xml:space="preserve"> </w:t>
            </w:r>
            <w:proofErr w:type="spellStart"/>
            <w:r w:rsidRPr="002C0328">
              <w:rPr>
                <w:rFonts w:ascii="Times New Roman" w:eastAsia="Times New Roman" w:hAnsi="Times New Roman" w:cs="Times New Roman"/>
                <w:color w:val="000000"/>
                <w:kern w:val="0"/>
                <w:lang w:eastAsia="ro-MD"/>
                <w14:ligatures w14:val="none"/>
              </w:rPr>
              <w:t>loaded</w:t>
            </w:r>
            <w:proofErr w:type="spellEnd"/>
            <w:r w:rsidRPr="002C0328">
              <w:rPr>
                <w:rFonts w:ascii="Times New Roman" w:eastAsia="Times New Roman" w:hAnsi="Times New Roman" w:cs="Times New Roman"/>
                <w:color w:val="000000"/>
                <w:kern w:val="0"/>
                <w:lang w:eastAsia="ro-MD"/>
                <w14:ligatures w14:val="none"/>
              </w:rPr>
              <w:t>”</w:t>
            </w:r>
          </w:p>
        </w:tc>
        <w:tc>
          <w:tcPr>
            <w:tcW w:w="0" w:type="auto"/>
          </w:tcPr>
          <w:p w14:paraId="3CD5D4EF" w14:textId="2BA756AE" w:rsidR="00913EAD" w:rsidRPr="002C0328" w:rsidRDefault="00913EAD" w:rsidP="001F20AF">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913EAD" w:rsidRPr="002C0328" w14:paraId="143F2497" w14:textId="77777777" w:rsidTr="002C0328">
        <w:trPr>
          <w:tblCellSpacing w:w="0" w:type="dxa"/>
        </w:trPr>
        <w:tc>
          <w:tcPr>
            <w:tcW w:w="0" w:type="auto"/>
            <w:hideMark/>
          </w:tcPr>
          <w:p w14:paraId="04070F75" w14:textId="3E4F588B" w:rsidR="00913EAD" w:rsidRPr="002C0328" w:rsidRDefault="00913EAD" w:rsidP="00D442AC">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0350</w:t>
            </w:r>
          </w:p>
        </w:tc>
        <w:tc>
          <w:tcPr>
            <w:tcW w:w="0" w:type="auto"/>
            <w:hideMark/>
          </w:tcPr>
          <w:p w14:paraId="1DE8B13B" w14:textId="77777777" w:rsidR="00913EAD" w:rsidRPr="002C0328" w:rsidRDefault="00913EAD" w:rsidP="00D442AC">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22</w:t>
            </w:r>
          </w:p>
        </w:tc>
        <w:tc>
          <w:tcPr>
            <w:tcW w:w="0" w:type="auto"/>
            <w:hideMark/>
          </w:tcPr>
          <w:p w14:paraId="02E3E0FB" w14:textId="51165F1F" w:rsidR="00913EAD" w:rsidRPr="002C0328" w:rsidRDefault="00913EAD" w:rsidP="00D442AC">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Rata fondurilor proprii totale „</w:t>
            </w:r>
            <w:proofErr w:type="spellStart"/>
            <w:r w:rsidRPr="002C0328">
              <w:rPr>
                <w:rFonts w:ascii="Times New Roman" w:eastAsia="Times New Roman" w:hAnsi="Times New Roman" w:cs="Times New Roman"/>
                <w:color w:val="000000"/>
                <w:kern w:val="0"/>
                <w:lang w:eastAsia="ro-MD"/>
                <w14:ligatures w14:val="none"/>
              </w:rPr>
              <w:t>fully</w:t>
            </w:r>
            <w:proofErr w:type="spellEnd"/>
            <w:r w:rsidRPr="002C0328">
              <w:rPr>
                <w:rFonts w:ascii="Times New Roman" w:eastAsia="Times New Roman" w:hAnsi="Times New Roman" w:cs="Times New Roman"/>
                <w:color w:val="000000"/>
                <w:kern w:val="0"/>
                <w:lang w:eastAsia="ro-MD"/>
                <w14:ligatures w14:val="none"/>
              </w:rPr>
              <w:t xml:space="preserve"> </w:t>
            </w:r>
            <w:proofErr w:type="spellStart"/>
            <w:r w:rsidRPr="002C0328">
              <w:rPr>
                <w:rFonts w:ascii="Times New Roman" w:eastAsia="Times New Roman" w:hAnsi="Times New Roman" w:cs="Times New Roman"/>
                <w:color w:val="000000"/>
                <w:kern w:val="0"/>
                <w:lang w:eastAsia="ro-MD"/>
                <w14:ligatures w14:val="none"/>
              </w:rPr>
              <w:t>loaded</w:t>
            </w:r>
            <w:proofErr w:type="spellEnd"/>
            <w:r w:rsidRPr="002C0328">
              <w:rPr>
                <w:rFonts w:ascii="Times New Roman" w:eastAsia="Times New Roman" w:hAnsi="Times New Roman" w:cs="Times New Roman"/>
                <w:color w:val="000000"/>
                <w:kern w:val="0"/>
                <w:lang w:eastAsia="ro-MD"/>
                <w14:ligatures w14:val="none"/>
              </w:rPr>
              <w:t>”</w:t>
            </w:r>
          </w:p>
        </w:tc>
        <w:tc>
          <w:tcPr>
            <w:tcW w:w="0" w:type="auto"/>
          </w:tcPr>
          <w:p w14:paraId="7B3AA7AA" w14:textId="4DB529B3" w:rsidR="00913EAD" w:rsidRPr="002C0328" w:rsidRDefault="00913EAD" w:rsidP="001F20AF">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913EAD" w:rsidRPr="002C0328" w14:paraId="44FFC33C" w14:textId="77777777" w:rsidTr="00260C32">
        <w:trPr>
          <w:tblCellSpacing w:w="0" w:type="dxa"/>
        </w:trPr>
        <w:tc>
          <w:tcPr>
            <w:tcW w:w="0" w:type="auto"/>
          </w:tcPr>
          <w:p w14:paraId="24AD8C65" w14:textId="1A8E7A9E" w:rsidR="00913EAD" w:rsidRPr="002C0328" w:rsidRDefault="00913EAD"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0360</w:t>
            </w:r>
          </w:p>
        </w:tc>
        <w:tc>
          <w:tcPr>
            <w:tcW w:w="0" w:type="auto"/>
          </w:tcPr>
          <w:p w14:paraId="30EFC5A6" w14:textId="71666113" w:rsidR="00913EAD" w:rsidRPr="002C0328" w:rsidRDefault="00913EAD"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23</w:t>
            </w:r>
          </w:p>
        </w:tc>
        <w:tc>
          <w:tcPr>
            <w:tcW w:w="0" w:type="auto"/>
          </w:tcPr>
          <w:p w14:paraId="797E4BAA" w14:textId="10356C17" w:rsidR="00913EAD" w:rsidRPr="002C0328" w:rsidRDefault="00ED2D1A" w:rsidP="00ED2D1A">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 xml:space="preserve">Rata fondurilor proprii de nivel 1 de bază fără aplicarea dispozițiilor tranzitorii pentru pragul minim privind cerințele de capital S-TREA </w:t>
            </w:r>
          </w:p>
        </w:tc>
        <w:tc>
          <w:tcPr>
            <w:tcW w:w="0" w:type="auto"/>
          </w:tcPr>
          <w:p w14:paraId="7D29BB34" w14:textId="3A0DA5B9" w:rsidR="00913EAD" w:rsidRPr="002C0328" w:rsidRDefault="00913EAD" w:rsidP="001F20AF">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ED2D1A" w:rsidRPr="002C0328" w14:paraId="28DBBE9D" w14:textId="77777777" w:rsidTr="00260C32">
        <w:trPr>
          <w:tblCellSpacing w:w="0" w:type="dxa"/>
        </w:trPr>
        <w:tc>
          <w:tcPr>
            <w:tcW w:w="0" w:type="auto"/>
          </w:tcPr>
          <w:p w14:paraId="71E066FF" w14:textId="535373A3" w:rsidR="00ED2D1A" w:rsidRPr="002C0328" w:rsidRDefault="00ED2D1A"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0370</w:t>
            </w:r>
          </w:p>
        </w:tc>
        <w:tc>
          <w:tcPr>
            <w:tcW w:w="0" w:type="auto"/>
          </w:tcPr>
          <w:p w14:paraId="48DC4823" w14:textId="6013124E" w:rsidR="00ED2D1A" w:rsidRPr="002C0328" w:rsidRDefault="00ED2D1A"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24</w:t>
            </w:r>
          </w:p>
        </w:tc>
        <w:tc>
          <w:tcPr>
            <w:tcW w:w="0" w:type="auto"/>
          </w:tcPr>
          <w:p w14:paraId="45C83829" w14:textId="48FC675A" w:rsidR="00ED2D1A" w:rsidRPr="002C0328" w:rsidRDefault="00ED2D1A" w:rsidP="00ED2D1A">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 xml:space="preserve">Rata fondurilor proprii de nivel 1 fără aplicarea dispozițiilor tranzitorii pentru pragul minim privind cerințele de capital S-TREA </w:t>
            </w:r>
          </w:p>
        </w:tc>
        <w:tc>
          <w:tcPr>
            <w:tcW w:w="0" w:type="auto"/>
          </w:tcPr>
          <w:p w14:paraId="2D1F67BE" w14:textId="389B810D" w:rsidR="00ED2D1A" w:rsidRPr="002C0328" w:rsidRDefault="00ED2D1A" w:rsidP="001F20AF">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ED2D1A" w:rsidRPr="00913EAD" w14:paraId="20B8701E" w14:textId="77777777" w:rsidTr="00260C32">
        <w:trPr>
          <w:tblCellSpacing w:w="0" w:type="dxa"/>
        </w:trPr>
        <w:tc>
          <w:tcPr>
            <w:tcW w:w="0" w:type="auto"/>
          </w:tcPr>
          <w:p w14:paraId="626B831C" w14:textId="6D23BE00" w:rsidR="00ED2D1A" w:rsidRPr="002C0328" w:rsidRDefault="00ED2D1A"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0380</w:t>
            </w:r>
          </w:p>
        </w:tc>
        <w:tc>
          <w:tcPr>
            <w:tcW w:w="0" w:type="auto"/>
          </w:tcPr>
          <w:p w14:paraId="5191BFA2" w14:textId="0B3AF750" w:rsidR="00ED2D1A" w:rsidRPr="002C0328" w:rsidRDefault="00ED2D1A"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25</w:t>
            </w:r>
          </w:p>
        </w:tc>
        <w:tc>
          <w:tcPr>
            <w:tcW w:w="0" w:type="auto"/>
          </w:tcPr>
          <w:p w14:paraId="5F718A5C" w14:textId="48FF149D" w:rsidR="00ED2D1A" w:rsidRPr="002C0328" w:rsidRDefault="00ED2D1A" w:rsidP="00ED2D1A">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 xml:space="preserve">Rata fondurilor proprii totale fără aplicarea dispozițiilor tranzitorii pentru pragul minim privind cerințele de capital S-TREA </w:t>
            </w:r>
          </w:p>
        </w:tc>
        <w:tc>
          <w:tcPr>
            <w:tcW w:w="0" w:type="auto"/>
          </w:tcPr>
          <w:p w14:paraId="21D5C377" w14:textId="40B29734" w:rsidR="00ED2D1A" w:rsidRPr="00913EAD" w:rsidRDefault="00ED2D1A" w:rsidP="001F20AF">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bl>
    <w:p w14:paraId="5AC9A29E" w14:textId="77777777" w:rsidR="00782F41" w:rsidRDefault="00782F41" w:rsidP="00782F41">
      <w:pPr>
        <w:spacing w:after="0" w:line="240" w:lineRule="auto"/>
        <w:jc w:val="center"/>
        <w:rPr>
          <w:rFonts w:ascii="Times New Roman" w:eastAsia="Times New Roman" w:hAnsi="Times New Roman" w:cs="Times New Roman"/>
          <w:b/>
          <w:bCs/>
          <w:color w:val="000000"/>
          <w:kern w:val="0"/>
          <w:lang w:eastAsia="ro-MD"/>
          <w14:ligatures w14:val="none"/>
        </w:rPr>
      </w:pPr>
    </w:p>
    <w:p w14:paraId="6A215B4D" w14:textId="77777777" w:rsidR="002B024E" w:rsidRDefault="002B024E" w:rsidP="002B024E">
      <w:pPr>
        <w:jc w:val="center"/>
        <w:rPr>
          <w:rFonts w:ascii="Times New Roman" w:hAnsi="Times New Roman" w:cs="Times New Roman"/>
          <w:b/>
          <w:bCs/>
          <w:lang w:eastAsia="ro-MD"/>
        </w:rPr>
      </w:pPr>
    </w:p>
    <w:p w14:paraId="7E5EB45A" w14:textId="3498EF4E" w:rsidR="00782F41" w:rsidRPr="002B024E" w:rsidRDefault="00782F41" w:rsidP="002B024E">
      <w:pPr>
        <w:jc w:val="center"/>
        <w:rPr>
          <w:rFonts w:ascii="Times New Roman" w:hAnsi="Times New Roman" w:cs="Times New Roman"/>
          <w:b/>
          <w:bCs/>
          <w:lang w:eastAsia="ro-MD"/>
        </w:rPr>
      </w:pPr>
      <w:r w:rsidRPr="002B024E">
        <w:rPr>
          <w:rFonts w:ascii="Times New Roman" w:hAnsi="Times New Roman" w:cs="Times New Roman"/>
          <w:b/>
          <w:bCs/>
          <w:lang w:eastAsia="ro-MD"/>
        </w:rPr>
        <w:t>Modul de completare a raportului</w:t>
      </w:r>
    </w:p>
    <w:p w14:paraId="66811A10" w14:textId="36DE047B" w:rsidR="00782F41" w:rsidRPr="002B024E" w:rsidRDefault="00782F41" w:rsidP="002B024E">
      <w:pPr>
        <w:jc w:val="center"/>
        <w:rPr>
          <w:rFonts w:ascii="Times New Roman" w:hAnsi="Times New Roman" w:cs="Times New Roman"/>
          <w:b/>
          <w:bCs/>
          <w:lang w:eastAsia="ro-MD"/>
        </w:rPr>
      </w:pPr>
      <w:r w:rsidRPr="002B024E">
        <w:rPr>
          <w:rFonts w:ascii="Times New Roman" w:hAnsi="Times New Roman" w:cs="Times New Roman"/>
          <w:b/>
          <w:bCs/>
          <w:lang w:eastAsia="ro-MD"/>
        </w:rPr>
        <w:t>C 03.00 – RATELE CAPITALULUI ȘI NIVELURILE DE CAPITAL (CA3)</w:t>
      </w:r>
    </w:p>
    <w:p w14:paraId="01D1D76B" w14:textId="77777777" w:rsidR="00782F41" w:rsidRPr="00260C32" w:rsidRDefault="00782F41" w:rsidP="00782F41">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Instrucțiuni privind anumite poziții</w:t>
      </w:r>
    </w:p>
    <w:tbl>
      <w:tblPr>
        <w:tblW w:w="5007"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7739"/>
        <w:gridCol w:w="1011"/>
        <w:gridCol w:w="8"/>
      </w:tblGrid>
      <w:tr w:rsidR="004174B2" w:rsidRPr="00260C32" w14:paraId="7CDACCE3" w14:textId="3D93811E" w:rsidTr="007A7826">
        <w:trPr>
          <w:tblCellSpacing w:w="0" w:type="dxa"/>
        </w:trPr>
        <w:tc>
          <w:tcPr>
            <w:tcW w:w="390" w:type="pct"/>
            <w:shd w:val="clear" w:color="auto" w:fill="E7E6E6" w:themeFill="background2"/>
            <w:hideMark/>
          </w:tcPr>
          <w:p w14:paraId="6A41E428" w14:textId="77777777" w:rsidR="004174B2" w:rsidRPr="00260C32" w:rsidRDefault="004174B2" w:rsidP="00D442AC">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Rânduri</w:t>
            </w:r>
          </w:p>
        </w:tc>
        <w:tc>
          <w:tcPr>
            <w:tcW w:w="4610" w:type="pct"/>
            <w:gridSpan w:val="3"/>
            <w:shd w:val="clear" w:color="auto" w:fill="E7E6E6" w:themeFill="background2"/>
          </w:tcPr>
          <w:p w14:paraId="5ECD3104" w14:textId="312384F3" w:rsidR="004174B2" w:rsidRPr="00260C32" w:rsidRDefault="007A7826" w:rsidP="00D442AC">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3F20AD">
              <w:rPr>
                <w:rFonts w:ascii="Times New Roman" w:eastAsia="Times New Roman" w:hAnsi="Times New Roman" w:cs="Times New Roman"/>
                <w:color w:val="000000"/>
                <w:kern w:val="0"/>
                <w:lang w:eastAsia="ro-MD"/>
                <w14:ligatures w14:val="none"/>
              </w:rPr>
              <w:t>Referințe juridice și instrucțiuni</w:t>
            </w:r>
          </w:p>
        </w:tc>
      </w:tr>
      <w:tr w:rsidR="004174B2" w:rsidRPr="00260C32" w14:paraId="73C7BADF" w14:textId="00DE4D7C" w:rsidTr="004174B2">
        <w:trPr>
          <w:gridAfter w:val="1"/>
          <w:wAfter w:w="4" w:type="pct"/>
          <w:tblCellSpacing w:w="0" w:type="dxa"/>
        </w:trPr>
        <w:tc>
          <w:tcPr>
            <w:tcW w:w="0" w:type="auto"/>
            <w:hideMark/>
          </w:tcPr>
          <w:p w14:paraId="70F3290E"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0010</w:t>
            </w:r>
          </w:p>
        </w:tc>
        <w:tc>
          <w:tcPr>
            <w:tcW w:w="4074" w:type="pct"/>
            <w:hideMark/>
          </w:tcPr>
          <w:p w14:paraId="3B7B0362" w14:textId="62C7BE7C" w:rsidR="004174B2" w:rsidRPr="006F30A7" w:rsidRDefault="004174B2"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w:t>
            </w:r>
            <w:r w:rsidR="00EB2912" w:rsidRPr="006F30A7">
              <w:rPr>
                <w:rFonts w:ascii="Times New Roman" w:eastAsia="Times New Roman" w:hAnsi="Times New Roman" w:cs="Times New Roman"/>
                <w:b/>
                <w:bCs/>
                <w:color w:val="000000"/>
                <w:kern w:val="0"/>
                <w:lang w:eastAsia="ro-MD"/>
                <w14:ligatures w14:val="none"/>
              </w:rPr>
              <w:t>.</w:t>
            </w:r>
            <w:r w:rsidRPr="006F30A7">
              <w:rPr>
                <w:rFonts w:ascii="Times New Roman" w:eastAsia="Times New Roman" w:hAnsi="Times New Roman" w:cs="Times New Roman"/>
                <w:b/>
                <w:bCs/>
                <w:color w:val="000000"/>
                <w:kern w:val="0"/>
                <w:lang w:eastAsia="ro-MD"/>
                <w14:ligatures w14:val="none"/>
              </w:rPr>
              <w:t> Rata fondurilor proprii de nivel 1 de bază</w:t>
            </w:r>
          </w:p>
          <w:p w14:paraId="691486DD" w14:textId="77777777" w:rsidR="002B024E" w:rsidRDefault="004174B2" w:rsidP="006F30A7">
            <w:pPr>
              <w:spacing w:after="0" w:line="240" w:lineRule="auto"/>
              <w:rPr>
                <w:rFonts w:ascii="Arial" w:eastAsia="Times New Roman" w:hAnsi="Arial" w:cs="Arial"/>
                <w:kern w:val="0"/>
                <w:sz w:val="24"/>
                <w:szCs w:val="24"/>
                <w:lang w:eastAsia="ro-MD"/>
                <w14:ligatures w14:val="none"/>
              </w:rPr>
            </w:pPr>
            <w:r w:rsidRPr="005802BF">
              <w:rPr>
                <w:rFonts w:ascii="Times New Roman" w:eastAsia="Times New Roman" w:hAnsi="Times New Roman" w:cs="Times New Roman"/>
                <w:color w:val="000000"/>
                <w:kern w:val="0"/>
                <w:lang w:eastAsia="ro-MD"/>
                <w14:ligatures w14:val="none"/>
              </w:rPr>
              <w:t xml:space="preserve">Punctul 131 subpunctul 1) din </w:t>
            </w:r>
            <w:r w:rsidR="009D7DEC">
              <w:rPr>
                <w:rFonts w:ascii="Times New Roman" w:eastAsia="Times New Roman" w:hAnsi="Times New Roman" w:cs="Times New Roman"/>
                <w:color w:val="000000"/>
                <w:kern w:val="0"/>
                <w:lang w:eastAsia="ro-MD"/>
                <w14:ligatures w14:val="none"/>
              </w:rPr>
              <w:t>Regulamentul nr.109/2018</w:t>
            </w:r>
            <w:r w:rsidRPr="005802BF">
              <w:rPr>
                <w:rFonts w:ascii="Arial" w:eastAsia="Times New Roman" w:hAnsi="Arial" w:cs="Arial"/>
                <w:kern w:val="0"/>
                <w:sz w:val="24"/>
                <w:szCs w:val="24"/>
                <w:lang w:eastAsia="ro-MD"/>
                <w14:ligatures w14:val="none"/>
              </w:rPr>
              <w:t>.</w:t>
            </w:r>
          </w:p>
          <w:p w14:paraId="4D0FD769" w14:textId="6F2E94EF"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Rata fondurilor proprii de nivel 1 de bază reprezintă fondurile proprii de nivel 1 de bază ale </w:t>
            </w:r>
            <w:r>
              <w:rPr>
                <w:rFonts w:ascii="Times New Roman" w:eastAsia="Times New Roman" w:hAnsi="Times New Roman" w:cs="Times New Roman"/>
                <w:color w:val="000000"/>
                <w:kern w:val="0"/>
                <w:lang w:eastAsia="ro-MD"/>
                <w14:ligatures w14:val="none"/>
              </w:rPr>
              <w:t>bănci</w:t>
            </w:r>
            <w:r w:rsidRPr="00260C32">
              <w:rPr>
                <w:rFonts w:ascii="Times New Roman" w:eastAsia="Times New Roman" w:hAnsi="Times New Roman" w:cs="Times New Roman"/>
                <w:color w:val="000000"/>
                <w:kern w:val="0"/>
                <w:lang w:eastAsia="ro-MD"/>
                <w14:ligatures w14:val="none"/>
              </w:rPr>
              <w:t>i exprimate ca procent din cuantumul total al expunerii la risc.</w:t>
            </w:r>
          </w:p>
        </w:tc>
        <w:tc>
          <w:tcPr>
            <w:tcW w:w="532" w:type="pct"/>
          </w:tcPr>
          <w:p w14:paraId="6B4F3827" w14:textId="77777777"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038D1113" w14:textId="592A3384" w:rsidTr="004174B2">
        <w:trPr>
          <w:gridAfter w:val="1"/>
          <w:wAfter w:w="4" w:type="pct"/>
          <w:tblCellSpacing w:w="0" w:type="dxa"/>
        </w:trPr>
        <w:tc>
          <w:tcPr>
            <w:tcW w:w="0" w:type="auto"/>
            <w:hideMark/>
          </w:tcPr>
          <w:p w14:paraId="5058F426"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0020</w:t>
            </w:r>
          </w:p>
        </w:tc>
        <w:tc>
          <w:tcPr>
            <w:tcW w:w="4074" w:type="pct"/>
            <w:hideMark/>
          </w:tcPr>
          <w:p w14:paraId="7F9B2872" w14:textId="06A6EF00" w:rsidR="004174B2" w:rsidRPr="006F30A7" w:rsidRDefault="004174B2"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2</w:t>
            </w:r>
            <w:r w:rsidR="00EB2912" w:rsidRPr="006F30A7">
              <w:rPr>
                <w:rFonts w:ascii="Times New Roman" w:eastAsia="Times New Roman" w:hAnsi="Times New Roman" w:cs="Times New Roman"/>
                <w:b/>
                <w:bCs/>
                <w:color w:val="000000"/>
                <w:kern w:val="0"/>
                <w:lang w:eastAsia="ro-MD"/>
                <w14:ligatures w14:val="none"/>
              </w:rPr>
              <w:t>.</w:t>
            </w:r>
            <w:r w:rsidRPr="006F30A7">
              <w:rPr>
                <w:rFonts w:ascii="Times New Roman" w:eastAsia="Times New Roman" w:hAnsi="Times New Roman" w:cs="Times New Roman"/>
                <w:b/>
                <w:bCs/>
                <w:color w:val="000000"/>
                <w:kern w:val="0"/>
                <w:lang w:eastAsia="ro-MD"/>
                <w14:ligatures w14:val="none"/>
              </w:rPr>
              <w:t> Excedentul(+)/Deficitul(-) fondurilor proprii de nivel 1 de bază</w:t>
            </w:r>
          </w:p>
          <w:p w14:paraId="7E6BAB06" w14:textId="78145600"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Acest </w:t>
            </w:r>
            <w:r w:rsidR="009D7DEC" w:rsidRPr="00260C32">
              <w:rPr>
                <w:rFonts w:ascii="Times New Roman" w:eastAsia="Times New Roman" w:hAnsi="Times New Roman" w:cs="Times New Roman"/>
                <w:color w:val="000000"/>
                <w:kern w:val="0"/>
                <w:lang w:eastAsia="ro-MD"/>
                <w14:ligatures w14:val="none"/>
              </w:rPr>
              <w:t>p</w:t>
            </w:r>
            <w:r w:rsidR="009D7DEC">
              <w:rPr>
                <w:rFonts w:ascii="Times New Roman" w:eastAsia="Times New Roman" w:hAnsi="Times New Roman" w:cs="Times New Roman"/>
                <w:color w:val="000000"/>
                <w:kern w:val="0"/>
                <w:lang w:eastAsia="ro-MD"/>
                <w14:ligatures w14:val="none"/>
              </w:rPr>
              <w:t>ost</w:t>
            </w:r>
            <w:r w:rsidR="009D7DEC" w:rsidRPr="00260C32">
              <w:rPr>
                <w:rFonts w:ascii="Times New Roman" w:eastAsia="Times New Roman" w:hAnsi="Times New Roman" w:cs="Times New Roman"/>
                <w:color w:val="000000"/>
                <w:kern w:val="0"/>
                <w:lang w:eastAsia="ro-MD"/>
                <w14:ligatures w14:val="none"/>
              </w:rPr>
              <w:t xml:space="preserve"> </w:t>
            </w:r>
            <w:r w:rsidRPr="00260C32">
              <w:rPr>
                <w:rFonts w:ascii="Times New Roman" w:eastAsia="Times New Roman" w:hAnsi="Times New Roman" w:cs="Times New Roman"/>
                <w:color w:val="000000"/>
                <w:kern w:val="0"/>
                <w:lang w:eastAsia="ro-MD"/>
                <w14:ligatures w14:val="none"/>
              </w:rPr>
              <w:t xml:space="preserve">indică, în cifre absolute, cuantumul excedentului sau al deficitului fondurilor proprii de nivel 1 de bază în legătură cu cerința prevăzută </w:t>
            </w:r>
            <w:r w:rsidR="00EE0C6B" w:rsidRPr="005802BF">
              <w:rPr>
                <w:rFonts w:ascii="Times New Roman" w:eastAsia="Times New Roman" w:hAnsi="Times New Roman" w:cs="Times New Roman"/>
                <w:color w:val="000000"/>
                <w:kern w:val="0"/>
                <w:lang w:eastAsia="ro-MD"/>
                <w14:ligatures w14:val="none"/>
              </w:rPr>
              <w:t xml:space="preserve">la punctul 130 subpunctul 1) din </w:t>
            </w:r>
            <w:r w:rsidR="00EE0C6B">
              <w:rPr>
                <w:rFonts w:ascii="Times New Roman" w:eastAsia="Times New Roman" w:hAnsi="Times New Roman" w:cs="Times New Roman"/>
                <w:color w:val="000000"/>
                <w:kern w:val="0"/>
                <w:lang w:eastAsia="ro-MD"/>
                <w14:ligatures w14:val="none"/>
              </w:rPr>
              <w:t>Regulamentul nr.109/2018</w:t>
            </w:r>
            <w:r w:rsidRPr="00260C32">
              <w:rPr>
                <w:rFonts w:ascii="Times New Roman" w:eastAsia="Times New Roman" w:hAnsi="Times New Roman" w:cs="Times New Roman"/>
                <w:color w:val="000000"/>
                <w:kern w:val="0"/>
                <w:lang w:eastAsia="ro-MD"/>
                <w14:ligatures w14:val="none"/>
              </w:rPr>
              <w:t>,  fără a lua în considerare amortizoarele de capital.</w:t>
            </w:r>
          </w:p>
        </w:tc>
        <w:tc>
          <w:tcPr>
            <w:tcW w:w="532" w:type="pct"/>
          </w:tcPr>
          <w:p w14:paraId="4307445E" w14:textId="77777777"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666B8581" w14:textId="08D695D4" w:rsidTr="004174B2">
        <w:trPr>
          <w:gridAfter w:val="1"/>
          <w:wAfter w:w="4" w:type="pct"/>
          <w:tblCellSpacing w:w="0" w:type="dxa"/>
        </w:trPr>
        <w:tc>
          <w:tcPr>
            <w:tcW w:w="0" w:type="auto"/>
            <w:hideMark/>
          </w:tcPr>
          <w:p w14:paraId="55D4BE2C"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0030</w:t>
            </w:r>
          </w:p>
        </w:tc>
        <w:tc>
          <w:tcPr>
            <w:tcW w:w="4074" w:type="pct"/>
            <w:hideMark/>
          </w:tcPr>
          <w:p w14:paraId="5D9087A2" w14:textId="26E451E5" w:rsidR="004174B2" w:rsidRPr="006F30A7" w:rsidRDefault="004174B2"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3</w:t>
            </w:r>
            <w:r w:rsidR="00EB2912" w:rsidRPr="006F30A7">
              <w:rPr>
                <w:rFonts w:ascii="Times New Roman" w:eastAsia="Times New Roman" w:hAnsi="Times New Roman" w:cs="Times New Roman"/>
                <w:b/>
                <w:bCs/>
                <w:color w:val="000000"/>
                <w:kern w:val="0"/>
                <w:lang w:eastAsia="ro-MD"/>
                <w14:ligatures w14:val="none"/>
              </w:rPr>
              <w:t>.</w:t>
            </w:r>
            <w:r w:rsidRPr="006F30A7">
              <w:rPr>
                <w:rFonts w:ascii="Times New Roman" w:eastAsia="Times New Roman" w:hAnsi="Times New Roman" w:cs="Times New Roman"/>
                <w:b/>
                <w:bCs/>
                <w:color w:val="000000"/>
                <w:kern w:val="0"/>
                <w:lang w:eastAsia="ro-MD"/>
                <w14:ligatures w14:val="none"/>
              </w:rPr>
              <w:t> Rata fondurilor proprii de nivel 1</w:t>
            </w:r>
          </w:p>
          <w:p w14:paraId="4AE58713" w14:textId="77777777" w:rsidR="00232DE0"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B46497">
              <w:rPr>
                <w:rFonts w:ascii="Times New Roman" w:eastAsia="Times New Roman" w:hAnsi="Times New Roman" w:cs="Times New Roman"/>
                <w:color w:val="000000"/>
                <w:kern w:val="0"/>
                <w:lang w:eastAsia="ro-MD"/>
                <w14:ligatures w14:val="none"/>
              </w:rPr>
              <w:t xml:space="preserve">Punctul 131 subpunctul 2) din </w:t>
            </w:r>
            <w:r>
              <w:rPr>
                <w:rFonts w:ascii="Times New Roman" w:eastAsia="Times New Roman" w:hAnsi="Times New Roman" w:cs="Times New Roman"/>
                <w:color w:val="000000"/>
                <w:kern w:val="0"/>
                <w:lang w:eastAsia="ro-MD"/>
                <w14:ligatures w14:val="none"/>
              </w:rPr>
              <w:t>Regulamentul nr.109/2018</w:t>
            </w:r>
            <w:r w:rsidRPr="00B46497">
              <w:rPr>
                <w:rFonts w:ascii="Times New Roman" w:eastAsia="Times New Roman" w:hAnsi="Times New Roman" w:cs="Times New Roman"/>
                <w:color w:val="000000"/>
                <w:kern w:val="0"/>
                <w:lang w:eastAsia="ro-MD"/>
                <w14:ligatures w14:val="none"/>
              </w:rPr>
              <w:t>.</w:t>
            </w:r>
          </w:p>
          <w:p w14:paraId="5E2FAF78" w14:textId="300F89B2"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Rata fondurilor proprii de nivel 1 reprezintă fondurile proprii de nivel 1 ale </w:t>
            </w:r>
            <w:r>
              <w:rPr>
                <w:rFonts w:ascii="Times New Roman" w:eastAsia="Times New Roman" w:hAnsi="Times New Roman" w:cs="Times New Roman"/>
                <w:color w:val="000000"/>
                <w:kern w:val="0"/>
                <w:lang w:eastAsia="ro-MD"/>
                <w14:ligatures w14:val="none"/>
              </w:rPr>
              <w:t>bănci</w:t>
            </w:r>
            <w:r w:rsidRPr="00260C32">
              <w:rPr>
                <w:rFonts w:ascii="Times New Roman" w:eastAsia="Times New Roman" w:hAnsi="Times New Roman" w:cs="Times New Roman"/>
                <w:color w:val="000000"/>
                <w:kern w:val="0"/>
                <w:lang w:eastAsia="ro-MD"/>
                <w14:ligatures w14:val="none"/>
              </w:rPr>
              <w:t>i exprimate ca procentaj din cuantumul total al expunerii la risc.</w:t>
            </w:r>
          </w:p>
        </w:tc>
        <w:tc>
          <w:tcPr>
            <w:tcW w:w="532" w:type="pct"/>
          </w:tcPr>
          <w:p w14:paraId="2B3EAB07" w14:textId="77777777"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2E2FA57E" w14:textId="1E33EA2F" w:rsidTr="004174B2">
        <w:trPr>
          <w:gridAfter w:val="1"/>
          <w:wAfter w:w="4" w:type="pct"/>
          <w:tblCellSpacing w:w="0" w:type="dxa"/>
        </w:trPr>
        <w:tc>
          <w:tcPr>
            <w:tcW w:w="0" w:type="auto"/>
            <w:hideMark/>
          </w:tcPr>
          <w:p w14:paraId="45ED89D1"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0040</w:t>
            </w:r>
          </w:p>
        </w:tc>
        <w:tc>
          <w:tcPr>
            <w:tcW w:w="4074" w:type="pct"/>
            <w:hideMark/>
          </w:tcPr>
          <w:p w14:paraId="44CCFC9A" w14:textId="088BE73C" w:rsidR="004174B2" w:rsidRPr="006F30A7" w:rsidRDefault="004174B2"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4</w:t>
            </w:r>
            <w:r w:rsidR="00EB2912" w:rsidRPr="006F30A7">
              <w:rPr>
                <w:rFonts w:ascii="Times New Roman" w:eastAsia="Times New Roman" w:hAnsi="Times New Roman" w:cs="Times New Roman"/>
                <w:b/>
                <w:bCs/>
                <w:color w:val="000000"/>
                <w:kern w:val="0"/>
                <w:lang w:eastAsia="ro-MD"/>
                <w14:ligatures w14:val="none"/>
              </w:rPr>
              <w:t>.</w:t>
            </w:r>
            <w:r w:rsidRPr="006F30A7">
              <w:rPr>
                <w:rFonts w:ascii="Times New Roman" w:eastAsia="Times New Roman" w:hAnsi="Times New Roman" w:cs="Times New Roman"/>
                <w:b/>
                <w:bCs/>
                <w:color w:val="000000"/>
                <w:kern w:val="0"/>
                <w:lang w:eastAsia="ro-MD"/>
                <w14:ligatures w14:val="none"/>
              </w:rPr>
              <w:t> Excedentul(+)/Deficitul(-) fondurilor proprii de nivel 1</w:t>
            </w:r>
          </w:p>
          <w:p w14:paraId="07038C72" w14:textId="42621CD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Acest p</w:t>
            </w:r>
            <w:r>
              <w:rPr>
                <w:rFonts w:ascii="Times New Roman" w:eastAsia="Times New Roman" w:hAnsi="Times New Roman" w:cs="Times New Roman"/>
                <w:color w:val="000000"/>
                <w:kern w:val="0"/>
                <w:lang w:eastAsia="ro-MD"/>
                <w14:ligatures w14:val="none"/>
              </w:rPr>
              <w:t>ost</w:t>
            </w:r>
            <w:r w:rsidRPr="00260C32">
              <w:rPr>
                <w:rFonts w:ascii="Times New Roman" w:eastAsia="Times New Roman" w:hAnsi="Times New Roman" w:cs="Times New Roman"/>
                <w:color w:val="000000"/>
                <w:kern w:val="0"/>
                <w:lang w:eastAsia="ro-MD"/>
                <w14:ligatures w14:val="none"/>
              </w:rPr>
              <w:t xml:space="preserve"> indică, în cifre absolute, cuantumul excedentului sau al deficitului fondurilor proprii de nivel 1 în legătură cu cerința prevăzută la </w:t>
            </w:r>
            <w:r w:rsidRPr="005802BF">
              <w:rPr>
                <w:rFonts w:ascii="Times New Roman" w:eastAsia="Times New Roman" w:hAnsi="Times New Roman" w:cs="Times New Roman"/>
                <w:color w:val="000000"/>
                <w:kern w:val="0"/>
                <w:lang w:eastAsia="ro-MD"/>
                <w14:ligatures w14:val="none"/>
              </w:rPr>
              <w:t xml:space="preserve">punctul 130 subpunctul </w:t>
            </w:r>
            <w:r>
              <w:rPr>
                <w:rFonts w:ascii="Times New Roman" w:eastAsia="Times New Roman" w:hAnsi="Times New Roman" w:cs="Times New Roman"/>
                <w:color w:val="000000"/>
                <w:kern w:val="0"/>
                <w:lang w:eastAsia="ro-MD"/>
                <w14:ligatures w14:val="none"/>
              </w:rPr>
              <w:t>2</w:t>
            </w:r>
            <w:r w:rsidRPr="005802BF">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sidR="00EE0C6B">
              <w:rPr>
                <w:rFonts w:ascii="Times New Roman" w:eastAsia="Times New Roman" w:hAnsi="Times New Roman" w:cs="Times New Roman"/>
                <w:color w:val="000000"/>
                <w:kern w:val="0"/>
                <w:lang w:eastAsia="ro-MD"/>
                <w14:ligatures w14:val="none"/>
              </w:rPr>
              <w:t xml:space="preserve">, </w:t>
            </w:r>
            <w:r w:rsidRPr="00260C32">
              <w:rPr>
                <w:rFonts w:ascii="Times New Roman" w:eastAsia="Times New Roman" w:hAnsi="Times New Roman" w:cs="Times New Roman"/>
                <w:color w:val="000000"/>
                <w:kern w:val="0"/>
                <w:lang w:eastAsia="ro-MD"/>
                <w14:ligatures w14:val="none"/>
              </w:rPr>
              <w:t>fără a lua în considerare amortizoarele de capital.</w:t>
            </w:r>
          </w:p>
        </w:tc>
        <w:tc>
          <w:tcPr>
            <w:tcW w:w="532" w:type="pct"/>
          </w:tcPr>
          <w:p w14:paraId="48ABE138" w14:textId="77777777"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44FF8D3A" w14:textId="04EBFA83" w:rsidTr="004174B2">
        <w:trPr>
          <w:gridAfter w:val="1"/>
          <w:wAfter w:w="4" w:type="pct"/>
          <w:tblCellSpacing w:w="0" w:type="dxa"/>
        </w:trPr>
        <w:tc>
          <w:tcPr>
            <w:tcW w:w="0" w:type="auto"/>
            <w:hideMark/>
          </w:tcPr>
          <w:p w14:paraId="74EC8F76"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0050</w:t>
            </w:r>
          </w:p>
        </w:tc>
        <w:tc>
          <w:tcPr>
            <w:tcW w:w="4074" w:type="pct"/>
            <w:hideMark/>
          </w:tcPr>
          <w:p w14:paraId="3248A704" w14:textId="5E97ED88" w:rsidR="004174B2" w:rsidRPr="006F30A7" w:rsidRDefault="004174B2"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5</w:t>
            </w:r>
            <w:r w:rsidR="00EB2912" w:rsidRPr="006F30A7">
              <w:rPr>
                <w:rFonts w:ascii="Times New Roman" w:eastAsia="Times New Roman" w:hAnsi="Times New Roman" w:cs="Times New Roman"/>
                <w:b/>
                <w:bCs/>
                <w:color w:val="000000"/>
                <w:kern w:val="0"/>
                <w:lang w:eastAsia="ro-MD"/>
                <w14:ligatures w14:val="none"/>
              </w:rPr>
              <w:t>.</w:t>
            </w:r>
            <w:r w:rsidRPr="006F30A7">
              <w:rPr>
                <w:rFonts w:ascii="Times New Roman" w:eastAsia="Times New Roman" w:hAnsi="Times New Roman" w:cs="Times New Roman"/>
                <w:b/>
                <w:bCs/>
                <w:color w:val="000000"/>
                <w:kern w:val="0"/>
                <w:lang w:eastAsia="ro-MD"/>
                <w14:ligatures w14:val="none"/>
              </w:rPr>
              <w:t> Rata fondurilor proprii totale</w:t>
            </w:r>
          </w:p>
          <w:p w14:paraId="704062B8" w14:textId="77777777" w:rsidR="00232DE0" w:rsidRDefault="004174B2" w:rsidP="006F30A7">
            <w:pPr>
              <w:spacing w:after="0" w:line="240" w:lineRule="auto"/>
            </w:pPr>
            <w:r w:rsidRPr="008C359C">
              <w:rPr>
                <w:rFonts w:ascii="Times New Roman" w:eastAsia="Times New Roman" w:hAnsi="Times New Roman" w:cs="Times New Roman"/>
                <w:color w:val="000000"/>
                <w:kern w:val="0"/>
                <w:lang w:eastAsia="ro-MD"/>
                <w14:ligatures w14:val="none"/>
              </w:rPr>
              <w:t xml:space="preserve">Punctul 131 subpunctul </w:t>
            </w:r>
            <w:r>
              <w:rPr>
                <w:rFonts w:ascii="Times New Roman" w:eastAsia="Times New Roman" w:hAnsi="Times New Roman" w:cs="Times New Roman"/>
                <w:color w:val="000000"/>
                <w:kern w:val="0"/>
                <w:lang w:eastAsia="ro-MD"/>
                <w14:ligatures w14:val="none"/>
              </w:rPr>
              <w:t>3</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sidR="00232DE0">
              <w:rPr>
                <w:rFonts w:ascii="Times New Roman" w:eastAsia="Times New Roman" w:hAnsi="Times New Roman" w:cs="Times New Roman"/>
                <w:color w:val="000000"/>
                <w:kern w:val="0"/>
                <w:lang w:eastAsia="ro-MD"/>
                <w14:ligatures w14:val="none"/>
              </w:rPr>
              <w:t>.</w:t>
            </w:r>
          </w:p>
          <w:p w14:paraId="241B43AA" w14:textId="5E02A451"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lastRenderedPageBreak/>
              <w:t xml:space="preserve">Rata fondurilor proprii totale reprezintă fondurile proprii ale </w:t>
            </w:r>
            <w:r>
              <w:rPr>
                <w:rFonts w:ascii="Times New Roman" w:eastAsia="Times New Roman" w:hAnsi="Times New Roman" w:cs="Times New Roman"/>
                <w:color w:val="000000"/>
                <w:kern w:val="0"/>
                <w:lang w:eastAsia="ro-MD"/>
                <w14:ligatures w14:val="none"/>
              </w:rPr>
              <w:t>bănci</w:t>
            </w:r>
            <w:r w:rsidRPr="00260C32">
              <w:rPr>
                <w:rFonts w:ascii="Times New Roman" w:eastAsia="Times New Roman" w:hAnsi="Times New Roman" w:cs="Times New Roman"/>
                <w:color w:val="000000"/>
                <w:kern w:val="0"/>
                <w:lang w:eastAsia="ro-MD"/>
                <w14:ligatures w14:val="none"/>
              </w:rPr>
              <w:t>i exprimate ca procentaj din cuantumul total al expunerii la risc.</w:t>
            </w:r>
          </w:p>
        </w:tc>
        <w:tc>
          <w:tcPr>
            <w:tcW w:w="532" w:type="pct"/>
          </w:tcPr>
          <w:p w14:paraId="6BF62CE8" w14:textId="77777777"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24085BF7" w14:textId="5E25BEC2" w:rsidTr="004174B2">
        <w:trPr>
          <w:gridAfter w:val="1"/>
          <w:wAfter w:w="4" w:type="pct"/>
          <w:tblCellSpacing w:w="0" w:type="dxa"/>
        </w:trPr>
        <w:tc>
          <w:tcPr>
            <w:tcW w:w="0" w:type="auto"/>
            <w:hideMark/>
          </w:tcPr>
          <w:p w14:paraId="1AD9B3F4"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0060</w:t>
            </w:r>
          </w:p>
        </w:tc>
        <w:tc>
          <w:tcPr>
            <w:tcW w:w="4074" w:type="pct"/>
            <w:hideMark/>
          </w:tcPr>
          <w:p w14:paraId="2CD94EDD" w14:textId="0C4DE37D" w:rsidR="004174B2" w:rsidRPr="006F30A7" w:rsidRDefault="004174B2"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6</w:t>
            </w:r>
            <w:r w:rsidR="00EB2912" w:rsidRPr="006F30A7">
              <w:rPr>
                <w:rFonts w:ascii="Times New Roman" w:eastAsia="Times New Roman" w:hAnsi="Times New Roman" w:cs="Times New Roman"/>
                <w:b/>
                <w:bCs/>
                <w:color w:val="000000"/>
                <w:kern w:val="0"/>
                <w:lang w:eastAsia="ro-MD"/>
                <w14:ligatures w14:val="none"/>
              </w:rPr>
              <w:t>.</w:t>
            </w:r>
            <w:r w:rsidRPr="006F30A7">
              <w:rPr>
                <w:rFonts w:ascii="Times New Roman" w:eastAsia="Times New Roman" w:hAnsi="Times New Roman" w:cs="Times New Roman"/>
                <w:b/>
                <w:bCs/>
                <w:color w:val="000000"/>
                <w:kern w:val="0"/>
                <w:lang w:eastAsia="ro-MD"/>
                <w14:ligatures w14:val="none"/>
              </w:rPr>
              <w:t> Excedentul(+)/Deficitul(-) fondurilor proprii totale</w:t>
            </w:r>
          </w:p>
          <w:p w14:paraId="27B3491B" w14:textId="5DFBF4EA"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Acest p</w:t>
            </w:r>
            <w:r>
              <w:rPr>
                <w:rFonts w:ascii="Times New Roman" w:eastAsia="Times New Roman" w:hAnsi="Times New Roman" w:cs="Times New Roman"/>
                <w:color w:val="000000"/>
                <w:kern w:val="0"/>
                <w:lang w:eastAsia="ro-MD"/>
                <w14:ligatures w14:val="none"/>
              </w:rPr>
              <w:t>os</w:t>
            </w:r>
            <w:r w:rsidRPr="00260C32">
              <w:rPr>
                <w:rFonts w:ascii="Times New Roman" w:eastAsia="Times New Roman" w:hAnsi="Times New Roman" w:cs="Times New Roman"/>
                <w:color w:val="000000"/>
                <w:kern w:val="0"/>
                <w:lang w:eastAsia="ro-MD"/>
                <w14:ligatures w14:val="none"/>
              </w:rPr>
              <w:t xml:space="preserve">t indică, în cifre absolute, cuantumul excedentului sau al deficitului fondurilor proprii în legătură cu cerința prevăzută la </w:t>
            </w:r>
            <w:r>
              <w:rPr>
                <w:rFonts w:ascii="Times New Roman" w:eastAsia="Times New Roman" w:hAnsi="Times New Roman" w:cs="Times New Roman"/>
                <w:color w:val="000000"/>
                <w:kern w:val="0"/>
                <w:lang w:eastAsia="ro-MD"/>
                <w14:ligatures w14:val="none"/>
              </w:rPr>
              <w:t>p</w:t>
            </w:r>
            <w:r w:rsidRPr="008C359C">
              <w:rPr>
                <w:rFonts w:ascii="Times New Roman" w:eastAsia="Times New Roman" w:hAnsi="Times New Roman" w:cs="Times New Roman"/>
                <w:color w:val="000000"/>
                <w:kern w:val="0"/>
                <w:lang w:eastAsia="ro-MD"/>
                <w14:ligatures w14:val="none"/>
              </w:rPr>
              <w:t>unctul 13</w:t>
            </w:r>
            <w:r>
              <w:rPr>
                <w:rFonts w:ascii="Times New Roman" w:eastAsia="Times New Roman" w:hAnsi="Times New Roman" w:cs="Times New Roman"/>
                <w:color w:val="000000"/>
                <w:kern w:val="0"/>
                <w:lang w:eastAsia="ro-MD"/>
                <w14:ligatures w14:val="none"/>
              </w:rPr>
              <w:t>0</w:t>
            </w:r>
            <w:r w:rsidRPr="008C359C">
              <w:rPr>
                <w:rFonts w:ascii="Times New Roman" w:eastAsia="Times New Roman" w:hAnsi="Times New Roman" w:cs="Times New Roman"/>
                <w:color w:val="000000"/>
                <w:kern w:val="0"/>
                <w:lang w:eastAsia="ro-MD"/>
                <w14:ligatures w14:val="none"/>
              </w:rPr>
              <w:t xml:space="preserve"> subpunctul </w:t>
            </w:r>
            <w:r>
              <w:rPr>
                <w:rFonts w:ascii="Times New Roman" w:eastAsia="Times New Roman" w:hAnsi="Times New Roman" w:cs="Times New Roman"/>
                <w:color w:val="000000"/>
                <w:kern w:val="0"/>
                <w:lang w:eastAsia="ro-MD"/>
                <w14:ligatures w14:val="none"/>
              </w:rPr>
              <w:t>3</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sidRPr="00260C32" w:rsidDel="005802BF">
              <w:rPr>
                <w:rFonts w:ascii="Times New Roman" w:eastAsia="Times New Roman" w:hAnsi="Times New Roman" w:cs="Times New Roman"/>
                <w:color w:val="000000"/>
                <w:kern w:val="0"/>
                <w:lang w:eastAsia="ro-MD"/>
                <w14:ligatures w14:val="none"/>
              </w:rPr>
              <w:t xml:space="preserve"> </w:t>
            </w:r>
            <w:r w:rsidRPr="00260C32">
              <w:rPr>
                <w:rFonts w:ascii="Times New Roman" w:eastAsia="Times New Roman" w:hAnsi="Times New Roman" w:cs="Times New Roman"/>
                <w:color w:val="000000"/>
                <w:kern w:val="0"/>
                <w:lang w:eastAsia="ro-MD"/>
                <w14:ligatures w14:val="none"/>
              </w:rPr>
              <w:t xml:space="preserve"> fără a lua în considerare amortizoarele de capital.</w:t>
            </w:r>
          </w:p>
        </w:tc>
        <w:tc>
          <w:tcPr>
            <w:tcW w:w="532" w:type="pct"/>
          </w:tcPr>
          <w:p w14:paraId="691409B1" w14:textId="77777777"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1E8C9E59" w14:textId="77777777" w:rsidTr="00492BA4">
        <w:trPr>
          <w:gridAfter w:val="1"/>
          <w:wAfter w:w="4" w:type="pct"/>
          <w:tblCellSpacing w:w="0" w:type="dxa"/>
        </w:trPr>
        <w:tc>
          <w:tcPr>
            <w:tcW w:w="0" w:type="auto"/>
          </w:tcPr>
          <w:p w14:paraId="20387BA7" w14:textId="7CA8FB92" w:rsidR="004174B2" w:rsidRPr="00D8522E"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D8522E">
              <w:rPr>
                <w:rFonts w:ascii="Times New Roman" w:eastAsia="Times New Roman" w:hAnsi="Times New Roman" w:cs="Times New Roman"/>
                <w:color w:val="000000"/>
                <w:kern w:val="0"/>
                <w:lang w:eastAsia="ro-MD"/>
                <w14:ligatures w14:val="none"/>
              </w:rPr>
              <w:t>0070</w:t>
            </w:r>
          </w:p>
        </w:tc>
        <w:tc>
          <w:tcPr>
            <w:tcW w:w="4074" w:type="pct"/>
          </w:tcPr>
          <w:p w14:paraId="48A02D76" w14:textId="56B44BF0" w:rsidR="004174B2" w:rsidRPr="006F30A7" w:rsidRDefault="00205176"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 xml:space="preserve">7. </w:t>
            </w:r>
            <w:r w:rsidR="004174B2" w:rsidRPr="006F30A7">
              <w:rPr>
                <w:rFonts w:ascii="Times New Roman" w:eastAsia="Times New Roman" w:hAnsi="Times New Roman" w:cs="Times New Roman"/>
                <w:b/>
                <w:bCs/>
                <w:color w:val="000000"/>
                <w:kern w:val="0"/>
                <w:lang w:eastAsia="ro-MD"/>
                <w14:ligatures w14:val="none"/>
              </w:rPr>
              <w:t>Rata fondurilor proprii de nivel 1 de bază luând în considerare TREA fără aplicarea pragului minim</w:t>
            </w:r>
          </w:p>
          <w:p w14:paraId="31EC792E" w14:textId="1FEE56E8" w:rsidR="00D8522E" w:rsidRPr="006346BC" w:rsidRDefault="00D8522E" w:rsidP="006F30A7">
            <w:pPr>
              <w:spacing w:after="0" w:line="240" w:lineRule="auto"/>
              <w:rPr>
                <w:rFonts w:ascii="Times New Roman" w:eastAsia="Times New Roman" w:hAnsi="Times New Roman" w:cs="Times New Roman"/>
                <w:color w:val="000000"/>
                <w:kern w:val="0"/>
                <w:lang w:eastAsia="ro-MD"/>
                <w14:ligatures w14:val="none"/>
              </w:rPr>
            </w:pPr>
            <w:r w:rsidRPr="006346BC">
              <w:rPr>
                <w:rFonts w:ascii="Times New Roman" w:hAnsi="Times New Roman" w:cs="Times New Roman"/>
              </w:rPr>
              <w:t xml:space="preserve">Rata fondurilor proprii de nivel 1 de bază, astfel cum este definită la </w:t>
            </w:r>
            <w:r w:rsidRPr="006346BC">
              <w:rPr>
                <w:rFonts w:ascii="Times New Roman" w:eastAsia="Times New Roman" w:hAnsi="Times New Roman" w:cs="Times New Roman"/>
                <w:color w:val="000000"/>
                <w:kern w:val="0"/>
                <w:lang w:eastAsia="ro-MD"/>
                <w14:ligatures w14:val="none"/>
              </w:rPr>
              <w:t>punctul 13</w:t>
            </w:r>
            <w:r w:rsidR="00463DF1" w:rsidRPr="006346BC">
              <w:rPr>
                <w:rFonts w:ascii="Times New Roman" w:eastAsia="Times New Roman" w:hAnsi="Times New Roman" w:cs="Times New Roman"/>
                <w:color w:val="000000"/>
                <w:kern w:val="0"/>
                <w:lang w:eastAsia="ro-MD"/>
                <w14:ligatures w14:val="none"/>
              </w:rPr>
              <w:t>1</w:t>
            </w:r>
            <w:r w:rsidRPr="006346BC">
              <w:rPr>
                <w:rFonts w:ascii="Times New Roman" w:eastAsia="Times New Roman" w:hAnsi="Times New Roman" w:cs="Times New Roman"/>
                <w:color w:val="000000"/>
                <w:kern w:val="0"/>
                <w:lang w:eastAsia="ro-MD"/>
                <w14:ligatures w14:val="none"/>
              </w:rPr>
              <w:t xml:space="preserve"> subpunctul </w:t>
            </w:r>
            <w:r w:rsidR="00463DF1" w:rsidRPr="006346BC">
              <w:rPr>
                <w:rFonts w:ascii="Times New Roman" w:eastAsia="Times New Roman" w:hAnsi="Times New Roman" w:cs="Times New Roman"/>
                <w:color w:val="000000"/>
                <w:kern w:val="0"/>
                <w:lang w:eastAsia="ro-MD"/>
                <w14:ligatures w14:val="none"/>
              </w:rPr>
              <w:t>1</w:t>
            </w:r>
            <w:r w:rsidRPr="006346BC">
              <w:rPr>
                <w:rFonts w:ascii="Times New Roman" w:eastAsia="Times New Roman" w:hAnsi="Times New Roman" w:cs="Times New Roman"/>
                <w:color w:val="000000"/>
                <w:kern w:val="0"/>
                <w:lang w:eastAsia="ro-MD"/>
                <w14:ligatures w14:val="none"/>
              </w:rPr>
              <w:t>) din Regulamentul nr.109/2018</w:t>
            </w:r>
            <w:r w:rsidRPr="006346BC">
              <w:rPr>
                <w:rFonts w:ascii="Times New Roman" w:hAnsi="Times New Roman" w:cs="Times New Roman"/>
              </w:rPr>
              <w:t xml:space="preserve">, exprimată ca procent din cuantumul total al expunerii la risc calculat în conformitate cu </w:t>
            </w:r>
            <w:r w:rsidRPr="006346BC">
              <w:rPr>
                <w:rFonts w:ascii="Times New Roman" w:eastAsia="Times New Roman" w:hAnsi="Times New Roman" w:cs="Times New Roman"/>
                <w:color w:val="000000"/>
                <w:kern w:val="0"/>
                <w:lang w:eastAsia="ro-MD"/>
                <w14:ligatures w14:val="none"/>
              </w:rPr>
              <w:t>punctul 13</w:t>
            </w:r>
            <w:r w:rsidR="00463DF1" w:rsidRPr="006346BC">
              <w:rPr>
                <w:rFonts w:ascii="Times New Roman" w:eastAsia="Times New Roman" w:hAnsi="Times New Roman" w:cs="Times New Roman"/>
                <w:color w:val="000000"/>
                <w:kern w:val="0"/>
                <w:lang w:eastAsia="ro-MD"/>
                <w14:ligatures w14:val="none"/>
              </w:rPr>
              <w:t>2</w:t>
            </w:r>
            <w:r w:rsidRPr="006346BC">
              <w:rPr>
                <w:rFonts w:ascii="Times New Roman" w:eastAsia="Times New Roman" w:hAnsi="Times New Roman" w:cs="Times New Roman"/>
                <w:color w:val="000000"/>
                <w:kern w:val="0"/>
                <w:lang w:eastAsia="ro-MD"/>
                <w14:ligatures w14:val="none"/>
              </w:rPr>
              <w:t xml:space="preserve"> din Regulamentul nr.109/2018</w:t>
            </w:r>
            <w:r w:rsidRPr="006346BC">
              <w:rPr>
                <w:rFonts w:ascii="Times New Roman" w:hAnsi="Times New Roman" w:cs="Times New Roman"/>
              </w:rPr>
              <w:t>.</w:t>
            </w:r>
          </w:p>
        </w:tc>
        <w:tc>
          <w:tcPr>
            <w:tcW w:w="532" w:type="pct"/>
          </w:tcPr>
          <w:p w14:paraId="55A3A95B" w14:textId="7AFE1C5A" w:rsidR="004174B2" w:rsidRPr="00913EAD" w:rsidRDefault="004174B2" w:rsidP="006F30A7">
            <w:pPr>
              <w:spacing w:after="0" w:line="240" w:lineRule="auto"/>
              <w:jc w:val="center"/>
              <w:rPr>
                <w:rFonts w:ascii="Times New Roman" w:eastAsia="Times New Roman" w:hAnsi="Times New Roman" w:cs="Times New Roman"/>
                <w:color w:val="000000"/>
                <w:kern w:val="0"/>
                <w:highlight w:val="yellow"/>
                <w:lang w:eastAsia="ro-MD"/>
                <w14:ligatures w14:val="none"/>
              </w:rPr>
            </w:pPr>
          </w:p>
        </w:tc>
      </w:tr>
      <w:tr w:rsidR="004174B2" w:rsidRPr="00260C32" w14:paraId="179C6AB0" w14:textId="77777777" w:rsidTr="00492BA4">
        <w:trPr>
          <w:gridAfter w:val="1"/>
          <w:wAfter w:w="4" w:type="pct"/>
          <w:tblCellSpacing w:w="0" w:type="dxa"/>
        </w:trPr>
        <w:tc>
          <w:tcPr>
            <w:tcW w:w="0" w:type="auto"/>
          </w:tcPr>
          <w:p w14:paraId="5167246A" w14:textId="28849132" w:rsidR="004174B2" w:rsidRPr="00D8522E"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D8522E">
              <w:rPr>
                <w:rFonts w:ascii="Times New Roman" w:eastAsia="Times New Roman" w:hAnsi="Times New Roman" w:cs="Times New Roman"/>
                <w:color w:val="000000"/>
                <w:kern w:val="0"/>
                <w:lang w:eastAsia="ro-MD"/>
                <w14:ligatures w14:val="none"/>
              </w:rPr>
              <w:t>0080</w:t>
            </w:r>
          </w:p>
        </w:tc>
        <w:tc>
          <w:tcPr>
            <w:tcW w:w="4074" w:type="pct"/>
          </w:tcPr>
          <w:p w14:paraId="7E8C6FCD" w14:textId="3108ADA3" w:rsidR="004174B2" w:rsidRPr="006F30A7" w:rsidRDefault="00205176"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 xml:space="preserve">8. </w:t>
            </w:r>
            <w:r w:rsidR="004174B2" w:rsidRPr="006F30A7">
              <w:rPr>
                <w:rFonts w:ascii="Times New Roman" w:eastAsia="Times New Roman" w:hAnsi="Times New Roman" w:cs="Times New Roman"/>
                <w:b/>
                <w:bCs/>
                <w:color w:val="000000"/>
                <w:kern w:val="0"/>
                <w:lang w:eastAsia="ro-MD"/>
                <w14:ligatures w14:val="none"/>
              </w:rPr>
              <w:t>Rata fondurilor proprii de nivel 1 luând în considerare TREA fără aplicarea pragului minim</w:t>
            </w:r>
          </w:p>
          <w:p w14:paraId="7CECC8ED" w14:textId="5D69FAB4" w:rsidR="00D8522E" w:rsidRPr="006346BC" w:rsidRDefault="00D8522E" w:rsidP="006F30A7">
            <w:pPr>
              <w:spacing w:after="0" w:line="240" w:lineRule="auto"/>
              <w:rPr>
                <w:rFonts w:ascii="Times New Roman" w:eastAsia="Times New Roman" w:hAnsi="Times New Roman" w:cs="Times New Roman"/>
                <w:color w:val="000000"/>
                <w:kern w:val="0"/>
                <w:lang w:eastAsia="ro-MD"/>
                <w14:ligatures w14:val="none"/>
              </w:rPr>
            </w:pPr>
            <w:r w:rsidRPr="006346BC">
              <w:rPr>
                <w:rFonts w:ascii="Times New Roman" w:hAnsi="Times New Roman" w:cs="Times New Roman"/>
              </w:rPr>
              <w:t xml:space="preserve">Rata fondurilor proprii de nivel 1, astfel cum este definită la </w:t>
            </w:r>
            <w:r w:rsidR="00CA2455" w:rsidRPr="006346BC">
              <w:rPr>
                <w:rFonts w:ascii="Times New Roman" w:eastAsia="Times New Roman" w:hAnsi="Times New Roman" w:cs="Times New Roman"/>
                <w:color w:val="000000"/>
                <w:kern w:val="0"/>
                <w:lang w:eastAsia="ro-MD"/>
                <w14:ligatures w14:val="none"/>
              </w:rPr>
              <w:t>punctul 131 subpunctul 2) din Regulamentul nr.109/2018</w:t>
            </w:r>
            <w:r w:rsidRPr="006346BC">
              <w:rPr>
                <w:rFonts w:ascii="Times New Roman" w:hAnsi="Times New Roman" w:cs="Times New Roman"/>
              </w:rPr>
              <w:t xml:space="preserve">, exprimată ca procent din cuantumul total al expunerii la risc calculat în conformitate cu </w:t>
            </w:r>
            <w:r w:rsidR="00CA2455" w:rsidRPr="006346BC">
              <w:rPr>
                <w:rFonts w:ascii="Times New Roman" w:eastAsia="Times New Roman" w:hAnsi="Times New Roman" w:cs="Times New Roman"/>
                <w:color w:val="000000"/>
                <w:kern w:val="0"/>
                <w:lang w:eastAsia="ro-MD"/>
                <w14:ligatures w14:val="none"/>
              </w:rPr>
              <w:t>punctul 132 din Regulamentul nr.109/2018</w:t>
            </w:r>
            <w:r w:rsidRPr="006346BC">
              <w:rPr>
                <w:rFonts w:ascii="Times New Roman" w:hAnsi="Times New Roman" w:cs="Times New Roman"/>
              </w:rPr>
              <w:t>.</w:t>
            </w:r>
          </w:p>
        </w:tc>
        <w:tc>
          <w:tcPr>
            <w:tcW w:w="532" w:type="pct"/>
          </w:tcPr>
          <w:p w14:paraId="0EC234F5" w14:textId="300DCCDA" w:rsidR="004174B2" w:rsidRPr="00913EAD" w:rsidRDefault="004174B2" w:rsidP="006F30A7">
            <w:pPr>
              <w:spacing w:after="0" w:line="240" w:lineRule="auto"/>
              <w:jc w:val="center"/>
              <w:rPr>
                <w:rFonts w:ascii="Times New Roman" w:eastAsia="Times New Roman" w:hAnsi="Times New Roman" w:cs="Times New Roman"/>
                <w:color w:val="000000"/>
                <w:kern w:val="0"/>
                <w:highlight w:val="yellow"/>
                <w:lang w:eastAsia="ro-MD"/>
                <w14:ligatures w14:val="none"/>
              </w:rPr>
            </w:pPr>
          </w:p>
        </w:tc>
      </w:tr>
      <w:tr w:rsidR="004174B2" w:rsidRPr="00260C32" w14:paraId="6710D721" w14:textId="77777777" w:rsidTr="00492BA4">
        <w:trPr>
          <w:gridAfter w:val="1"/>
          <w:wAfter w:w="4" w:type="pct"/>
          <w:tblCellSpacing w:w="0" w:type="dxa"/>
        </w:trPr>
        <w:tc>
          <w:tcPr>
            <w:tcW w:w="0" w:type="auto"/>
          </w:tcPr>
          <w:p w14:paraId="49CCB185" w14:textId="4CA11D76" w:rsidR="004174B2" w:rsidRPr="00D8522E"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D8522E">
              <w:rPr>
                <w:rFonts w:ascii="Times New Roman" w:eastAsia="Times New Roman" w:hAnsi="Times New Roman" w:cs="Times New Roman"/>
                <w:color w:val="000000"/>
                <w:kern w:val="0"/>
                <w:lang w:eastAsia="ro-MD"/>
                <w14:ligatures w14:val="none"/>
              </w:rPr>
              <w:t>0090</w:t>
            </w:r>
          </w:p>
        </w:tc>
        <w:tc>
          <w:tcPr>
            <w:tcW w:w="4074" w:type="pct"/>
          </w:tcPr>
          <w:p w14:paraId="1AEBEB8A" w14:textId="22E8A65A" w:rsidR="004174B2" w:rsidRPr="006F30A7" w:rsidRDefault="00205176"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 xml:space="preserve">9. </w:t>
            </w:r>
            <w:r w:rsidR="004174B2" w:rsidRPr="006F30A7">
              <w:rPr>
                <w:rFonts w:ascii="Times New Roman" w:eastAsia="Times New Roman" w:hAnsi="Times New Roman" w:cs="Times New Roman"/>
                <w:b/>
                <w:bCs/>
                <w:color w:val="000000"/>
                <w:kern w:val="0"/>
                <w:lang w:eastAsia="ro-MD"/>
                <w14:ligatures w14:val="none"/>
              </w:rPr>
              <w:t>Rata fondurilor proprii totale luând în considerare TREA fără aplicarea pragului minim</w:t>
            </w:r>
          </w:p>
          <w:p w14:paraId="4CC30DF6" w14:textId="6E7758B4" w:rsidR="00D8522E" w:rsidRPr="006346BC" w:rsidRDefault="00D8522E" w:rsidP="006F30A7">
            <w:pPr>
              <w:spacing w:after="0" w:line="240" w:lineRule="auto"/>
              <w:rPr>
                <w:rFonts w:ascii="Times New Roman" w:eastAsia="Times New Roman" w:hAnsi="Times New Roman" w:cs="Times New Roman"/>
                <w:color w:val="000000"/>
                <w:kern w:val="0"/>
                <w:lang w:eastAsia="ro-MD"/>
                <w14:ligatures w14:val="none"/>
              </w:rPr>
            </w:pPr>
            <w:r w:rsidRPr="006346BC">
              <w:rPr>
                <w:rFonts w:ascii="Times New Roman" w:hAnsi="Times New Roman" w:cs="Times New Roman"/>
              </w:rPr>
              <w:t xml:space="preserve">Rata fondurilor proprii totale, astfel cum este definită </w:t>
            </w:r>
            <w:r w:rsidR="00C02D14" w:rsidRPr="006346BC">
              <w:rPr>
                <w:rFonts w:ascii="Times New Roman" w:eastAsia="Times New Roman" w:hAnsi="Times New Roman" w:cs="Times New Roman"/>
                <w:color w:val="000000"/>
                <w:kern w:val="0"/>
                <w:lang w:eastAsia="ro-MD"/>
                <w14:ligatures w14:val="none"/>
              </w:rPr>
              <w:t xml:space="preserve">punctul 131 subpunctul </w:t>
            </w:r>
            <w:r w:rsidR="003E204A" w:rsidRPr="006346BC">
              <w:rPr>
                <w:rFonts w:ascii="Times New Roman" w:eastAsia="Times New Roman" w:hAnsi="Times New Roman" w:cs="Times New Roman"/>
                <w:color w:val="000000"/>
                <w:kern w:val="0"/>
                <w:lang w:eastAsia="ro-MD"/>
                <w14:ligatures w14:val="none"/>
              </w:rPr>
              <w:t>3</w:t>
            </w:r>
            <w:r w:rsidR="00C02D14" w:rsidRPr="006346BC">
              <w:rPr>
                <w:rFonts w:ascii="Times New Roman" w:eastAsia="Times New Roman" w:hAnsi="Times New Roman" w:cs="Times New Roman"/>
                <w:color w:val="000000"/>
                <w:kern w:val="0"/>
                <w:lang w:eastAsia="ro-MD"/>
                <w14:ligatures w14:val="none"/>
              </w:rPr>
              <w:t>) din Regulamentul nr.109/2018</w:t>
            </w:r>
            <w:r w:rsidRPr="006346BC">
              <w:rPr>
                <w:rFonts w:ascii="Times New Roman" w:hAnsi="Times New Roman" w:cs="Times New Roman"/>
              </w:rPr>
              <w:t>, exprimată ca procent din cuantumul total al expunerii la risc calculat în conformitate cu a</w:t>
            </w:r>
            <w:r w:rsidR="003E204A" w:rsidRPr="006346BC">
              <w:rPr>
                <w:rFonts w:ascii="Times New Roman" w:eastAsia="Times New Roman" w:hAnsi="Times New Roman" w:cs="Times New Roman"/>
                <w:color w:val="000000"/>
                <w:kern w:val="0"/>
                <w:lang w:eastAsia="ro-MD"/>
                <w14:ligatures w14:val="none"/>
              </w:rPr>
              <w:t xml:space="preserve"> punctul 132 din Regulamentul nr.109/2018</w:t>
            </w:r>
            <w:r w:rsidRPr="006346BC">
              <w:rPr>
                <w:rFonts w:ascii="Times New Roman" w:hAnsi="Times New Roman" w:cs="Times New Roman"/>
              </w:rPr>
              <w:t>.</w:t>
            </w:r>
          </w:p>
        </w:tc>
        <w:tc>
          <w:tcPr>
            <w:tcW w:w="532" w:type="pct"/>
          </w:tcPr>
          <w:p w14:paraId="1506C95A" w14:textId="30746647" w:rsidR="004174B2" w:rsidRPr="00913EAD" w:rsidRDefault="004174B2" w:rsidP="006F30A7">
            <w:pPr>
              <w:spacing w:after="0" w:line="240" w:lineRule="auto"/>
              <w:jc w:val="center"/>
              <w:rPr>
                <w:rFonts w:ascii="Times New Roman" w:eastAsia="Times New Roman" w:hAnsi="Times New Roman" w:cs="Times New Roman"/>
                <w:color w:val="000000"/>
                <w:kern w:val="0"/>
                <w:highlight w:val="yellow"/>
                <w:lang w:eastAsia="ro-MD"/>
                <w14:ligatures w14:val="none"/>
              </w:rPr>
            </w:pPr>
          </w:p>
        </w:tc>
      </w:tr>
      <w:tr w:rsidR="004174B2" w:rsidRPr="00260C32" w14:paraId="02207FF7" w14:textId="4067455B" w:rsidTr="004174B2">
        <w:trPr>
          <w:gridAfter w:val="1"/>
          <w:wAfter w:w="4" w:type="pct"/>
          <w:tblCellSpacing w:w="0" w:type="dxa"/>
        </w:trPr>
        <w:tc>
          <w:tcPr>
            <w:tcW w:w="0" w:type="auto"/>
            <w:hideMark/>
          </w:tcPr>
          <w:p w14:paraId="6FBCCD52"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0130</w:t>
            </w:r>
          </w:p>
        </w:tc>
        <w:tc>
          <w:tcPr>
            <w:tcW w:w="4074" w:type="pct"/>
            <w:hideMark/>
          </w:tcPr>
          <w:p w14:paraId="391DC4A4" w14:textId="626FE4E4" w:rsidR="004174B2" w:rsidRPr="006F30A7" w:rsidRDefault="004174B2"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13</w:t>
            </w:r>
            <w:r w:rsidR="00205176" w:rsidRPr="006F30A7">
              <w:rPr>
                <w:rFonts w:ascii="Times New Roman" w:eastAsia="Times New Roman" w:hAnsi="Times New Roman" w:cs="Times New Roman"/>
                <w:b/>
                <w:bCs/>
                <w:color w:val="000000"/>
                <w:kern w:val="0"/>
                <w:lang w:eastAsia="ro-MD"/>
                <w14:ligatures w14:val="none"/>
              </w:rPr>
              <w:t>.</w:t>
            </w:r>
            <w:r w:rsidRPr="006F30A7">
              <w:rPr>
                <w:rFonts w:ascii="Times New Roman" w:eastAsia="Times New Roman" w:hAnsi="Times New Roman" w:cs="Times New Roman"/>
                <w:b/>
                <w:bCs/>
                <w:color w:val="000000"/>
                <w:kern w:val="0"/>
                <w:lang w:eastAsia="ro-MD"/>
                <w14:ligatures w14:val="none"/>
              </w:rPr>
              <w:t> Rata cerinței totale de capital SREP (TSCR)</w:t>
            </w:r>
          </w:p>
          <w:p w14:paraId="460D992D" w14:textId="77777777" w:rsidR="004174B2" w:rsidRPr="00C92EE9"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C92EE9">
              <w:rPr>
                <w:rFonts w:ascii="Times New Roman" w:eastAsia="Times New Roman" w:hAnsi="Times New Roman" w:cs="Times New Roman"/>
                <w:color w:val="000000"/>
                <w:kern w:val="0"/>
                <w:lang w:eastAsia="ro-MD"/>
                <w14:ligatures w14:val="none"/>
              </w:rPr>
              <w:t>Suma dintre (i) și (ii), după cum urmează:</w:t>
            </w:r>
          </w:p>
          <w:tbl>
            <w:tblPr>
              <w:tblW w:w="5000" w:type="pct"/>
              <w:tblCellSpacing w:w="0" w:type="dxa"/>
              <w:tblCellMar>
                <w:left w:w="0" w:type="dxa"/>
                <w:right w:w="0" w:type="dxa"/>
              </w:tblCellMar>
              <w:tblLook w:val="04A0" w:firstRow="1" w:lastRow="0" w:firstColumn="1" w:lastColumn="0" w:noHBand="0" w:noVBand="1"/>
            </w:tblPr>
            <w:tblGrid>
              <w:gridCol w:w="208"/>
              <w:gridCol w:w="7511"/>
            </w:tblGrid>
            <w:tr w:rsidR="004174B2" w:rsidRPr="00C92EE9" w14:paraId="7EF38462" w14:textId="77777777" w:rsidTr="00D442AC">
              <w:trPr>
                <w:tblCellSpacing w:w="0" w:type="dxa"/>
              </w:trPr>
              <w:tc>
                <w:tcPr>
                  <w:tcW w:w="0" w:type="auto"/>
                  <w:hideMark/>
                </w:tcPr>
                <w:p w14:paraId="12BA25C6" w14:textId="77777777" w:rsidR="004174B2" w:rsidRPr="00C92EE9" w:rsidRDefault="004174B2" w:rsidP="006F30A7">
                  <w:pPr>
                    <w:spacing w:after="0" w:line="240" w:lineRule="auto"/>
                    <w:rPr>
                      <w:rFonts w:ascii="Times New Roman" w:eastAsia="Times New Roman" w:hAnsi="Times New Roman" w:cs="Times New Roman"/>
                      <w:kern w:val="0"/>
                      <w:lang w:eastAsia="ro-MD"/>
                      <w14:ligatures w14:val="none"/>
                    </w:rPr>
                  </w:pPr>
                  <w:r w:rsidRPr="00C92EE9">
                    <w:rPr>
                      <w:rFonts w:ascii="Times New Roman" w:eastAsia="Times New Roman" w:hAnsi="Times New Roman" w:cs="Times New Roman"/>
                      <w:kern w:val="0"/>
                      <w:lang w:eastAsia="ro-MD"/>
                      <w14:ligatures w14:val="none"/>
                    </w:rPr>
                    <w:t>(i)</w:t>
                  </w:r>
                </w:p>
              </w:tc>
              <w:tc>
                <w:tcPr>
                  <w:tcW w:w="0" w:type="auto"/>
                  <w:hideMark/>
                </w:tcPr>
                <w:p w14:paraId="0A47C8EB" w14:textId="2979BCB5" w:rsidR="004174B2" w:rsidRPr="00C92EE9" w:rsidRDefault="004174B2" w:rsidP="006F30A7">
                  <w:pPr>
                    <w:spacing w:after="0" w:line="240" w:lineRule="auto"/>
                    <w:rPr>
                      <w:rFonts w:ascii="Times New Roman" w:eastAsia="Times New Roman" w:hAnsi="Times New Roman" w:cs="Times New Roman"/>
                      <w:kern w:val="0"/>
                      <w:lang w:eastAsia="ro-MD"/>
                      <w14:ligatures w14:val="none"/>
                    </w:rPr>
                  </w:pPr>
                  <w:r w:rsidRPr="00C92EE9">
                    <w:rPr>
                      <w:rFonts w:ascii="Times New Roman" w:eastAsia="Times New Roman" w:hAnsi="Times New Roman" w:cs="Times New Roman"/>
                      <w:kern w:val="0"/>
                      <w:lang w:eastAsia="ro-MD"/>
                      <w14:ligatures w14:val="none"/>
                    </w:rPr>
                    <w:t xml:space="preserve">rata fondurilor proprii totale, astfel cum se prevede la </w:t>
                  </w:r>
                  <w:r w:rsidR="001B1BB7" w:rsidRPr="00C92EE9">
                    <w:rPr>
                      <w:rFonts w:ascii="Times New Roman" w:eastAsia="Times New Roman" w:hAnsi="Times New Roman" w:cs="Times New Roman"/>
                      <w:color w:val="000000"/>
                      <w:kern w:val="0"/>
                      <w:lang w:eastAsia="ro-MD"/>
                      <w14:ligatures w14:val="none"/>
                    </w:rPr>
                    <w:t>punctul 130 subpunctul 3) din Regulamentul nr.109/2018</w:t>
                  </w:r>
                  <w:r w:rsidRPr="00C92EE9">
                    <w:rPr>
                      <w:rFonts w:ascii="Times New Roman" w:eastAsia="Times New Roman" w:hAnsi="Times New Roman" w:cs="Times New Roman"/>
                      <w:kern w:val="0"/>
                      <w:lang w:eastAsia="ro-MD"/>
                      <w14:ligatures w14:val="none"/>
                    </w:rPr>
                    <w:t>;</w:t>
                  </w:r>
                </w:p>
              </w:tc>
            </w:tr>
          </w:tbl>
          <w:p w14:paraId="5F2A9976" w14:textId="77777777" w:rsidR="004174B2" w:rsidRPr="00C92EE9" w:rsidRDefault="004174B2" w:rsidP="006F30A7">
            <w:pPr>
              <w:spacing w:after="0" w:line="240" w:lineRule="auto"/>
              <w:rPr>
                <w:rFonts w:ascii="Times New Roman" w:eastAsia="Times New Roman" w:hAnsi="Times New Roman" w:cs="Times New Roman"/>
                <w:vanish/>
                <w:color w:val="000000"/>
                <w:kern w:val="0"/>
                <w:lang w:eastAsia="ro-MD"/>
                <w14:ligatures w14:val="none"/>
              </w:rPr>
            </w:pPr>
          </w:p>
          <w:tbl>
            <w:tblPr>
              <w:tblW w:w="5000" w:type="pct"/>
              <w:tblCellSpacing w:w="0" w:type="dxa"/>
              <w:tblCellMar>
                <w:left w:w="0" w:type="dxa"/>
                <w:right w:w="0" w:type="dxa"/>
              </w:tblCellMar>
              <w:tblLook w:val="04A0" w:firstRow="1" w:lastRow="0" w:firstColumn="1" w:lastColumn="0" w:noHBand="0" w:noVBand="1"/>
            </w:tblPr>
            <w:tblGrid>
              <w:gridCol w:w="269"/>
              <w:gridCol w:w="7450"/>
            </w:tblGrid>
            <w:tr w:rsidR="004174B2" w:rsidRPr="00C92EE9" w14:paraId="53E88C88" w14:textId="77777777" w:rsidTr="00D442AC">
              <w:trPr>
                <w:tblCellSpacing w:w="0" w:type="dxa"/>
              </w:trPr>
              <w:tc>
                <w:tcPr>
                  <w:tcW w:w="0" w:type="auto"/>
                  <w:hideMark/>
                </w:tcPr>
                <w:p w14:paraId="004E396F" w14:textId="77777777" w:rsidR="004174B2" w:rsidRPr="00C92EE9" w:rsidRDefault="004174B2" w:rsidP="006F30A7">
                  <w:pPr>
                    <w:spacing w:after="0" w:line="240" w:lineRule="auto"/>
                    <w:rPr>
                      <w:rFonts w:ascii="Times New Roman" w:eastAsia="Times New Roman" w:hAnsi="Times New Roman" w:cs="Times New Roman"/>
                      <w:kern w:val="0"/>
                      <w:lang w:eastAsia="ro-MD"/>
                      <w14:ligatures w14:val="none"/>
                    </w:rPr>
                  </w:pPr>
                  <w:r w:rsidRPr="00C92EE9">
                    <w:rPr>
                      <w:rFonts w:ascii="Times New Roman" w:eastAsia="Times New Roman" w:hAnsi="Times New Roman" w:cs="Times New Roman"/>
                      <w:kern w:val="0"/>
                      <w:lang w:eastAsia="ro-MD"/>
                      <w14:ligatures w14:val="none"/>
                    </w:rPr>
                    <w:t>(ii)</w:t>
                  </w:r>
                </w:p>
              </w:tc>
              <w:tc>
                <w:tcPr>
                  <w:tcW w:w="0" w:type="auto"/>
                  <w:hideMark/>
                </w:tcPr>
                <w:p w14:paraId="53FE0A93" w14:textId="2826DED0" w:rsidR="004174B2" w:rsidRPr="00C92EE9" w:rsidRDefault="004174B2" w:rsidP="006F30A7">
                  <w:pPr>
                    <w:spacing w:after="0" w:line="240" w:lineRule="auto"/>
                    <w:rPr>
                      <w:rFonts w:ascii="Times New Roman" w:eastAsia="Times New Roman" w:hAnsi="Times New Roman" w:cs="Times New Roman"/>
                      <w:kern w:val="0"/>
                      <w:lang w:eastAsia="ro-MD"/>
                      <w14:ligatures w14:val="none"/>
                    </w:rPr>
                  </w:pPr>
                  <w:r w:rsidRPr="00C92EE9">
                    <w:rPr>
                      <w:rFonts w:ascii="Times New Roman" w:eastAsia="Times New Roman" w:hAnsi="Times New Roman" w:cs="Times New Roman"/>
                      <w:kern w:val="0"/>
                      <w:lang w:eastAsia="ro-MD"/>
                      <w14:ligatures w14:val="none"/>
                    </w:rPr>
                    <w:t>cerințele de fonduri proprii suplimentare (cerințele pilonului 2 – P2R), astfel cum sunt menționate la articolul 1</w:t>
                  </w:r>
                  <w:r w:rsidR="003E204A" w:rsidRPr="00C92EE9">
                    <w:rPr>
                      <w:rFonts w:ascii="Times New Roman" w:eastAsia="Times New Roman" w:hAnsi="Times New Roman" w:cs="Times New Roman"/>
                      <w:kern w:val="0"/>
                      <w:lang w:eastAsia="ro-MD"/>
                      <w14:ligatures w14:val="none"/>
                    </w:rPr>
                    <w:t>39</w:t>
                  </w:r>
                  <w:r w:rsidRPr="00C92EE9">
                    <w:rPr>
                      <w:rFonts w:ascii="Times New Roman" w:eastAsia="Times New Roman" w:hAnsi="Times New Roman" w:cs="Times New Roman"/>
                      <w:kern w:val="0"/>
                      <w:lang w:eastAsia="ro-MD"/>
                      <w14:ligatures w14:val="none"/>
                    </w:rPr>
                    <w:t xml:space="preserve"> alineatul (</w:t>
                  </w:r>
                  <w:r w:rsidR="003E204A" w:rsidRPr="00C92EE9">
                    <w:rPr>
                      <w:rFonts w:ascii="Times New Roman" w:eastAsia="Times New Roman" w:hAnsi="Times New Roman" w:cs="Times New Roman"/>
                      <w:kern w:val="0"/>
                      <w:lang w:eastAsia="ro-MD"/>
                      <w14:ligatures w14:val="none"/>
                    </w:rPr>
                    <w:t>3</w:t>
                  </w:r>
                  <w:r w:rsidRPr="00C92EE9">
                    <w:rPr>
                      <w:rFonts w:ascii="Times New Roman" w:eastAsia="Times New Roman" w:hAnsi="Times New Roman" w:cs="Times New Roman"/>
                      <w:kern w:val="0"/>
                      <w:lang w:eastAsia="ro-MD"/>
                      <w14:ligatures w14:val="none"/>
                    </w:rPr>
                    <w:t xml:space="preserve">) litera (a) din </w:t>
                  </w:r>
                  <w:r w:rsidR="003E204A" w:rsidRPr="00C92EE9">
                    <w:rPr>
                      <w:rFonts w:ascii="Times New Roman" w:eastAsia="Times New Roman" w:hAnsi="Times New Roman" w:cs="Times New Roman"/>
                      <w:kern w:val="0"/>
                      <w:lang w:eastAsia="ro-MD"/>
                      <w14:ligatures w14:val="none"/>
                    </w:rPr>
                    <w:t>Legea nr. 202/2017</w:t>
                  </w:r>
                  <w:r w:rsidRPr="00C92EE9">
                    <w:rPr>
                      <w:rFonts w:ascii="Times New Roman" w:eastAsia="Times New Roman" w:hAnsi="Times New Roman" w:cs="Times New Roman"/>
                      <w:kern w:val="0"/>
                      <w:lang w:eastAsia="ro-MD"/>
                      <w14:ligatures w14:val="none"/>
                    </w:rPr>
                    <w:t>, prezentate ca rată. Acestea sunt stabilite în conformitate cu criteriile specificate în </w:t>
                  </w:r>
                  <w:r w:rsidR="001B1BB7" w:rsidRPr="00C92EE9">
                    <w:rPr>
                      <w:rFonts w:ascii="Times New Roman" w:eastAsia="Times New Roman" w:hAnsi="Times New Roman" w:cs="Times New Roman"/>
                      <w:kern w:val="0"/>
                      <w:lang w:eastAsia="ro-MD"/>
                      <w14:ligatures w14:val="none"/>
                    </w:rPr>
                    <w:t>Metodologia</w:t>
                  </w:r>
                  <w:r w:rsidRPr="00C92EE9">
                    <w:rPr>
                      <w:rFonts w:ascii="Times New Roman" w:eastAsia="Times New Roman" w:hAnsi="Times New Roman" w:cs="Times New Roman"/>
                      <w:kern w:val="0"/>
                      <w:lang w:eastAsia="ro-MD"/>
                      <w14:ligatures w14:val="none"/>
                    </w:rPr>
                    <w:t xml:space="preserve"> de supraveghere și evaluare </w:t>
                  </w:r>
                  <w:r w:rsidR="001B1BB7" w:rsidRPr="00C92EE9">
                    <w:rPr>
                      <w:rFonts w:ascii="Times New Roman" w:eastAsia="Times New Roman" w:hAnsi="Times New Roman" w:cs="Times New Roman"/>
                      <w:kern w:val="0"/>
                      <w:lang w:eastAsia="ro-MD"/>
                      <w14:ligatures w14:val="none"/>
                    </w:rPr>
                    <w:t>a activității băncilor aprobată prin HCE al BNM nr. 63/2019</w:t>
                  </w:r>
                  <w:r w:rsidRPr="00C92EE9">
                    <w:rPr>
                      <w:rFonts w:ascii="Times New Roman" w:eastAsia="Times New Roman" w:hAnsi="Times New Roman" w:cs="Times New Roman"/>
                      <w:kern w:val="0"/>
                      <w:lang w:eastAsia="ro-MD"/>
                      <w14:ligatures w14:val="none"/>
                    </w:rPr>
                    <w:t>.</w:t>
                  </w:r>
                </w:p>
              </w:tc>
            </w:tr>
          </w:tbl>
          <w:p w14:paraId="581552A8" w14:textId="77777777" w:rsidR="00232DE0"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C92EE9">
              <w:rPr>
                <w:rFonts w:ascii="Times New Roman" w:eastAsia="Times New Roman" w:hAnsi="Times New Roman" w:cs="Times New Roman"/>
                <w:color w:val="000000"/>
                <w:kern w:val="0"/>
                <w:lang w:eastAsia="ro-MD"/>
                <w14:ligatures w14:val="none"/>
              </w:rPr>
              <w:t>Acest element trebuie să reflecte rata cerinței totale de capital SREP (TSCR), astfel cum a fost comunicată băncii de către Banca Națională a Moldovei.</w:t>
            </w:r>
          </w:p>
          <w:p w14:paraId="38220515" w14:textId="37A92CDC" w:rsidR="004174B2" w:rsidRPr="00C92EE9"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C92EE9">
              <w:rPr>
                <w:rFonts w:ascii="Times New Roman" w:eastAsia="Times New Roman" w:hAnsi="Times New Roman" w:cs="Times New Roman"/>
                <w:color w:val="000000"/>
                <w:kern w:val="0"/>
                <w:lang w:eastAsia="ro-MD"/>
                <w14:ligatures w14:val="none"/>
              </w:rPr>
              <w:t>În cazul în care Banca Națională a Moldovei</w:t>
            </w:r>
            <w:r w:rsidR="00232DE0">
              <w:rPr>
                <w:rFonts w:ascii="Times New Roman" w:eastAsia="Times New Roman" w:hAnsi="Times New Roman" w:cs="Times New Roman"/>
                <w:color w:val="000000"/>
                <w:kern w:val="0"/>
                <w:lang w:eastAsia="ro-MD"/>
                <w14:ligatures w14:val="none"/>
              </w:rPr>
              <w:t xml:space="preserve"> </w:t>
            </w:r>
            <w:r w:rsidRPr="00C92EE9">
              <w:rPr>
                <w:rFonts w:ascii="Times New Roman" w:eastAsia="Times New Roman" w:hAnsi="Times New Roman" w:cs="Times New Roman"/>
                <w:color w:val="000000"/>
                <w:kern w:val="0"/>
                <w:lang w:eastAsia="ro-MD"/>
                <w14:ligatures w14:val="none"/>
              </w:rPr>
              <w:t>nu a comunicat cerințe de fonduri proprii suplimentare, se raportează numai punctul (i).</w:t>
            </w:r>
          </w:p>
          <w:p w14:paraId="6DCD902A" w14:textId="01D6357F" w:rsidR="00421C8D" w:rsidRPr="00C92EE9" w:rsidRDefault="00421C8D" w:rsidP="006F30A7">
            <w:pPr>
              <w:spacing w:after="0" w:line="240" w:lineRule="auto"/>
              <w:rPr>
                <w:rFonts w:ascii="Times New Roman" w:eastAsia="Times New Roman" w:hAnsi="Times New Roman" w:cs="Times New Roman"/>
                <w:color w:val="000000"/>
                <w:kern w:val="0"/>
                <w:lang w:eastAsia="ro-MD"/>
                <w14:ligatures w14:val="none"/>
              </w:rPr>
            </w:pPr>
            <w:r w:rsidRPr="00C92EE9">
              <w:rPr>
                <w:rFonts w:ascii="Times New Roman" w:hAnsi="Times New Roman" w:cs="Times New Roman"/>
              </w:rPr>
              <w:t xml:space="preserve">Dacă instituția este obligată să respecte pragul minim privind cerințele de capital, datele raportate trebuie să reprezinte TSCR </w:t>
            </w:r>
            <w:r w:rsidRPr="002943BB">
              <w:rPr>
                <w:rFonts w:ascii="Times New Roman" w:hAnsi="Times New Roman" w:cs="Times New Roman"/>
              </w:rPr>
              <w:t xml:space="preserve">necesară pentru a îndeplini cerințele la data de raportare, având în vedere </w:t>
            </w:r>
            <w:r w:rsidRPr="00522686">
              <w:rPr>
                <w:rFonts w:ascii="Times New Roman" w:hAnsi="Times New Roman" w:cs="Times New Roman"/>
              </w:rPr>
              <w:t>dispozițiile articolului 1</w:t>
            </w:r>
            <w:r w:rsidR="00C92EE9" w:rsidRPr="00522686">
              <w:rPr>
                <w:rFonts w:ascii="Times New Roman" w:hAnsi="Times New Roman" w:cs="Times New Roman"/>
              </w:rPr>
              <w:t>39</w:t>
            </w:r>
            <w:r w:rsidR="00C92EE9" w:rsidRPr="00522686">
              <w:rPr>
                <w:rFonts w:ascii="Times New Roman" w:hAnsi="Times New Roman" w:cs="Times New Roman"/>
                <w:vertAlign w:val="superscript"/>
              </w:rPr>
              <w:t>2</w:t>
            </w:r>
            <w:r w:rsidRPr="00522686">
              <w:rPr>
                <w:rFonts w:ascii="Times New Roman" w:hAnsi="Times New Roman" w:cs="Times New Roman"/>
              </w:rPr>
              <w:t xml:space="preserve"> </w:t>
            </w:r>
            <w:r w:rsidR="00C92EE9" w:rsidRPr="00522686">
              <w:rPr>
                <w:rFonts w:ascii="Times New Roman" w:hAnsi="Times New Roman" w:cs="Times New Roman"/>
              </w:rPr>
              <w:t>din Legea nr. 202/</w:t>
            </w:r>
            <w:r w:rsidR="00145FD8" w:rsidRPr="00522686">
              <w:rPr>
                <w:rFonts w:ascii="Times New Roman" w:hAnsi="Times New Roman" w:cs="Times New Roman"/>
              </w:rPr>
              <w:t>2017</w:t>
            </w:r>
            <w:r w:rsidRPr="00522686">
              <w:rPr>
                <w:rFonts w:ascii="Times New Roman" w:hAnsi="Times New Roman" w:cs="Times New Roman"/>
              </w:rPr>
              <w:t>.</w:t>
            </w:r>
          </w:p>
        </w:tc>
        <w:tc>
          <w:tcPr>
            <w:tcW w:w="532" w:type="pct"/>
          </w:tcPr>
          <w:p w14:paraId="54DC8EB9" w14:textId="77777777" w:rsidR="004174B2" w:rsidRPr="00C92EE9"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1DCCFE91" w14:textId="2C5C20CE" w:rsidTr="004174B2">
        <w:trPr>
          <w:gridAfter w:val="1"/>
          <w:wAfter w:w="4" w:type="pct"/>
          <w:tblCellSpacing w:w="0" w:type="dxa"/>
        </w:trPr>
        <w:tc>
          <w:tcPr>
            <w:tcW w:w="0" w:type="auto"/>
            <w:hideMark/>
          </w:tcPr>
          <w:p w14:paraId="33D9DF01"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0140</w:t>
            </w:r>
          </w:p>
        </w:tc>
        <w:tc>
          <w:tcPr>
            <w:tcW w:w="4074" w:type="pct"/>
            <w:hideMark/>
          </w:tcPr>
          <w:p w14:paraId="484CECA7" w14:textId="77777777" w:rsidR="004174B2" w:rsidRPr="006F30A7" w:rsidRDefault="004174B2"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13* TSCR: va consta în fonduri proprii de nivel 1 de bază</w:t>
            </w:r>
          </w:p>
          <w:p w14:paraId="4A1F917E"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Suma dintre (i) și (ii), după cum urmează:</w:t>
            </w:r>
          </w:p>
          <w:tbl>
            <w:tblPr>
              <w:tblW w:w="5000" w:type="pct"/>
              <w:tblCellSpacing w:w="0" w:type="dxa"/>
              <w:tblCellMar>
                <w:left w:w="0" w:type="dxa"/>
                <w:right w:w="0" w:type="dxa"/>
              </w:tblCellMar>
              <w:tblLook w:val="04A0" w:firstRow="1" w:lastRow="0" w:firstColumn="1" w:lastColumn="0" w:noHBand="0" w:noVBand="1"/>
            </w:tblPr>
            <w:tblGrid>
              <w:gridCol w:w="208"/>
              <w:gridCol w:w="7511"/>
            </w:tblGrid>
            <w:tr w:rsidR="004174B2" w:rsidRPr="00260C32" w14:paraId="2D64CC56" w14:textId="77777777" w:rsidTr="00D442AC">
              <w:trPr>
                <w:tblCellSpacing w:w="0" w:type="dxa"/>
              </w:trPr>
              <w:tc>
                <w:tcPr>
                  <w:tcW w:w="0" w:type="auto"/>
                  <w:hideMark/>
                </w:tcPr>
                <w:p w14:paraId="381D6BE9" w14:textId="77777777"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(i)</w:t>
                  </w:r>
                </w:p>
              </w:tc>
              <w:tc>
                <w:tcPr>
                  <w:tcW w:w="0" w:type="auto"/>
                  <w:hideMark/>
                </w:tcPr>
                <w:p w14:paraId="5BC19B04" w14:textId="24326938"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 xml:space="preserve">rata fondurilor proprii de nivel 1 de bază astfel cum se prevede la </w:t>
                  </w:r>
                  <w:r w:rsidR="006B427B" w:rsidRPr="005802BF">
                    <w:rPr>
                      <w:rFonts w:ascii="Times New Roman" w:eastAsia="Times New Roman" w:hAnsi="Times New Roman" w:cs="Times New Roman"/>
                      <w:color w:val="000000"/>
                      <w:kern w:val="0"/>
                      <w:lang w:eastAsia="ro-MD"/>
                      <w14:ligatures w14:val="none"/>
                    </w:rPr>
                    <w:t xml:space="preserve">punctul 130 subpunctul 1) din </w:t>
                  </w:r>
                  <w:r w:rsidR="006B427B">
                    <w:rPr>
                      <w:rFonts w:ascii="Times New Roman" w:eastAsia="Times New Roman" w:hAnsi="Times New Roman" w:cs="Times New Roman"/>
                      <w:color w:val="000000"/>
                      <w:kern w:val="0"/>
                      <w:lang w:eastAsia="ro-MD"/>
                      <w14:ligatures w14:val="none"/>
                    </w:rPr>
                    <w:t>Regulamentul nr.109/2018</w:t>
                  </w:r>
                  <w:r w:rsidRPr="00260C32">
                    <w:rPr>
                      <w:rFonts w:ascii="Times New Roman" w:eastAsia="Times New Roman" w:hAnsi="Times New Roman" w:cs="Times New Roman"/>
                      <w:kern w:val="0"/>
                      <w:lang w:eastAsia="ro-MD"/>
                      <w14:ligatures w14:val="none"/>
                    </w:rPr>
                    <w:t>;</w:t>
                  </w:r>
                </w:p>
              </w:tc>
            </w:tr>
          </w:tbl>
          <w:p w14:paraId="0EFFB797" w14:textId="77777777" w:rsidR="004174B2" w:rsidRPr="00260C32" w:rsidRDefault="004174B2" w:rsidP="006F30A7">
            <w:pPr>
              <w:spacing w:after="0" w:line="240" w:lineRule="auto"/>
              <w:rPr>
                <w:rFonts w:ascii="Times New Roman" w:eastAsia="Times New Roman" w:hAnsi="Times New Roman" w:cs="Times New Roman"/>
                <w:vanish/>
                <w:color w:val="000000"/>
                <w:kern w:val="0"/>
                <w:lang w:eastAsia="ro-MD"/>
                <w14:ligatures w14:val="none"/>
              </w:rPr>
            </w:pPr>
          </w:p>
          <w:tbl>
            <w:tblPr>
              <w:tblW w:w="5000" w:type="pct"/>
              <w:tblCellSpacing w:w="0" w:type="dxa"/>
              <w:tblCellMar>
                <w:left w:w="0" w:type="dxa"/>
                <w:right w:w="0" w:type="dxa"/>
              </w:tblCellMar>
              <w:tblLook w:val="04A0" w:firstRow="1" w:lastRow="0" w:firstColumn="1" w:lastColumn="0" w:noHBand="0" w:noVBand="1"/>
            </w:tblPr>
            <w:tblGrid>
              <w:gridCol w:w="269"/>
              <w:gridCol w:w="7450"/>
            </w:tblGrid>
            <w:tr w:rsidR="004174B2" w:rsidRPr="00260C32" w14:paraId="28D3D661" w14:textId="77777777" w:rsidTr="00D442AC">
              <w:trPr>
                <w:tblCellSpacing w:w="0" w:type="dxa"/>
              </w:trPr>
              <w:tc>
                <w:tcPr>
                  <w:tcW w:w="0" w:type="auto"/>
                  <w:hideMark/>
                </w:tcPr>
                <w:p w14:paraId="0332E61D" w14:textId="77777777"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(ii)</w:t>
                  </w:r>
                </w:p>
              </w:tc>
              <w:tc>
                <w:tcPr>
                  <w:tcW w:w="0" w:type="auto"/>
                  <w:hideMark/>
                </w:tcPr>
                <w:p w14:paraId="52B29A3C" w14:textId="3007A405"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 xml:space="preserve">partea din rata P2R, menționată la punctul (ii) de pe rândul 0130, în privința căreia </w:t>
                  </w:r>
                  <w:r>
                    <w:rPr>
                      <w:rFonts w:ascii="Times New Roman" w:eastAsia="Times New Roman" w:hAnsi="Times New Roman" w:cs="Times New Roman"/>
                      <w:color w:val="000000"/>
                      <w:kern w:val="0"/>
                      <w:lang w:eastAsia="ro-MD"/>
                      <w14:ligatures w14:val="none"/>
                    </w:rPr>
                    <w:t>Banca Națională a Moldovei</w:t>
                  </w:r>
                  <w:r w:rsidRPr="00260C32">
                    <w:rPr>
                      <w:rFonts w:ascii="Times New Roman" w:eastAsia="Times New Roman" w:hAnsi="Times New Roman" w:cs="Times New Roman"/>
                      <w:kern w:val="0"/>
                      <w:lang w:eastAsia="ro-MD"/>
                      <w14:ligatures w14:val="none"/>
                    </w:rPr>
                    <w:t xml:space="preserve"> impune să fie deținută sub formă de fonduri proprii de nivel 1 de bază.</w:t>
                  </w:r>
                </w:p>
              </w:tc>
            </w:tr>
          </w:tbl>
          <w:p w14:paraId="55D53D84" w14:textId="58706001" w:rsidR="004174B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În cazul în care </w:t>
            </w:r>
            <w:r>
              <w:rPr>
                <w:rFonts w:ascii="Times New Roman" w:eastAsia="Times New Roman" w:hAnsi="Times New Roman" w:cs="Times New Roman"/>
                <w:color w:val="000000"/>
                <w:kern w:val="0"/>
                <w:lang w:eastAsia="ro-MD"/>
                <w14:ligatures w14:val="none"/>
              </w:rPr>
              <w:t>Banca Națională a Moldovei</w:t>
            </w:r>
            <w:r w:rsidR="00232DE0">
              <w:rPr>
                <w:rFonts w:ascii="Times New Roman" w:eastAsia="Times New Roman" w:hAnsi="Times New Roman" w:cs="Times New Roman"/>
                <w:color w:val="000000"/>
                <w:kern w:val="0"/>
                <w:lang w:eastAsia="ro-MD"/>
                <w14:ligatures w14:val="none"/>
              </w:rPr>
              <w:t xml:space="preserve"> </w:t>
            </w:r>
            <w:r w:rsidRPr="00260C32">
              <w:rPr>
                <w:rFonts w:ascii="Times New Roman" w:eastAsia="Times New Roman" w:hAnsi="Times New Roman" w:cs="Times New Roman"/>
                <w:color w:val="000000"/>
                <w:kern w:val="0"/>
                <w:lang w:eastAsia="ro-MD"/>
                <w14:ligatures w14:val="none"/>
              </w:rPr>
              <w:t>nu a comunicat cerințe de fonduri proprii suplimentare care trebuie deținute sub formă de fonduri proprii de nivel 1 de bază, se raportează numai punctul (i).</w:t>
            </w:r>
          </w:p>
          <w:p w14:paraId="61D404E7" w14:textId="17D64330" w:rsidR="007C2026" w:rsidRPr="00E46078" w:rsidRDefault="007C2026" w:rsidP="00A84D2B">
            <w:pPr>
              <w:pStyle w:val="InstructionsText"/>
            </w:pPr>
            <w:r w:rsidRPr="00E46078">
              <w:t xml:space="preserve">Dacă instituția este obligată să respecte pragul minim privind cerințele de capital, datele raportate trebuie să reprezinte TSCR necesară pentru a îndeplini cerințele la data de raportare, având în vedere </w:t>
            </w:r>
            <w:r w:rsidRPr="00522686">
              <w:t xml:space="preserve">dispozițiile articolului </w:t>
            </w:r>
            <w:r w:rsidR="002943BB" w:rsidRPr="00522686">
              <w:t>139</w:t>
            </w:r>
            <w:r w:rsidR="002943BB" w:rsidRPr="00522686">
              <w:rPr>
                <w:vertAlign w:val="superscript"/>
              </w:rPr>
              <w:t>2</w:t>
            </w:r>
            <w:r w:rsidR="002943BB" w:rsidRPr="00522686">
              <w:t xml:space="preserve"> din Legea nr. 202/2017</w:t>
            </w:r>
            <w:r w:rsidRPr="00522686">
              <w:t>.</w:t>
            </w:r>
          </w:p>
        </w:tc>
        <w:tc>
          <w:tcPr>
            <w:tcW w:w="532" w:type="pct"/>
          </w:tcPr>
          <w:p w14:paraId="65635141" w14:textId="77777777"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33787499" w14:textId="2E312353" w:rsidTr="004174B2">
        <w:trPr>
          <w:gridAfter w:val="1"/>
          <w:wAfter w:w="4" w:type="pct"/>
          <w:tblCellSpacing w:w="0" w:type="dxa"/>
        </w:trPr>
        <w:tc>
          <w:tcPr>
            <w:tcW w:w="0" w:type="auto"/>
            <w:hideMark/>
          </w:tcPr>
          <w:p w14:paraId="5C4EC2B0"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0150</w:t>
            </w:r>
          </w:p>
        </w:tc>
        <w:tc>
          <w:tcPr>
            <w:tcW w:w="4074" w:type="pct"/>
            <w:hideMark/>
          </w:tcPr>
          <w:p w14:paraId="548FB4C0" w14:textId="77777777" w:rsidR="004174B2" w:rsidRPr="006F30A7" w:rsidRDefault="004174B2"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13** TSCR: va consta în fonduri proprii de nivel 1</w:t>
            </w:r>
          </w:p>
          <w:p w14:paraId="28160949" w14:textId="77777777" w:rsidR="004174B2" w:rsidRPr="002943BB"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943BB">
              <w:rPr>
                <w:rFonts w:ascii="Times New Roman" w:eastAsia="Times New Roman" w:hAnsi="Times New Roman" w:cs="Times New Roman"/>
                <w:color w:val="000000"/>
                <w:kern w:val="0"/>
                <w:lang w:eastAsia="ro-MD"/>
                <w14:ligatures w14:val="none"/>
              </w:rPr>
              <w:t>Suma dintre (i) și (ii), după cum urmează:</w:t>
            </w:r>
          </w:p>
          <w:tbl>
            <w:tblPr>
              <w:tblW w:w="5000" w:type="pct"/>
              <w:tblCellSpacing w:w="0" w:type="dxa"/>
              <w:tblCellMar>
                <w:left w:w="0" w:type="dxa"/>
                <w:right w:w="0" w:type="dxa"/>
              </w:tblCellMar>
              <w:tblLook w:val="04A0" w:firstRow="1" w:lastRow="0" w:firstColumn="1" w:lastColumn="0" w:noHBand="0" w:noVBand="1"/>
            </w:tblPr>
            <w:tblGrid>
              <w:gridCol w:w="208"/>
              <w:gridCol w:w="7511"/>
            </w:tblGrid>
            <w:tr w:rsidR="004174B2" w:rsidRPr="002943BB" w14:paraId="55861509" w14:textId="77777777" w:rsidTr="00D442AC">
              <w:trPr>
                <w:tblCellSpacing w:w="0" w:type="dxa"/>
              </w:trPr>
              <w:tc>
                <w:tcPr>
                  <w:tcW w:w="0" w:type="auto"/>
                  <w:hideMark/>
                </w:tcPr>
                <w:p w14:paraId="706EFFB2" w14:textId="77777777" w:rsidR="004174B2" w:rsidRPr="002943BB" w:rsidRDefault="004174B2" w:rsidP="006F30A7">
                  <w:pPr>
                    <w:spacing w:after="0" w:line="240" w:lineRule="auto"/>
                    <w:rPr>
                      <w:rFonts w:ascii="Times New Roman" w:eastAsia="Times New Roman" w:hAnsi="Times New Roman" w:cs="Times New Roman"/>
                      <w:kern w:val="0"/>
                      <w:lang w:eastAsia="ro-MD"/>
                      <w14:ligatures w14:val="none"/>
                    </w:rPr>
                  </w:pPr>
                  <w:r w:rsidRPr="002943BB">
                    <w:rPr>
                      <w:rFonts w:ascii="Times New Roman" w:eastAsia="Times New Roman" w:hAnsi="Times New Roman" w:cs="Times New Roman"/>
                      <w:kern w:val="0"/>
                      <w:lang w:eastAsia="ro-MD"/>
                      <w14:ligatures w14:val="none"/>
                    </w:rPr>
                    <w:t>(i)</w:t>
                  </w:r>
                </w:p>
              </w:tc>
              <w:tc>
                <w:tcPr>
                  <w:tcW w:w="0" w:type="auto"/>
                  <w:hideMark/>
                </w:tcPr>
                <w:p w14:paraId="6D54491F" w14:textId="5AD5EADD" w:rsidR="004174B2" w:rsidRPr="002943BB" w:rsidRDefault="004174B2" w:rsidP="006F30A7">
                  <w:pPr>
                    <w:spacing w:after="0" w:line="240" w:lineRule="auto"/>
                    <w:rPr>
                      <w:rFonts w:ascii="Times New Roman" w:eastAsia="Times New Roman" w:hAnsi="Times New Roman" w:cs="Times New Roman"/>
                      <w:kern w:val="0"/>
                      <w:lang w:eastAsia="ro-MD"/>
                      <w14:ligatures w14:val="none"/>
                    </w:rPr>
                  </w:pPr>
                  <w:r w:rsidRPr="002943BB">
                    <w:rPr>
                      <w:rFonts w:ascii="Times New Roman" w:eastAsia="Times New Roman" w:hAnsi="Times New Roman" w:cs="Times New Roman"/>
                      <w:kern w:val="0"/>
                      <w:lang w:eastAsia="ro-MD"/>
                      <w14:ligatures w14:val="none"/>
                    </w:rPr>
                    <w:t xml:space="preserve">rata fondurilor proprii de nivel 1, astfel cum se prevede la </w:t>
                  </w:r>
                  <w:r w:rsidR="00E95D5D" w:rsidRPr="002943BB">
                    <w:rPr>
                      <w:rFonts w:ascii="Times New Roman" w:eastAsia="Times New Roman" w:hAnsi="Times New Roman" w:cs="Times New Roman"/>
                      <w:color w:val="000000"/>
                      <w:kern w:val="0"/>
                      <w:lang w:eastAsia="ro-MD"/>
                      <w14:ligatures w14:val="none"/>
                    </w:rPr>
                    <w:t>punctul 130 subpunctul 2) din Regulamentul nr.109/2018</w:t>
                  </w:r>
                  <w:r w:rsidRPr="002943BB">
                    <w:rPr>
                      <w:rFonts w:ascii="Times New Roman" w:eastAsia="Times New Roman" w:hAnsi="Times New Roman" w:cs="Times New Roman"/>
                      <w:kern w:val="0"/>
                      <w:lang w:eastAsia="ro-MD"/>
                      <w14:ligatures w14:val="none"/>
                    </w:rPr>
                    <w:t>;</w:t>
                  </w:r>
                </w:p>
              </w:tc>
            </w:tr>
          </w:tbl>
          <w:p w14:paraId="13E1CDF8" w14:textId="77777777" w:rsidR="004174B2" w:rsidRPr="002943BB" w:rsidRDefault="004174B2" w:rsidP="006F30A7">
            <w:pPr>
              <w:spacing w:after="0" w:line="240" w:lineRule="auto"/>
              <w:rPr>
                <w:rFonts w:ascii="Times New Roman" w:eastAsia="Times New Roman" w:hAnsi="Times New Roman" w:cs="Times New Roman"/>
                <w:vanish/>
                <w:color w:val="000000"/>
                <w:kern w:val="0"/>
                <w:lang w:eastAsia="ro-MD"/>
                <w14:ligatures w14:val="none"/>
              </w:rPr>
            </w:pPr>
          </w:p>
          <w:tbl>
            <w:tblPr>
              <w:tblW w:w="5000" w:type="pct"/>
              <w:tblCellSpacing w:w="0" w:type="dxa"/>
              <w:tblCellMar>
                <w:left w:w="0" w:type="dxa"/>
                <w:right w:w="0" w:type="dxa"/>
              </w:tblCellMar>
              <w:tblLook w:val="04A0" w:firstRow="1" w:lastRow="0" w:firstColumn="1" w:lastColumn="0" w:noHBand="0" w:noVBand="1"/>
            </w:tblPr>
            <w:tblGrid>
              <w:gridCol w:w="269"/>
              <w:gridCol w:w="7450"/>
            </w:tblGrid>
            <w:tr w:rsidR="004174B2" w:rsidRPr="002943BB" w14:paraId="3BEE8F85" w14:textId="77777777" w:rsidTr="00D442AC">
              <w:trPr>
                <w:tblCellSpacing w:w="0" w:type="dxa"/>
              </w:trPr>
              <w:tc>
                <w:tcPr>
                  <w:tcW w:w="0" w:type="auto"/>
                  <w:hideMark/>
                </w:tcPr>
                <w:p w14:paraId="58A75272" w14:textId="77777777" w:rsidR="004174B2" w:rsidRPr="002943BB" w:rsidRDefault="004174B2" w:rsidP="006F30A7">
                  <w:pPr>
                    <w:spacing w:after="0" w:line="240" w:lineRule="auto"/>
                    <w:rPr>
                      <w:rFonts w:ascii="Times New Roman" w:eastAsia="Times New Roman" w:hAnsi="Times New Roman" w:cs="Times New Roman"/>
                      <w:kern w:val="0"/>
                      <w:lang w:eastAsia="ro-MD"/>
                      <w14:ligatures w14:val="none"/>
                    </w:rPr>
                  </w:pPr>
                  <w:r w:rsidRPr="002943BB">
                    <w:rPr>
                      <w:rFonts w:ascii="Times New Roman" w:eastAsia="Times New Roman" w:hAnsi="Times New Roman" w:cs="Times New Roman"/>
                      <w:kern w:val="0"/>
                      <w:lang w:eastAsia="ro-MD"/>
                      <w14:ligatures w14:val="none"/>
                    </w:rPr>
                    <w:lastRenderedPageBreak/>
                    <w:t>(ii)</w:t>
                  </w:r>
                </w:p>
              </w:tc>
              <w:tc>
                <w:tcPr>
                  <w:tcW w:w="0" w:type="auto"/>
                  <w:hideMark/>
                </w:tcPr>
                <w:p w14:paraId="2612D7D3" w14:textId="126F08CD" w:rsidR="004174B2" w:rsidRPr="002943BB" w:rsidRDefault="004174B2" w:rsidP="006F30A7">
                  <w:pPr>
                    <w:spacing w:after="0" w:line="240" w:lineRule="auto"/>
                    <w:rPr>
                      <w:rFonts w:ascii="Times New Roman" w:eastAsia="Times New Roman" w:hAnsi="Times New Roman" w:cs="Times New Roman"/>
                      <w:kern w:val="0"/>
                      <w:lang w:eastAsia="ro-MD"/>
                      <w14:ligatures w14:val="none"/>
                    </w:rPr>
                  </w:pPr>
                  <w:r w:rsidRPr="002943BB">
                    <w:rPr>
                      <w:rFonts w:ascii="Times New Roman" w:eastAsia="Times New Roman" w:hAnsi="Times New Roman" w:cs="Times New Roman"/>
                      <w:kern w:val="0"/>
                      <w:lang w:eastAsia="ro-MD"/>
                      <w14:ligatures w14:val="none"/>
                    </w:rPr>
                    <w:t xml:space="preserve">partea din rata P2R, menționată la punctul (ii) de pe rândul 0130, în privința căreia </w:t>
                  </w:r>
                  <w:r w:rsidRPr="002943BB">
                    <w:rPr>
                      <w:rFonts w:ascii="Times New Roman" w:eastAsia="Times New Roman" w:hAnsi="Times New Roman" w:cs="Times New Roman"/>
                      <w:color w:val="000000"/>
                      <w:kern w:val="0"/>
                      <w:lang w:eastAsia="ro-MD"/>
                      <w14:ligatures w14:val="none"/>
                    </w:rPr>
                    <w:t>Banca Națională a Moldovei</w:t>
                  </w:r>
                  <w:r w:rsidRPr="002943BB">
                    <w:rPr>
                      <w:rFonts w:ascii="Times New Roman" w:eastAsia="Times New Roman" w:hAnsi="Times New Roman" w:cs="Times New Roman"/>
                      <w:kern w:val="0"/>
                      <w:lang w:eastAsia="ro-MD"/>
                      <w14:ligatures w14:val="none"/>
                    </w:rPr>
                    <w:t xml:space="preserve"> impune să fie deținută sub formă de fonduri proprii de nivel 1.</w:t>
                  </w:r>
                </w:p>
              </w:tc>
            </w:tr>
          </w:tbl>
          <w:p w14:paraId="13D92533" w14:textId="479A9DB2" w:rsidR="004174B2" w:rsidRPr="002943BB"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943BB">
              <w:rPr>
                <w:rFonts w:ascii="Times New Roman" w:eastAsia="Times New Roman" w:hAnsi="Times New Roman" w:cs="Times New Roman"/>
                <w:color w:val="000000"/>
                <w:kern w:val="0"/>
                <w:lang w:eastAsia="ro-MD"/>
                <w14:ligatures w14:val="none"/>
              </w:rPr>
              <w:t>În cazul în care Banca Națională a Moldovei</w:t>
            </w:r>
            <w:r w:rsidR="00232DE0">
              <w:rPr>
                <w:rFonts w:ascii="Times New Roman" w:eastAsia="Times New Roman" w:hAnsi="Times New Roman" w:cs="Times New Roman"/>
                <w:color w:val="000000"/>
                <w:kern w:val="0"/>
                <w:lang w:eastAsia="ro-MD"/>
                <w14:ligatures w14:val="none"/>
              </w:rPr>
              <w:t xml:space="preserve"> </w:t>
            </w:r>
            <w:r w:rsidRPr="002943BB">
              <w:rPr>
                <w:rFonts w:ascii="Times New Roman" w:eastAsia="Times New Roman" w:hAnsi="Times New Roman" w:cs="Times New Roman"/>
                <w:color w:val="000000"/>
                <w:kern w:val="0"/>
                <w:lang w:eastAsia="ro-MD"/>
                <w14:ligatures w14:val="none"/>
              </w:rPr>
              <w:t>nu a comunicat cerințe de fonduri proprii suplimentare care trebuie deținute sub formă de fonduri proprii de nivel 1, se raportează numai punctul (i).</w:t>
            </w:r>
          </w:p>
          <w:p w14:paraId="4A04C14D" w14:textId="249D3F07" w:rsidR="00FD583F" w:rsidRPr="002943BB" w:rsidRDefault="00FD583F" w:rsidP="006F30A7">
            <w:pPr>
              <w:spacing w:after="0" w:line="240" w:lineRule="auto"/>
              <w:rPr>
                <w:rFonts w:ascii="Times New Roman" w:eastAsia="Times New Roman" w:hAnsi="Times New Roman" w:cs="Times New Roman"/>
                <w:color w:val="000000"/>
                <w:kern w:val="0"/>
                <w:lang w:eastAsia="ro-MD"/>
                <w14:ligatures w14:val="none"/>
              </w:rPr>
            </w:pPr>
            <w:r w:rsidRPr="002943BB">
              <w:rPr>
                <w:rFonts w:ascii="Times New Roman" w:hAnsi="Times New Roman" w:cs="Times New Roman"/>
              </w:rPr>
              <w:t xml:space="preserve">Dacă instituția este obligată să respecte pragul minim privind cerințele de capital, datele raportate trebuie să reprezinte TSCR necesară pentru a îndeplini cerințele la data de raportare, având în vedere </w:t>
            </w:r>
            <w:r w:rsidRPr="00522686">
              <w:rPr>
                <w:rFonts w:ascii="Times New Roman" w:hAnsi="Times New Roman" w:cs="Times New Roman"/>
              </w:rPr>
              <w:t xml:space="preserve">dispozițiile </w:t>
            </w:r>
            <w:r w:rsidR="002943BB" w:rsidRPr="00522686">
              <w:rPr>
                <w:rFonts w:ascii="Times New Roman" w:hAnsi="Times New Roman" w:cs="Times New Roman"/>
              </w:rPr>
              <w:t>articolului 139</w:t>
            </w:r>
            <w:r w:rsidR="002943BB" w:rsidRPr="00522686">
              <w:rPr>
                <w:rFonts w:ascii="Times New Roman" w:hAnsi="Times New Roman" w:cs="Times New Roman"/>
                <w:vertAlign w:val="superscript"/>
              </w:rPr>
              <w:t>2</w:t>
            </w:r>
            <w:r w:rsidR="002943BB" w:rsidRPr="00522686">
              <w:rPr>
                <w:rFonts w:ascii="Times New Roman" w:hAnsi="Times New Roman" w:cs="Times New Roman"/>
              </w:rPr>
              <w:t xml:space="preserve"> lit. a) din Legea nr. 202/2017</w:t>
            </w:r>
            <w:r w:rsidRPr="00522686">
              <w:rPr>
                <w:rFonts w:ascii="Times New Roman" w:hAnsi="Times New Roman" w:cs="Times New Roman"/>
              </w:rPr>
              <w:t>.</w:t>
            </w:r>
          </w:p>
        </w:tc>
        <w:tc>
          <w:tcPr>
            <w:tcW w:w="532" w:type="pct"/>
          </w:tcPr>
          <w:p w14:paraId="2E24F288" w14:textId="77777777"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40A8D829" w14:textId="77777777" w:rsidTr="00492BA4">
        <w:trPr>
          <w:gridAfter w:val="1"/>
          <w:wAfter w:w="4" w:type="pct"/>
          <w:tblCellSpacing w:w="0" w:type="dxa"/>
        </w:trPr>
        <w:tc>
          <w:tcPr>
            <w:tcW w:w="0" w:type="auto"/>
          </w:tcPr>
          <w:p w14:paraId="0CABDE36" w14:textId="4EB77610"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0151</w:t>
            </w:r>
          </w:p>
        </w:tc>
        <w:tc>
          <w:tcPr>
            <w:tcW w:w="4074" w:type="pct"/>
          </w:tcPr>
          <w:p w14:paraId="0D6D2CF4" w14:textId="11667C5B" w:rsidR="004174B2" w:rsidRPr="006F30A7" w:rsidRDefault="00205176"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 xml:space="preserve">13a  </w:t>
            </w:r>
            <w:r w:rsidR="004174B2" w:rsidRPr="006F30A7">
              <w:rPr>
                <w:rFonts w:ascii="Times New Roman" w:eastAsia="Times New Roman" w:hAnsi="Times New Roman" w:cs="Times New Roman"/>
                <w:b/>
                <w:bCs/>
                <w:color w:val="000000"/>
                <w:kern w:val="0"/>
                <w:lang w:eastAsia="ro-MD"/>
                <w14:ligatures w14:val="none"/>
              </w:rPr>
              <w:t xml:space="preserve">Rata cerinței totale de capital SREP (TSCR) fără plafonul vizat la articolul </w:t>
            </w:r>
            <w:r w:rsidR="002943BB" w:rsidRPr="006F30A7">
              <w:rPr>
                <w:rFonts w:ascii="Times New Roman" w:hAnsi="Times New Roman" w:cs="Times New Roman"/>
                <w:b/>
                <w:bCs/>
              </w:rPr>
              <w:t>139</w:t>
            </w:r>
            <w:r w:rsidR="002943BB" w:rsidRPr="006F30A7">
              <w:rPr>
                <w:rFonts w:ascii="Times New Roman" w:hAnsi="Times New Roman" w:cs="Times New Roman"/>
                <w:b/>
                <w:bCs/>
                <w:vertAlign w:val="superscript"/>
              </w:rPr>
              <w:t>2</w:t>
            </w:r>
            <w:r w:rsidR="002943BB" w:rsidRPr="006F30A7">
              <w:rPr>
                <w:rFonts w:ascii="Times New Roman" w:hAnsi="Times New Roman" w:cs="Times New Roman"/>
                <w:b/>
                <w:bCs/>
              </w:rPr>
              <w:t xml:space="preserve"> din Legea nr. 202/2017</w:t>
            </w:r>
          </w:p>
          <w:p w14:paraId="3E58E349" w14:textId="131150F8" w:rsidR="00D8522E" w:rsidRPr="00232DE0" w:rsidRDefault="00D8522E" w:rsidP="00A84D2B">
            <w:pPr>
              <w:pStyle w:val="InstructionsText"/>
            </w:pPr>
            <w:r w:rsidRPr="00232DE0">
              <w:t xml:space="preserve">Articolul </w:t>
            </w:r>
            <w:r w:rsidR="002943BB" w:rsidRPr="002943BB">
              <w:t>139</w:t>
            </w:r>
            <w:r w:rsidR="002943BB" w:rsidRPr="00232DE0">
              <w:rPr>
                <w:vertAlign w:val="superscript"/>
              </w:rPr>
              <w:t>2</w:t>
            </w:r>
            <w:r w:rsidR="002943BB" w:rsidRPr="002943BB">
              <w:t xml:space="preserve"> lit. a) din Legea nr. 202/2017</w:t>
            </w:r>
            <w:r w:rsidRPr="00232DE0">
              <w:t>.</w:t>
            </w:r>
          </w:p>
          <w:p w14:paraId="38788733" w14:textId="1013D286" w:rsidR="00D8522E" w:rsidRPr="002943BB" w:rsidRDefault="00D8522E" w:rsidP="006F30A7">
            <w:pPr>
              <w:spacing w:after="0" w:line="240" w:lineRule="auto"/>
              <w:rPr>
                <w:rFonts w:ascii="Times New Roman" w:eastAsia="Times New Roman" w:hAnsi="Times New Roman" w:cs="Times New Roman"/>
                <w:color w:val="000000"/>
                <w:kern w:val="0"/>
                <w:lang w:eastAsia="ro-MD"/>
                <w14:ligatures w14:val="none"/>
              </w:rPr>
            </w:pPr>
            <w:r w:rsidRPr="00232DE0">
              <w:rPr>
                <w:rFonts w:ascii="Times New Roman" w:hAnsi="Times New Roman" w:cs="Times New Roman"/>
              </w:rPr>
              <w:t xml:space="preserve">În cazul instituțiilor obligate să respecte pragul minim privind cerințele de capital, rata TSCR fără plafonul temporar stabilit la articolul </w:t>
            </w:r>
            <w:r w:rsidR="002943BB" w:rsidRPr="00232DE0">
              <w:rPr>
                <w:rFonts w:ascii="Times New Roman" w:hAnsi="Times New Roman" w:cs="Times New Roman"/>
              </w:rPr>
              <w:t>139</w:t>
            </w:r>
            <w:r w:rsidR="002943BB" w:rsidRPr="00232DE0">
              <w:rPr>
                <w:rFonts w:ascii="Times New Roman" w:hAnsi="Times New Roman" w:cs="Times New Roman"/>
                <w:vertAlign w:val="superscript"/>
              </w:rPr>
              <w:t>2</w:t>
            </w:r>
            <w:r w:rsidR="002943BB" w:rsidRPr="00232DE0">
              <w:rPr>
                <w:rFonts w:ascii="Times New Roman" w:hAnsi="Times New Roman" w:cs="Times New Roman"/>
              </w:rPr>
              <w:t xml:space="preserve"> </w:t>
            </w:r>
            <w:r w:rsidR="002943BB" w:rsidRPr="002943BB">
              <w:rPr>
                <w:rFonts w:ascii="Times New Roman" w:hAnsi="Times New Roman" w:cs="Times New Roman"/>
              </w:rPr>
              <w:t xml:space="preserve">lit. b) </w:t>
            </w:r>
            <w:r w:rsidR="002943BB" w:rsidRPr="00232DE0">
              <w:rPr>
                <w:rFonts w:ascii="Times New Roman" w:hAnsi="Times New Roman" w:cs="Times New Roman"/>
              </w:rPr>
              <w:t>din Legea nr. 202/2017</w:t>
            </w:r>
            <w:r w:rsidRPr="00232DE0">
              <w:rPr>
                <w:rFonts w:ascii="Times New Roman" w:hAnsi="Times New Roman" w:cs="Times New Roman"/>
              </w:rPr>
              <w:t>.</w:t>
            </w:r>
          </w:p>
        </w:tc>
        <w:tc>
          <w:tcPr>
            <w:tcW w:w="532" w:type="pct"/>
          </w:tcPr>
          <w:p w14:paraId="730A0567" w14:textId="410D7BE6" w:rsidR="004174B2" w:rsidRPr="00232DE0"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6527C8CA" w14:textId="77777777" w:rsidTr="00492BA4">
        <w:trPr>
          <w:gridAfter w:val="1"/>
          <w:wAfter w:w="4" w:type="pct"/>
          <w:tblCellSpacing w:w="0" w:type="dxa"/>
        </w:trPr>
        <w:tc>
          <w:tcPr>
            <w:tcW w:w="0" w:type="auto"/>
          </w:tcPr>
          <w:p w14:paraId="2A9C6647" w14:textId="093CC61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0152</w:t>
            </w:r>
          </w:p>
        </w:tc>
        <w:tc>
          <w:tcPr>
            <w:tcW w:w="4074" w:type="pct"/>
          </w:tcPr>
          <w:p w14:paraId="64E52256" w14:textId="03942664" w:rsidR="004174B2" w:rsidRPr="006F30A7" w:rsidRDefault="00205176"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 xml:space="preserve">13a* </w:t>
            </w:r>
            <w:r w:rsidR="004174B2" w:rsidRPr="006F30A7">
              <w:rPr>
                <w:rFonts w:ascii="Times New Roman" w:eastAsia="Times New Roman" w:hAnsi="Times New Roman" w:cs="Times New Roman"/>
                <w:b/>
                <w:bCs/>
                <w:color w:val="000000"/>
                <w:kern w:val="0"/>
                <w:lang w:eastAsia="ro-MD"/>
                <w14:ligatures w14:val="none"/>
              </w:rPr>
              <w:t>TSCR: vor consta în fonduri proprii de nivel 1 de bază</w:t>
            </w:r>
          </w:p>
          <w:p w14:paraId="0A382DDD" w14:textId="77777777" w:rsidR="002943BB" w:rsidRPr="00232DE0" w:rsidRDefault="002943BB" w:rsidP="00A84D2B">
            <w:pPr>
              <w:pStyle w:val="InstructionsText"/>
            </w:pPr>
            <w:r w:rsidRPr="00232DE0">
              <w:t xml:space="preserve">Articolul </w:t>
            </w:r>
            <w:r w:rsidRPr="002943BB">
              <w:t>139</w:t>
            </w:r>
            <w:r w:rsidRPr="00232DE0">
              <w:rPr>
                <w:vertAlign w:val="superscript"/>
              </w:rPr>
              <w:t>2</w:t>
            </w:r>
            <w:r w:rsidRPr="002943BB">
              <w:t xml:space="preserve"> lit. a) din Legea nr. 202/2017</w:t>
            </w:r>
            <w:r w:rsidRPr="00232DE0">
              <w:t>.</w:t>
            </w:r>
          </w:p>
          <w:p w14:paraId="4D0C7A2C" w14:textId="7C3CD2A5" w:rsidR="00D8522E" w:rsidRPr="002943BB" w:rsidRDefault="00D8522E" w:rsidP="006F30A7">
            <w:pPr>
              <w:spacing w:after="0" w:line="240" w:lineRule="auto"/>
              <w:rPr>
                <w:rFonts w:ascii="Times New Roman" w:eastAsia="Times New Roman" w:hAnsi="Times New Roman" w:cs="Times New Roman"/>
                <w:color w:val="000000"/>
                <w:kern w:val="0"/>
                <w:lang w:eastAsia="ro-MD"/>
                <w14:ligatures w14:val="none"/>
              </w:rPr>
            </w:pPr>
            <w:r w:rsidRPr="00232DE0">
              <w:rPr>
                <w:rFonts w:ascii="Times New Roman" w:hAnsi="Times New Roman" w:cs="Times New Roman"/>
              </w:rPr>
              <w:t xml:space="preserve">În cazul instituțiilor obligate să respecte pragul minim privind cerințele de capital, rata TSCR fără plafonul temporar stabilit la articolul </w:t>
            </w:r>
            <w:r w:rsidR="002943BB" w:rsidRPr="00232DE0">
              <w:rPr>
                <w:rFonts w:ascii="Times New Roman" w:hAnsi="Times New Roman" w:cs="Times New Roman"/>
              </w:rPr>
              <w:t>139</w:t>
            </w:r>
            <w:r w:rsidR="002943BB" w:rsidRPr="00232DE0">
              <w:rPr>
                <w:rFonts w:ascii="Times New Roman" w:hAnsi="Times New Roman" w:cs="Times New Roman"/>
                <w:vertAlign w:val="superscript"/>
              </w:rPr>
              <w:t>2</w:t>
            </w:r>
            <w:r w:rsidR="002943BB" w:rsidRPr="00232DE0">
              <w:rPr>
                <w:rFonts w:ascii="Times New Roman" w:hAnsi="Times New Roman" w:cs="Times New Roman"/>
              </w:rPr>
              <w:t xml:space="preserve"> </w:t>
            </w:r>
            <w:r w:rsidR="002943BB" w:rsidRPr="002943BB">
              <w:rPr>
                <w:rFonts w:ascii="Times New Roman" w:hAnsi="Times New Roman" w:cs="Times New Roman"/>
              </w:rPr>
              <w:t xml:space="preserve">lit. a) </w:t>
            </w:r>
            <w:r w:rsidR="002943BB" w:rsidRPr="00232DE0">
              <w:rPr>
                <w:rFonts w:ascii="Times New Roman" w:hAnsi="Times New Roman" w:cs="Times New Roman"/>
              </w:rPr>
              <w:t>din Legea nr. 202/2017</w:t>
            </w:r>
            <w:r w:rsidRPr="00232DE0">
              <w:rPr>
                <w:rFonts w:ascii="Times New Roman" w:hAnsi="Times New Roman" w:cs="Times New Roman"/>
              </w:rPr>
              <w:t>.</w:t>
            </w:r>
          </w:p>
        </w:tc>
        <w:tc>
          <w:tcPr>
            <w:tcW w:w="532" w:type="pct"/>
          </w:tcPr>
          <w:p w14:paraId="1F6DF1ED" w14:textId="3D56F7A1" w:rsidR="004174B2" w:rsidRPr="00232DE0"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045BB599" w14:textId="77777777" w:rsidTr="00492BA4">
        <w:trPr>
          <w:gridAfter w:val="1"/>
          <w:wAfter w:w="4" w:type="pct"/>
          <w:tblCellSpacing w:w="0" w:type="dxa"/>
        </w:trPr>
        <w:tc>
          <w:tcPr>
            <w:tcW w:w="0" w:type="auto"/>
          </w:tcPr>
          <w:p w14:paraId="38519C15" w14:textId="5986C6A9"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0153</w:t>
            </w:r>
          </w:p>
        </w:tc>
        <w:tc>
          <w:tcPr>
            <w:tcW w:w="4074" w:type="pct"/>
          </w:tcPr>
          <w:p w14:paraId="34753C9E" w14:textId="4EACB93E" w:rsidR="004174B2" w:rsidRPr="006F30A7" w:rsidRDefault="00205176"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 xml:space="preserve">13a**  </w:t>
            </w:r>
            <w:r w:rsidR="004174B2" w:rsidRPr="006F30A7">
              <w:rPr>
                <w:rFonts w:ascii="Times New Roman" w:eastAsia="Times New Roman" w:hAnsi="Times New Roman" w:cs="Times New Roman"/>
                <w:b/>
                <w:bCs/>
                <w:color w:val="000000"/>
                <w:kern w:val="0"/>
                <w:lang w:eastAsia="ro-MD"/>
                <w14:ligatures w14:val="none"/>
              </w:rPr>
              <w:t>TSCR: vor consta în fonduri proprii de nivel 1</w:t>
            </w:r>
          </w:p>
          <w:p w14:paraId="0E9FC78F" w14:textId="77777777" w:rsidR="002943BB" w:rsidRPr="00232DE0" w:rsidRDefault="002943BB" w:rsidP="00A84D2B">
            <w:pPr>
              <w:pStyle w:val="InstructionsText"/>
            </w:pPr>
            <w:r w:rsidRPr="00232DE0">
              <w:t xml:space="preserve">Articolul </w:t>
            </w:r>
            <w:r w:rsidRPr="002943BB">
              <w:t>139</w:t>
            </w:r>
            <w:r w:rsidRPr="00232DE0">
              <w:rPr>
                <w:vertAlign w:val="superscript"/>
              </w:rPr>
              <w:t>2</w:t>
            </w:r>
            <w:r w:rsidRPr="002943BB">
              <w:t xml:space="preserve"> lit. a) din Legea nr. 202/2017</w:t>
            </w:r>
            <w:r w:rsidRPr="00232DE0">
              <w:t>.</w:t>
            </w:r>
          </w:p>
          <w:p w14:paraId="2DDDA134" w14:textId="38B837FF" w:rsidR="00D8522E" w:rsidRPr="002943BB" w:rsidRDefault="00D8522E" w:rsidP="006F30A7">
            <w:pPr>
              <w:spacing w:after="0" w:line="240" w:lineRule="auto"/>
              <w:rPr>
                <w:rFonts w:ascii="Times New Roman" w:eastAsia="Times New Roman" w:hAnsi="Times New Roman" w:cs="Times New Roman"/>
                <w:color w:val="000000"/>
                <w:kern w:val="0"/>
                <w:lang w:eastAsia="ro-MD"/>
                <w14:ligatures w14:val="none"/>
              </w:rPr>
            </w:pPr>
            <w:r w:rsidRPr="00232DE0">
              <w:rPr>
                <w:rFonts w:ascii="Times New Roman" w:hAnsi="Times New Roman" w:cs="Times New Roman"/>
              </w:rPr>
              <w:t xml:space="preserve">În cazul instituțiilor obligate să respecte pragul minim privind cerințele de capital, rata TSCR fără plafonul temporar stabilit la articolul </w:t>
            </w:r>
            <w:r w:rsidR="002943BB">
              <w:rPr>
                <w:rFonts w:ascii="Times New Roman" w:hAnsi="Times New Roman" w:cs="Times New Roman"/>
              </w:rPr>
              <w:t>139</w:t>
            </w:r>
            <w:r w:rsidR="002943BB" w:rsidRPr="002943BB">
              <w:rPr>
                <w:rFonts w:ascii="Times New Roman" w:hAnsi="Times New Roman" w:cs="Times New Roman"/>
                <w:vertAlign w:val="superscript"/>
              </w:rPr>
              <w:t>2</w:t>
            </w:r>
            <w:r w:rsidRPr="00232DE0">
              <w:rPr>
                <w:rFonts w:ascii="Times New Roman" w:hAnsi="Times New Roman" w:cs="Times New Roman"/>
              </w:rPr>
              <w:t xml:space="preserve"> litera b) din </w:t>
            </w:r>
            <w:r w:rsidR="002943BB" w:rsidRPr="002943BB">
              <w:rPr>
                <w:rFonts w:ascii="Times New Roman" w:hAnsi="Times New Roman" w:cs="Times New Roman"/>
              </w:rPr>
              <w:t>Legea nr. 202/2017</w:t>
            </w:r>
            <w:r w:rsidRPr="002943BB">
              <w:rPr>
                <w:rFonts w:ascii="Times New Roman" w:hAnsi="Times New Roman" w:cs="Times New Roman"/>
              </w:rPr>
              <w:t>.</w:t>
            </w:r>
          </w:p>
        </w:tc>
        <w:tc>
          <w:tcPr>
            <w:tcW w:w="532" w:type="pct"/>
          </w:tcPr>
          <w:p w14:paraId="4DD60D21" w14:textId="4C66A37E" w:rsidR="004174B2" w:rsidRPr="00232DE0"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489A409B" w14:textId="27C2964A" w:rsidTr="004174B2">
        <w:trPr>
          <w:gridAfter w:val="1"/>
          <w:wAfter w:w="4" w:type="pct"/>
          <w:tblCellSpacing w:w="0" w:type="dxa"/>
        </w:trPr>
        <w:tc>
          <w:tcPr>
            <w:tcW w:w="0" w:type="auto"/>
            <w:hideMark/>
          </w:tcPr>
          <w:p w14:paraId="2F1DF251"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0160</w:t>
            </w:r>
          </w:p>
        </w:tc>
        <w:tc>
          <w:tcPr>
            <w:tcW w:w="4074" w:type="pct"/>
            <w:hideMark/>
          </w:tcPr>
          <w:p w14:paraId="2AE5D403" w14:textId="3B0BD3AD" w:rsidR="004174B2" w:rsidRPr="006F30A7" w:rsidRDefault="004174B2"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14</w:t>
            </w:r>
            <w:r w:rsidR="00205176" w:rsidRPr="006F30A7">
              <w:rPr>
                <w:rFonts w:ascii="Times New Roman" w:eastAsia="Times New Roman" w:hAnsi="Times New Roman" w:cs="Times New Roman"/>
                <w:b/>
                <w:bCs/>
                <w:color w:val="000000"/>
                <w:kern w:val="0"/>
                <w:lang w:eastAsia="ro-MD"/>
                <w14:ligatures w14:val="none"/>
              </w:rPr>
              <w:t>.</w:t>
            </w:r>
            <w:r w:rsidRPr="006F30A7">
              <w:rPr>
                <w:rFonts w:ascii="Times New Roman" w:eastAsia="Times New Roman" w:hAnsi="Times New Roman" w:cs="Times New Roman"/>
                <w:b/>
                <w:bCs/>
                <w:color w:val="000000"/>
                <w:kern w:val="0"/>
                <w:lang w:eastAsia="ro-MD"/>
                <w14:ligatures w14:val="none"/>
              </w:rPr>
              <w:t> Rata cerinței globale de capital (OCR)</w:t>
            </w:r>
          </w:p>
          <w:p w14:paraId="4E032E9C"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Suma dintre (i) și (ii), după cum urmează:</w:t>
            </w:r>
          </w:p>
          <w:tbl>
            <w:tblPr>
              <w:tblW w:w="5000" w:type="pct"/>
              <w:tblCellSpacing w:w="0" w:type="dxa"/>
              <w:tblCellMar>
                <w:left w:w="0" w:type="dxa"/>
                <w:right w:w="0" w:type="dxa"/>
              </w:tblCellMar>
              <w:tblLook w:val="04A0" w:firstRow="1" w:lastRow="0" w:firstColumn="1" w:lastColumn="0" w:noHBand="0" w:noVBand="1"/>
            </w:tblPr>
            <w:tblGrid>
              <w:gridCol w:w="445"/>
              <w:gridCol w:w="7274"/>
            </w:tblGrid>
            <w:tr w:rsidR="004174B2" w:rsidRPr="00260C32" w14:paraId="691A4374" w14:textId="77777777" w:rsidTr="00D442AC">
              <w:trPr>
                <w:tblCellSpacing w:w="0" w:type="dxa"/>
              </w:trPr>
              <w:tc>
                <w:tcPr>
                  <w:tcW w:w="0" w:type="auto"/>
                  <w:hideMark/>
                </w:tcPr>
                <w:p w14:paraId="6B20075D" w14:textId="77777777"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(i)</w:t>
                  </w:r>
                </w:p>
              </w:tc>
              <w:tc>
                <w:tcPr>
                  <w:tcW w:w="0" w:type="auto"/>
                  <w:hideMark/>
                </w:tcPr>
                <w:p w14:paraId="46C75BD1" w14:textId="77777777"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rata TSCR menționată pe rândul 0130;</w:t>
                  </w:r>
                </w:p>
              </w:tc>
            </w:tr>
          </w:tbl>
          <w:p w14:paraId="2F9AB3E0" w14:textId="77777777" w:rsidR="004174B2" w:rsidRPr="00260C32" w:rsidRDefault="004174B2" w:rsidP="006F30A7">
            <w:pPr>
              <w:spacing w:after="0" w:line="240" w:lineRule="auto"/>
              <w:rPr>
                <w:rFonts w:ascii="Times New Roman" w:eastAsia="Times New Roman" w:hAnsi="Times New Roman" w:cs="Times New Roman"/>
                <w:vanish/>
                <w:color w:val="000000"/>
                <w:kern w:val="0"/>
                <w:lang w:eastAsia="ro-MD"/>
                <w14:ligatures w14:val="none"/>
              </w:rPr>
            </w:pPr>
          </w:p>
          <w:tbl>
            <w:tblPr>
              <w:tblW w:w="5000" w:type="pct"/>
              <w:tblCellSpacing w:w="0" w:type="dxa"/>
              <w:tblCellMar>
                <w:left w:w="0" w:type="dxa"/>
                <w:right w:w="0" w:type="dxa"/>
              </w:tblCellMar>
              <w:tblLook w:val="04A0" w:firstRow="1" w:lastRow="0" w:firstColumn="1" w:lastColumn="0" w:noHBand="0" w:noVBand="1"/>
            </w:tblPr>
            <w:tblGrid>
              <w:gridCol w:w="269"/>
              <w:gridCol w:w="7450"/>
            </w:tblGrid>
            <w:tr w:rsidR="004174B2" w:rsidRPr="00260C32" w14:paraId="17C4BB85" w14:textId="77777777" w:rsidTr="00D442AC">
              <w:trPr>
                <w:tblCellSpacing w:w="0" w:type="dxa"/>
              </w:trPr>
              <w:tc>
                <w:tcPr>
                  <w:tcW w:w="0" w:type="auto"/>
                  <w:hideMark/>
                </w:tcPr>
                <w:p w14:paraId="5CF36014" w14:textId="77777777"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(ii)</w:t>
                  </w:r>
                </w:p>
              </w:tc>
              <w:tc>
                <w:tcPr>
                  <w:tcW w:w="0" w:type="auto"/>
                  <w:hideMark/>
                </w:tcPr>
                <w:p w14:paraId="7FB9D8F2" w14:textId="42B80CA2" w:rsidR="004174B2" w:rsidRPr="00260C32" w:rsidRDefault="002C0328" w:rsidP="006F30A7">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 xml:space="preserve"> </w:t>
                  </w:r>
                  <w:r w:rsidR="004174B2" w:rsidRPr="00260C32">
                    <w:rPr>
                      <w:rFonts w:ascii="Times New Roman" w:eastAsia="Times New Roman" w:hAnsi="Times New Roman" w:cs="Times New Roman"/>
                      <w:kern w:val="0"/>
                      <w:lang w:eastAsia="ro-MD"/>
                      <w14:ligatures w14:val="none"/>
                    </w:rPr>
                    <w:t>în măsura în care acest lucru este aplicabil din punct de vedere juridic, rata cerinței de amortizor combinat menționate la</w:t>
                  </w:r>
                  <w:r w:rsidR="00A2317D">
                    <w:rPr>
                      <w:rFonts w:ascii="Times New Roman" w:eastAsia="Times New Roman" w:hAnsi="Times New Roman" w:cs="Times New Roman"/>
                      <w:kern w:val="0"/>
                      <w:lang w:eastAsia="ro-MD"/>
                      <w14:ligatures w14:val="none"/>
                    </w:rPr>
                    <w:t xml:space="preserve"> punctul 3</w:t>
                  </w:r>
                  <w:r w:rsidR="004174B2" w:rsidRPr="00260C32">
                    <w:rPr>
                      <w:rFonts w:ascii="Times New Roman" w:eastAsia="Times New Roman" w:hAnsi="Times New Roman" w:cs="Times New Roman"/>
                      <w:kern w:val="0"/>
                      <w:lang w:eastAsia="ro-MD"/>
                      <w14:ligatures w14:val="none"/>
                    </w:rPr>
                    <w:t xml:space="preserve"> </w:t>
                  </w:r>
                  <w:r w:rsidR="00A2317D">
                    <w:rPr>
                      <w:rFonts w:ascii="Times New Roman" w:eastAsia="Times New Roman" w:hAnsi="Times New Roman" w:cs="Times New Roman"/>
                      <w:kern w:val="0"/>
                      <w:lang w:eastAsia="ro-MD"/>
                      <w14:ligatures w14:val="none"/>
                    </w:rPr>
                    <w:t xml:space="preserve">din </w:t>
                  </w:r>
                  <w:r w:rsidR="00A2317D" w:rsidRPr="00A2317D">
                    <w:rPr>
                      <w:rFonts w:ascii="Times New Roman" w:eastAsia="Times New Roman" w:hAnsi="Times New Roman" w:cs="Times New Roman"/>
                      <w:kern w:val="0"/>
                      <w:lang w:eastAsia="ro-MD"/>
                      <w14:ligatures w14:val="none"/>
                    </w:rPr>
                    <w:t>Regulamentul nr.110/2018 cu privire la amortizoarele de capital ale băncilor (Regulamentul nr.110/2018)</w:t>
                  </w:r>
                  <w:r w:rsidR="004174B2" w:rsidRPr="00260C32">
                    <w:rPr>
                      <w:rFonts w:ascii="Times New Roman" w:eastAsia="Times New Roman" w:hAnsi="Times New Roman" w:cs="Times New Roman"/>
                      <w:kern w:val="0"/>
                      <w:lang w:eastAsia="ro-MD"/>
                      <w14:ligatures w14:val="none"/>
                    </w:rPr>
                    <w:t>.</w:t>
                  </w:r>
                </w:p>
              </w:tc>
            </w:tr>
          </w:tbl>
          <w:p w14:paraId="3C5FF72D"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În cazul în care nu se aplică nicio cerință de amortizor, se raportează numai punctul (i).</w:t>
            </w:r>
          </w:p>
        </w:tc>
        <w:tc>
          <w:tcPr>
            <w:tcW w:w="532" w:type="pct"/>
          </w:tcPr>
          <w:p w14:paraId="6F0C4C8D" w14:textId="77777777"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1A970E1F" w14:textId="45E1BBDA" w:rsidTr="004174B2">
        <w:trPr>
          <w:gridAfter w:val="1"/>
          <w:wAfter w:w="4" w:type="pct"/>
          <w:tblCellSpacing w:w="0" w:type="dxa"/>
        </w:trPr>
        <w:tc>
          <w:tcPr>
            <w:tcW w:w="0" w:type="auto"/>
            <w:hideMark/>
          </w:tcPr>
          <w:p w14:paraId="60AD4A2E"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0170</w:t>
            </w:r>
          </w:p>
        </w:tc>
        <w:tc>
          <w:tcPr>
            <w:tcW w:w="4074" w:type="pct"/>
            <w:hideMark/>
          </w:tcPr>
          <w:p w14:paraId="7303B8AD" w14:textId="77777777" w:rsidR="004174B2" w:rsidRPr="006F30A7" w:rsidRDefault="004174B2"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14* OCR: va consta în fonduri proprii de nivel 1 de bază</w:t>
            </w:r>
          </w:p>
          <w:p w14:paraId="70D0A940"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Suma dintre (i) și (ii), după cum urmează:</w:t>
            </w:r>
          </w:p>
          <w:tbl>
            <w:tblPr>
              <w:tblW w:w="5000" w:type="pct"/>
              <w:tblCellSpacing w:w="0" w:type="dxa"/>
              <w:tblCellMar>
                <w:left w:w="0" w:type="dxa"/>
                <w:right w:w="0" w:type="dxa"/>
              </w:tblCellMar>
              <w:tblLook w:val="04A0" w:firstRow="1" w:lastRow="0" w:firstColumn="1" w:lastColumn="0" w:noHBand="0" w:noVBand="1"/>
            </w:tblPr>
            <w:tblGrid>
              <w:gridCol w:w="208"/>
              <w:gridCol w:w="7511"/>
            </w:tblGrid>
            <w:tr w:rsidR="004174B2" w:rsidRPr="00260C32" w14:paraId="6254E17F" w14:textId="77777777" w:rsidTr="00D442AC">
              <w:trPr>
                <w:tblCellSpacing w:w="0" w:type="dxa"/>
              </w:trPr>
              <w:tc>
                <w:tcPr>
                  <w:tcW w:w="0" w:type="auto"/>
                  <w:hideMark/>
                </w:tcPr>
                <w:p w14:paraId="0FF9E561" w14:textId="77777777"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(i)</w:t>
                  </w:r>
                </w:p>
              </w:tc>
              <w:tc>
                <w:tcPr>
                  <w:tcW w:w="0" w:type="auto"/>
                  <w:hideMark/>
                </w:tcPr>
                <w:p w14:paraId="00E167B9" w14:textId="77777777"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rata TSCR care constă în fondurile proprii de nivel 1 de bază menționate pe rândul 0140;</w:t>
                  </w:r>
                </w:p>
              </w:tc>
            </w:tr>
          </w:tbl>
          <w:p w14:paraId="6D5BB54E" w14:textId="77777777" w:rsidR="004174B2" w:rsidRPr="00260C32" w:rsidRDefault="004174B2" w:rsidP="006F30A7">
            <w:pPr>
              <w:spacing w:after="0" w:line="240" w:lineRule="auto"/>
              <w:rPr>
                <w:rFonts w:ascii="Times New Roman" w:eastAsia="Times New Roman" w:hAnsi="Times New Roman" w:cs="Times New Roman"/>
                <w:vanish/>
                <w:color w:val="000000"/>
                <w:kern w:val="0"/>
                <w:lang w:eastAsia="ro-MD"/>
                <w14:ligatures w14:val="none"/>
              </w:rPr>
            </w:pPr>
          </w:p>
          <w:tbl>
            <w:tblPr>
              <w:tblW w:w="5000" w:type="pct"/>
              <w:tblCellSpacing w:w="0" w:type="dxa"/>
              <w:tblCellMar>
                <w:left w:w="0" w:type="dxa"/>
                <w:right w:w="0" w:type="dxa"/>
              </w:tblCellMar>
              <w:tblLook w:val="04A0" w:firstRow="1" w:lastRow="0" w:firstColumn="1" w:lastColumn="0" w:noHBand="0" w:noVBand="1"/>
            </w:tblPr>
            <w:tblGrid>
              <w:gridCol w:w="269"/>
              <w:gridCol w:w="7450"/>
            </w:tblGrid>
            <w:tr w:rsidR="004174B2" w:rsidRPr="00260C32" w14:paraId="0C262C21" w14:textId="77777777" w:rsidTr="00D442AC">
              <w:trPr>
                <w:tblCellSpacing w:w="0" w:type="dxa"/>
              </w:trPr>
              <w:tc>
                <w:tcPr>
                  <w:tcW w:w="0" w:type="auto"/>
                  <w:hideMark/>
                </w:tcPr>
                <w:p w14:paraId="7247536A" w14:textId="77777777"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(ii)</w:t>
                  </w:r>
                </w:p>
              </w:tc>
              <w:tc>
                <w:tcPr>
                  <w:tcW w:w="0" w:type="auto"/>
                  <w:hideMark/>
                </w:tcPr>
                <w:p w14:paraId="355800DF" w14:textId="345BE97F"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 xml:space="preserve">în măsura în care acest lucru este aplicabil din punct de vedere juridic, rata cerinței de amortizor combinat menționate la </w:t>
                  </w:r>
                  <w:r w:rsidR="00A2317D">
                    <w:rPr>
                      <w:rFonts w:ascii="Times New Roman" w:eastAsia="Times New Roman" w:hAnsi="Times New Roman" w:cs="Times New Roman"/>
                      <w:kern w:val="0"/>
                      <w:lang w:eastAsia="ro-MD"/>
                      <w14:ligatures w14:val="none"/>
                    </w:rPr>
                    <w:t>punctul 3</w:t>
                  </w:r>
                  <w:r w:rsidR="00A2317D" w:rsidRPr="00260C32">
                    <w:rPr>
                      <w:rFonts w:ascii="Times New Roman" w:eastAsia="Times New Roman" w:hAnsi="Times New Roman" w:cs="Times New Roman"/>
                      <w:kern w:val="0"/>
                      <w:lang w:eastAsia="ro-MD"/>
                      <w14:ligatures w14:val="none"/>
                    </w:rPr>
                    <w:t xml:space="preserve"> </w:t>
                  </w:r>
                  <w:r w:rsidR="00A2317D">
                    <w:rPr>
                      <w:rFonts w:ascii="Times New Roman" w:eastAsia="Times New Roman" w:hAnsi="Times New Roman" w:cs="Times New Roman"/>
                      <w:kern w:val="0"/>
                      <w:lang w:eastAsia="ro-MD"/>
                      <w14:ligatures w14:val="none"/>
                    </w:rPr>
                    <w:t xml:space="preserve">din </w:t>
                  </w:r>
                  <w:r w:rsidR="00A2317D" w:rsidRPr="00A2317D">
                    <w:rPr>
                      <w:rFonts w:ascii="Times New Roman" w:eastAsia="Times New Roman" w:hAnsi="Times New Roman" w:cs="Times New Roman"/>
                      <w:kern w:val="0"/>
                      <w:lang w:eastAsia="ro-MD"/>
                      <w14:ligatures w14:val="none"/>
                    </w:rPr>
                    <w:t>Regulamentul nr.110/2018</w:t>
                  </w:r>
                  <w:r w:rsidRPr="00260C32">
                    <w:rPr>
                      <w:rFonts w:ascii="Times New Roman" w:eastAsia="Times New Roman" w:hAnsi="Times New Roman" w:cs="Times New Roman"/>
                      <w:kern w:val="0"/>
                      <w:lang w:eastAsia="ro-MD"/>
                      <w14:ligatures w14:val="none"/>
                    </w:rPr>
                    <w:t>.</w:t>
                  </w:r>
                </w:p>
              </w:tc>
            </w:tr>
          </w:tbl>
          <w:p w14:paraId="2F779B8C"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În cazul în care nu se aplică nicio cerință de amortizor, se raportează numai punctul (i).</w:t>
            </w:r>
          </w:p>
        </w:tc>
        <w:tc>
          <w:tcPr>
            <w:tcW w:w="532" w:type="pct"/>
          </w:tcPr>
          <w:p w14:paraId="7FF07322" w14:textId="77777777"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744AFBC3" w14:textId="467DD07E" w:rsidTr="004174B2">
        <w:trPr>
          <w:gridAfter w:val="1"/>
          <w:wAfter w:w="4" w:type="pct"/>
          <w:tblCellSpacing w:w="0" w:type="dxa"/>
        </w:trPr>
        <w:tc>
          <w:tcPr>
            <w:tcW w:w="0" w:type="auto"/>
            <w:hideMark/>
          </w:tcPr>
          <w:p w14:paraId="300580F2"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0180</w:t>
            </w:r>
          </w:p>
        </w:tc>
        <w:tc>
          <w:tcPr>
            <w:tcW w:w="4074" w:type="pct"/>
            <w:hideMark/>
          </w:tcPr>
          <w:p w14:paraId="5E309AE7" w14:textId="77777777" w:rsidR="004174B2" w:rsidRPr="006F30A7" w:rsidRDefault="004174B2"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14** OCR: va consta în fonduri proprii de nivel 1</w:t>
            </w:r>
          </w:p>
          <w:p w14:paraId="09B38BB4"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Suma dintre (i) și (ii), după cum urmează:</w:t>
            </w:r>
          </w:p>
          <w:tbl>
            <w:tblPr>
              <w:tblW w:w="5000" w:type="pct"/>
              <w:tblCellSpacing w:w="0" w:type="dxa"/>
              <w:tblCellMar>
                <w:left w:w="0" w:type="dxa"/>
                <w:right w:w="0" w:type="dxa"/>
              </w:tblCellMar>
              <w:tblLook w:val="04A0" w:firstRow="1" w:lastRow="0" w:firstColumn="1" w:lastColumn="0" w:noHBand="0" w:noVBand="1"/>
            </w:tblPr>
            <w:tblGrid>
              <w:gridCol w:w="220"/>
              <w:gridCol w:w="7499"/>
            </w:tblGrid>
            <w:tr w:rsidR="004174B2" w:rsidRPr="00260C32" w14:paraId="4A3DC83E" w14:textId="77777777" w:rsidTr="00D442AC">
              <w:trPr>
                <w:tblCellSpacing w:w="0" w:type="dxa"/>
              </w:trPr>
              <w:tc>
                <w:tcPr>
                  <w:tcW w:w="0" w:type="auto"/>
                  <w:hideMark/>
                </w:tcPr>
                <w:p w14:paraId="48032E90" w14:textId="77777777"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(i)</w:t>
                  </w:r>
                </w:p>
              </w:tc>
              <w:tc>
                <w:tcPr>
                  <w:tcW w:w="0" w:type="auto"/>
                  <w:hideMark/>
                </w:tcPr>
                <w:p w14:paraId="3D1E30AA" w14:textId="77777777"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rata TSCR care constă în fondurile proprii de nivel 1 menționate pe rândul 0150;</w:t>
                  </w:r>
                </w:p>
              </w:tc>
            </w:tr>
          </w:tbl>
          <w:p w14:paraId="3F37CE3C" w14:textId="77777777" w:rsidR="004174B2" w:rsidRPr="00260C32" w:rsidRDefault="004174B2" w:rsidP="006F30A7">
            <w:pPr>
              <w:spacing w:after="0" w:line="240" w:lineRule="auto"/>
              <w:rPr>
                <w:rFonts w:ascii="Times New Roman" w:eastAsia="Times New Roman" w:hAnsi="Times New Roman" w:cs="Times New Roman"/>
                <w:vanish/>
                <w:color w:val="000000"/>
                <w:kern w:val="0"/>
                <w:lang w:eastAsia="ro-MD"/>
                <w14:ligatures w14:val="none"/>
              </w:rPr>
            </w:pPr>
          </w:p>
          <w:tbl>
            <w:tblPr>
              <w:tblW w:w="5000" w:type="pct"/>
              <w:tblCellSpacing w:w="0" w:type="dxa"/>
              <w:tblCellMar>
                <w:left w:w="0" w:type="dxa"/>
                <w:right w:w="0" w:type="dxa"/>
              </w:tblCellMar>
              <w:tblLook w:val="04A0" w:firstRow="1" w:lastRow="0" w:firstColumn="1" w:lastColumn="0" w:noHBand="0" w:noVBand="1"/>
            </w:tblPr>
            <w:tblGrid>
              <w:gridCol w:w="269"/>
              <w:gridCol w:w="7450"/>
            </w:tblGrid>
            <w:tr w:rsidR="004174B2" w:rsidRPr="00260C32" w14:paraId="4907B67C" w14:textId="77777777" w:rsidTr="00D442AC">
              <w:trPr>
                <w:tblCellSpacing w:w="0" w:type="dxa"/>
              </w:trPr>
              <w:tc>
                <w:tcPr>
                  <w:tcW w:w="0" w:type="auto"/>
                  <w:hideMark/>
                </w:tcPr>
                <w:p w14:paraId="5AEFBA39" w14:textId="77777777"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(ii)</w:t>
                  </w:r>
                </w:p>
              </w:tc>
              <w:tc>
                <w:tcPr>
                  <w:tcW w:w="0" w:type="auto"/>
                  <w:hideMark/>
                </w:tcPr>
                <w:p w14:paraId="39C80229" w14:textId="244DD2AC"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 xml:space="preserve">în măsura în care acest lucru este aplicabil din punct de vedere juridic, rata cerinței de amortizor combinat menționate la </w:t>
                  </w:r>
                  <w:r w:rsidR="00A2317D">
                    <w:rPr>
                      <w:rFonts w:ascii="Times New Roman" w:eastAsia="Times New Roman" w:hAnsi="Times New Roman" w:cs="Times New Roman"/>
                      <w:kern w:val="0"/>
                      <w:lang w:eastAsia="ro-MD"/>
                      <w14:ligatures w14:val="none"/>
                    </w:rPr>
                    <w:t>punctul 3</w:t>
                  </w:r>
                  <w:r w:rsidR="00A2317D" w:rsidRPr="00260C32">
                    <w:rPr>
                      <w:rFonts w:ascii="Times New Roman" w:eastAsia="Times New Roman" w:hAnsi="Times New Roman" w:cs="Times New Roman"/>
                      <w:kern w:val="0"/>
                      <w:lang w:eastAsia="ro-MD"/>
                      <w14:ligatures w14:val="none"/>
                    </w:rPr>
                    <w:t xml:space="preserve"> </w:t>
                  </w:r>
                  <w:r w:rsidR="00A2317D">
                    <w:rPr>
                      <w:rFonts w:ascii="Times New Roman" w:eastAsia="Times New Roman" w:hAnsi="Times New Roman" w:cs="Times New Roman"/>
                      <w:kern w:val="0"/>
                      <w:lang w:eastAsia="ro-MD"/>
                      <w14:ligatures w14:val="none"/>
                    </w:rPr>
                    <w:t xml:space="preserve">din </w:t>
                  </w:r>
                  <w:r w:rsidR="00A2317D" w:rsidRPr="00A2317D">
                    <w:rPr>
                      <w:rFonts w:ascii="Times New Roman" w:eastAsia="Times New Roman" w:hAnsi="Times New Roman" w:cs="Times New Roman"/>
                      <w:kern w:val="0"/>
                      <w:lang w:eastAsia="ro-MD"/>
                      <w14:ligatures w14:val="none"/>
                    </w:rPr>
                    <w:t>Regulamentul nr.110/2018</w:t>
                  </w:r>
                  <w:r w:rsidRPr="00A2317D">
                    <w:rPr>
                      <w:rFonts w:ascii="Times New Roman" w:eastAsia="Times New Roman" w:hAnsi="Times New Roman" w:cs="Times New Roman"/>
                      <w:kern w:val="0"/>
                      <w:lang w:eastAsia="ro-MD"/>
                      <w14:ligatures w14:val="none"/>
                    </w:rPr>
                    <w:t>.</w:t>
                  </w:r>
                </w:p>
              </w:tc>
            </w:tr>
          </w:tbl>
          <w:p w14:paraId="47F099D9"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În cazul în care nu se aplică nicio cerință de amortizor, se raportează numai punctul (i).</w:t>
            </w:r>
          </w:p>
        </w:tc>
        <w:tc>
          <w:tcPr>
            <w:tcW w:w="532" w:type="pct"/>
          </w:tcPr>
          <w:p w14:paraId="63B45666" w14:textId="77777777"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793CB494" w14:textId="18638516" w:rsidTr="004174B2">
        <w:trPr>
          <w:gridAfter w:val="1"/>
          <w:wAfter w:w="4" w:type="pct"/>
          <w:tblCellSpacing w:w="0" w:type="dxa"/>
        </w:trPr>
        <w:tc>
          <w:tcPr>
            <w:tcW w:w="0" w:type="auto"/>
            <w:hideMark/>
          </w:tcPr>
          <w:p w14:paraId="7BA95130"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0190</w:t>
            </w:r>
          </w:p>
        </w:tc>
        <w:tc>
          <w:tcPr>
            <w:tcW w:w="4074" w:type="pct"/>
            <w:hideMark/>
          </w:tcPr>
          <w:p w14:paraId="299C8744" w14:textId="5E636E7B" w:rsidR="004174B2" w:rsidRPr="000274C8" w:rsidRDefault="004174B2" w:rsidP="006F30A7">
            <w:pPr>
              <w:spacing w:after="0" w:line="240" w:lineRule="auto"/>
              <w:rPr>
                <w:rFonts w:ascii="Times New Roman" w:eastAsia="Times New Roman" w:hAnsi="Times New Roman" w:cs="Times New Roman"/>
                <w:b/>
                <w:bCs/>
                <w:color w:val="000000"/>
                <w:kern w:val="0"/>
                <w:lang w:eastAsia="ro-MD"/>
                <w14:ligatures w14:val="none"/>
              </w:rPr>
            </w:pPr>
            <w:r w:rsidRPr="000274C8">
              <w:rPr>
                <w:rFonts w:ascii="Times New Roman" w:eastAsia="Times New Roman" w:hAnsi="Times New Roman" w:cs="Times New Roman"/>
                <w:b/>
                <w:bCs/>
                <w:color w:val="000000"/>
                <w:kern w:val="0"/>
                <w:lang w:eastAsia="ro-MD"/>
                <w14:ligatures w14:val="none"/>
              </w:rPr>
              <w:t>15</w:t>
            </w:r>
            <w:r w:rsidR="00205176" w:rsidRPr="000274C8">
              <w:rPr>
                <w:rFonts w:ascii="Times New Roman" w:eastAsia="Times New Roman" w:hAnsi="Times New Roman" w:cs="Times New Roman"/>
                <w:b/>
                <w:bCs/>
                <w:color w:val="000000"/>
                <w:kern w:val="0"/>
                <w:lang w:eastAsia="ro-MD"/>
                <w14:ligatures w14:val="none"/>
              </w:rPr>
              <w:t>.</w:t>
            </w:r>
            <w:r w:rsidRPr="000274C8">
              <w:rPr>
                <w:rFonts w:ascii="Times New Roman" w:eastAsia="Times New Roman" w:hAnsi="Times New Roman" w:cs="Times New Roman"/>
                <w:b/>
                <w:bCs/>
                <w:color w:val="000000"/>
                <w:kern w:val="0"/>
                <w:lang w:eastAsia="ro-MD"/>
                <w14:ligatures w14:val="none"/>
              </w:rPr>
              <w:t> Cerința globală de capital (OCR) și rata prevăzută în orientările din cadrul pilonului al doilea (P2G)</w:t>
            </w:r>
          </w:p>
          <w:p w14:paraId="74FDF3AC" w14:textId="77777777" w:rsidR="004174B2" w:rsidRPr="000274C8"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0274C8">
              <w:rPr>
                <w:rFonts w:ascii="Times New Roman" w:eastAsia="Times New Roman" w:hAnsi="Times New Roman" w:cs="Times New Roman"/>
                <w:color w:val="000000"/>
                <w:kern w:val="0"/>
                <w:lang w:eastAsia="ro-MD"/>
                <w14:ligatures w14:val="none"/>
              </w:rPr>
              <w:t>Suma dintre (i) și (ii), după cum urmează:</w:t>
            </w:r>
          </w:p>
          <w:tbl>
            <w:tblPr>
              <w:tblW w:w="5000" w:type="pct"/>
              <w:tblCellSpacing w:w="0" w:type="dxa"/>
              <w:tblCellMar>
                <w:left w:w="0" w:type="dxa"/>
                <w:right w:w="0" w:type="dxa"/>
              </w:tblCellMar>
              <w:tblLook w:val="04A0" w:firstRow="1" w:lastRow="0" w:firstColumn="1" w:lastColumn="0" w:noHBand="0" w:noVBand="1"/>
            </w:tblPr>
            <w:tblGrid>
              <w:gridCol w:w="472"/>
              <w:gridCol w:w="7247"/>
            </w:tblGrid>
            <w:tr w:rsidR="004174B2" w:rsidRPr="000274C8" w14:paraId="12D16369" w14:textId="77777777" w:rsidTr="00D442AC">
              <w:trPr>
                <w:tblCellSpacing w:w="0" w:type="dxa"/>
              </w:trPr>
              <w:tc>
                <w:tcPr>
                  <w:tcW w:w="0" w:type="auto"/>
                  <w:hideMark/>
                </w:tcPr>
                <w:p w14:paraId="4D7A019F" w14:textId="77777777" w:rsidR="004174B2" w:rsidRPr="000274C8" w:rsidRDefault="004174B2" w:rsidP="006F30A7">
                  <w:pPr>
                    <w:spacing w:after="0" w:line="240" w:lineRule="auto"/>
                    <w:rPr>
                      <w:rFonts w:ascii="Times New Roman" w:eastAsia="Times New Roman" w:hAnsi="Times New Roman" w:cs="Times New Roman"/>
                      <w:kern w:val="0"/>
                      <w:lang w:eastAsia="ro-MD"/>
                      <w14:ligatures w14:val="none"/>
                    </w:rPr>
                  </w:pPr>
                  <w:r w:rsidRPr="000274C8">
                    <w:rPr>
                      <w:rFonts w:ascii="Times New Roman" w:eastAsia="Times New Roman" w:hAnsi="Times New Roman" w:cs="Times New Roman"/>
                      <w:kern w:val="0"/>
                      <w:lang w:eastAsia="ro-MD"/>
                      <w14:ligatures w14:val="none"/>
                    </w:rPr>
                    <w:t>(i)</w:t>
                  </w:r>
                </w:p>
              </w:tc>
              <w:tc>
                <w:tcPr>
                  <w:tcW w:w="0" w:type="auto"/>
                  <w:hideMark/>
                </w:tcPr>
                <w:p w14:paraId="5C9D1F94" w14:textId="77777777" w:rsidR="004174B2" w:rsidRPr="000274C8" w:rsidRDefault="004174B2" w:rsidP="006F30A7">
                  <w:pPr>
                    <w:spacing w:after="0" w:line="240" w:lineRule="auto"/>
                    <w:rPr>
                      <w:rFonts w:ascii="Times New Roman" w:eastAsia="Times New Roman" w:hAnsi="Times New Roman" w:cs="Times New Roman"/>
                      <w:kern w:val="0"/>
                      <w:lang w:eastAsia="ro-MD"/>
                      <w14:ligatures w14:val="none"/>
                    </w:rPr>
                  </w:pPr>
                  <w:r w:rsidRPr="000274C8">
                    <w:rPr>
                      <w:rFonts w:ascii="Times New Roman" w:eastAsia="Times New Roman" w:hAnsi="Times New Roman" w:cs="Times New Roman"/>
                      <w:kern w:val="0"/>
                      <w:lang w:eastAsia="ro-MD"/>
                      <w14:ligatures w14:val="none"/>
                    </w:rPr>
                    <w:t>rata OCR menționată pe rândul 160;</w:t>
                  </w:r>
                </w:p>
              </w:tc>
            </w:tr>
          </w:tbl>
          <w:p w14:paraId="05DF632D" w14:textId="77777777" w:rsidR="004174B2" w:rsidRPr="000274C8" w:rsidRDefault="004174B2" w:rsidP="006F30A7">
            <w:pPr>
              <w:spacing w:after="0" w:line="240" w:lineRule="auto"/>
              <w:rPr>
                <w:rFonts w:ascii="Times New Roman" w:eastAsia="Times New Roman" w:hAnsi="Times New Roman" w:cs="Times New Roman"/>
                <w:vanish/>
                <w:color w:val="000000"/>
                <w:kern w:val="0"/>
                <w:lang w:eastAsia="ro-MD"/>
                <w14:ligatures w14:val="none"/>
              </w:rPr>
            </w:pPr>
          </w:p>
          <w:tbl>
            <w:tblPr>
              <w:tblW w:w="5000" w:type="pct"/>
              <w:tblCellSpacing w:w="0" w:type="dxa"/>
              <w:tblCellMar>
                <w:left w:w="0" w:type="dxa"/>
                <w:right w:w="0" w:type="dxa"/>
              </w:tblCellMar>
              <w:tblLook w:val="04A0" w:firstRow="1" w:lastRow="0" w:firstColumn="1" w:lastColumn="0" w:noHBand="0" w:noVBand="1"/>
            </w:tblPr>
            <w:tblGrid>
              <w:gridCol w:w="269"/>
              <w:gridCol w:w="7450"/>
            </w:tblGrid>
            <w:tr w:rsidR="004174B2" w:rsidRPr="000274C8" w14:paraId="6D0D0B60" w14:textId="77777777" w:rsidTr="00D442AC">
              <w:trPr>
                <w:tblCellSpacing w:w="0" w:type="dxa"/>
              </w:trPr>
              <w:tc>
                <w:tcPr>
                  <w:tcW w:w="0" w:type="auto"/>
                  <w:hideMark/>
                </w:tcPr>
                <w:p w14:paraId="65EC7961" w14:textId="77777777" w:rsidR="004174B2" w:rsidRPr="000274C8" w:rsidRDefault="004174B2" w:rsidP="006F30A7">
                  <w:pPr>
                    <w:spacing w:after="0" w:line="240" w:lineRule="auto"/>
                    <w:rPr>
                      <w:rFonts w:ascii="Times New Roman" w:eastAsia="Times New Roman" w:hAnsi="Times New Roman" w:cs="Times New Roman"/>
                      <w:kern w:val="0"/>
                      <w:lang w:eastAsia="ro-MD"/>
                      <w14:ligatures w14:val="none"/>
                    </w:rPr>
                  </w:pPr>
                  <w:r w:rsidRPr="000274C8">
                    <w:rPr>
                      <w:rFonts w:ascii="Times New Roman" w:eastAsia="Times New Roman" w:hAnsi="Times New Roman" w:cs="Times New Roman"/>
                      <w:kern w:val="0"/>
                      <w:lang w:eastAsia="ro-MD"/>
                      <w14:ligatures w14:val="none"/>
                    </w:rPr>
                    <w:t>(ii)</w:t>
                  </w:r>
                </w:p>
              </w:tc>
              <w:tc>
                <w:tcPr>
                  <w:tcW w:w="0" w:type="auto"/>
                  <w:hideMark/>
                </w:tcPr>
                <w:p w14:paraId="3BF97BBE" w14:textId="68C95FA4" w:rsidR="004174B2" w:rsidRPr="000274C8" w:rsidRDefault="004174B2" w:rsidP="006F30A7">
                  <w:pPr>
                    <w:spacing w:after="0" w:line="240" w:lineRule="auto"/>
                    <w:rPr>
                      <w:rFonts w:ascii="Times New Roman" w:eastAsia="Times New Roman" w:hAnsi="Times New Roman" w:cs="Times New Roman"/>
                      <w:kern w:val="0"/>
                      <w:lang w:eastAsia="ro-MD"/>
                      <w14:ligatures w14:val="none"/>
                    </w:rPr>
                  </w:pPr>
                  <w:r w:rsidRPr="000274C8">
                    <w:rPr>
                      <w:rFonts w:ascii="Times New Roman" w:eastAsia="Times New Roman" w:hAnsi="Times New Roman" w:cs="Times New Roman"/>
                      <w:kern w:val="0"/>
                      <w:lang w:eastAsia="ro-MD"/>
                      <w14:ligatures w14:val="none"/>
                    </w:rPr>
                    <w:t xml:space="preserve">după caz, orientările privind fondurile proprii suplimentare, comunicate de </w:t>
                  </w:r>
                  <w:r w:rsidRPr="000274C8">
                    <w:rPr>
                      <w:rFonts w:ascii="Times New Roman" w:eastAsia="Times New Roman" w:hAnsi="Times New Roman" w:cs="Times New Roman"/>
                      <w:color w:val="000000"/>
                      <w:kern w:val="0"/>
                      <w:lang w:eastAsia="ro-MD"/>
                      <w14:ligatures w14:val="none"/>
                    </w:rPr>
                    <w:t>Banca Națională a Moldovei</w:t>
                  </w:r>
                  <w:r w:rsidRPr="000274C8" w:rsidDel="00916018">
                    <w:rPr>
                      <w:rFonts w:ascii="Times New Roman" w:eastAsia="Times New Roman" w:hAnsi="Times New Roman" w:cs="Times New Roman"/>
                      <w:kern w:val="0"/>
                      <w:lang w:eastAsia="ro-MD"/>
                      <w14:ligatures w14:val="none"/>
                    </w:rPr>
                    <w:t xml:space="preserve"> </w:t>
                  </w:r>
                  <w:r w:rsidRPr="000274C8">
                    <w:rPr>
                      <w:rFonts w:ascii="Times New Roman" w:eastAsia="Times New Roman" w:hAnsi="Times New Roman" w:cs="Times New Roman"/>
                      <w:kern w:val="0"/>
                      <w:lang w:eastAsia="ro-MD"/>
                      <w14:ligatures w14:val="none"/>
                    </w:rPr>
                    <w:t>(orientările din cadrul pilonului 2 - P2G), astfel cum se menționează la articolul 10</w:t>
                  </w:r>
                  <w:r w:rsidR="00431F39" w:rsidRPr="000274C8">
                    <w:rPr>
                      <w:rFonts w:ascii="Times New Roman" w:eastAsia="Times New Roman" w:hAnsi="Times New Roman" w:cs="Times New Roman"/>
                      <w:kern w:val="0"/>
                      <w:lang w:eastAsia="ro-MD"/>
                      <w14:ligatures w14:val="none"/>
                    </w:rPr>
                    <w:t>1</w:t>
                  </w:r>
                  <w:r w:rsidR="00431F39" w:rsidRPr="000274C8">
                    <w:rPr>
                      <w:rFonts w:ascii="Times New Roman" w:eastAsia="Times New Roman" w:hAnsi="Times New Roman" w:cs="Times New Roman"/>
                      <w:kern w:val="0"/>
                      <w:vertAlign w:val="superscript"/>
                      <w:lang w:eastAsia="ro-MD"/>
                      <w14:ligatures w14:val="none"/>
                    </w:rPr>
                    <w:t>1</w:t>
                  </w:r>
                  <w:r w:rsidRPr="000274C8">
                    <w:rPr>
                      <w:rFonts w:ascii="Times New Roman" w:eastAsia="Times New Roman" w:hAnsi="Times New Roman" w:cs="Times New Roman"/>
                      <w:kern w:val="0"/>
                      <w:lang w:eastAsia="ro-MD"/>
                      <w14:ligatures w14:val="none"/>
                    </w:rPr>
                    <w:t xml:space="preserve"> alineat</w:t>
                  </w:r>
                  <w:r w:rsidR="00672EED" w:rsidRPr="000274C8">
                    <w:rPr>
                      <w:rFonts w:ascii="Times New Roman" w:eastAsia="Times New Roman" w:hAnsi="Times New Roman" w:cs="Times New Roman"/>
                      <w:kern w:val="0"/>
                      <w:lang w:eastAsia="ro-MD"/>
                      <w14:ligatures w14:val="none"/>
                    </w:rPr>
                    <w:t>ele</w:t>
                  </w:r>
                  <w:r w:rsidRPr="000274C8">
                    <w:rPr>
                      <w:rFonts w:ascii="Times New Roman" w:eastAsia="Times New Roman" w:hAnsi="Times New Roman" w:cs="Times New Roman"/>
                      <w:kern w:val="0"/>
                      <w:lang w:eastAsia="ro-MD"/>
                      <w14:ligatures w14:val="none"/>
                    </w:rPr>
                    <w:t xml:space="preserve"> (3) </w:t>
                  </w:r>
                  <w:r w:rsidR="00672EED" w:rsidRPr="000274C8">
                    <w:rPr>
                      <w:rFonts w:ascii="Times New Roman" w:eastAsia="Times New Roman" w:hAnsi="Times New Roman" w:cs="Times New Roman"/>
                      <w:kern w:val="0"/>
                      <w:lang w:eastAsia="ro-MD"/>
                      <w14:ligatures w14:val="none"/>
                    </w:rPr>
                    <w:t xml:space="preserve">și (4) </w:t>
                  </w:r>
                  <w:r w:rsidRPr="000274C8">
                    <w:rPr>
                      <w:rFonts w:ascii="Times New Roman" w:eastAsia="Times New Roman" w:hAnsi="Times New Roman" w:cs="Times New Roman"/>
                      <w:kern w:val="0"/>
                      <w:lang w:eastAsia="ro-MD"/>
                      <w14:ligatures w14:val="none"/>
                    </w:rPr>
                    <w:t xml:space="preserve">din </w:t>
                  </w:r>
                  <w:r w:rsidR="00672EED" w:rsidRPr="000274C8">
                    <w:rPr>
                      <w:rFonts w:ascii="Times New Roman" w:eastAsia="Times New Roman" w:hAnsi="Times New Roman" w:cs="Times New Roman"/>
                      <w:kern w:val="0"/>
                      <w:lang w:eastAsia="ro-MD"/>
                      <w14:ligatures w14:val="none"/>
                    </w:rPr>
                    <w:t>Legea 202/2017</w:t>
                  </w:r>
                  <w:r w:rsidRPr="000274C8">
                    <w:rPr>
                      <w:rFonts w:ascii="Times New Roman" w:eastAsia="Times New Roman" w:hAnsi="Times New Roman" w:cs="Times New Roman"/>
                      <w:kern w:val="0"/>
                      <w:lang w:eastAsia="ro-MD"/>
                      <w14:ligatures w14:val="none"/>
                    </w:rPr>
                    <w:t xml:space="preserve">, prezentate ca rată. P2G se includ numai dacă au fost comunicate băncii de către </w:t>
                  </w:r>
                  <w:r w:rsidRPr="000274C8">
                    <w:rPr>
                      <w:rFonts w:ascii="Times New Roman" w:eastAsia="Times New Roman" w:hAnsi="Times New Roman" w:cs="Times New Roman"/>
                      <w:color w:val="000000"/>
                      <w:kern w:val="0"/>
                      <w:lang w:eastAsia="ro-MD"/>
                      <w14:ligatures w14:val="none"/>
                    </w:rPr>
                    <w:t>Banca Națională a Moldovei</w:t>
                  </w:r>
                  <w:r w:rsidRPr="000274C8">
                    <w:rPr>
                      <w:rFonts w:ascii="Times New Roman" w:eastAsia="Times New Roman" w:hAnsi="Times New Roman" w:cs="Times New Roman"/>
                      <w:kern w:val="0"/>
                      <w:lang w:eastAsia="ro-MD"/>
                      <w14:ligatures w14:val="none"/>
                    </w:rPr>
                    <w:t>.</w:t>
                  </w:r>
                </w:p>
              </w:tc>
            </w:tr>
          </w:tbl>
          <w:p w14:paraId="287A5C89" w14:textId="6B2503B6" w:rsidR="004174B2" w:rsidRPr="000274C8"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0274C8">
              <w:rPr>
                <w:rFonts w:ascii="Times New Roman" w:eastAsia="Times New Roman" w:hAnsi="Times New Roman" w:cs="Times New Roman"/>
                <w:color w:val="000000"/>
                <w:kern w:val="0"/>
                <w:lang w:eastAsia="ro-MD"/>
                <w14:ligatures w14:val="none"/>
              </w:rPr>
              <w:t>În cazul în care Banca Națională a Moldovei nu a comunicat P2G, se raportează numai punctul (i).</w:t>
            </w:r>
          </w:p>
        </w:tc>
        <w:tc>
          <w:tcPr>
            <w:tcW w:w="532" w:type="pct"/>
          </w:tcPr>
          <w:p w14:paraId="3CF56466" w14:textId="77777777"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460F9059" w14:textId="2D197ADE" w:rsidTr="004174B2">
        <w:trPr>
          <w:gridAfter w:val="1"/>
          <w:wAfter w:w="4" w:type="pct"/>
          <w:tblCellSpacing w:w="0" w:type="dxa"/>
        </w:trPr>
        <w:tc>
          <w:tcPr>
            <w:tcW w:w="0" w:type="auto"/>
            <w:hideMark/>
          </w:tcPr>
          <w:p w14:paraId="28E8968A"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0200</w:t>
            </w:r>
          </w:p>
        </w:tc>
        <w:tc>
          <w:tcPr>
            <w:tcW w:w="4074" w:type="pct"/>
            <w:hideMark/>
          </w:tcPr>
          <w:p w14:paraId="7DE400E0" w14:textId="77777777" w:rsidR="004174B2" w:rsidRPr="006F30A7" w:rsidRDefault="004174B2"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15* OCR și P2G: vor consta în fonduri proprii de nivel 1 de bază</w:t>
            </w:r>
          </w:p>
          <w:p w14:paraId="2F027BED"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Suma dintre (i) și (ii), după cum urmează:</w:t>
            </w:r>
          </w:p>
          <w:tbl>
            <w:tblPr>
              <w:tblW w:w="5000" w:type="pct"/>
              <w:tblCellSpacing w:w="0" w:type="dxa"/>
              <w:tblCellMar>
                <w:left w:w="0" w:type="dxa"/>
                <w:right w:w="0" w:type="dxa"/>
              </w:tblCellMar>
              <w:tblLook w:val="04A0" w:firstRow="1" w:lastRow="0" w:firstColumn="1" w:lastColumn="0" w:noHBand="0" w:noVBand="1"/>
            </w:tblPr>
            <w:tblGrid>
              <w:gridCol w:w="208"/>
              <w:gridCol w:w="7511"/>
            </w:tblGrid>
            <w:tr w:rsidR="004174B2" w:rsidRPr="00260C32" w14:paraId="5357FCAC" w14:textId="77777777" w:rsidTr="00D442AC">
              <w:trPr>
                <w:tblCellSpacing w:w="0" w:type="dxa"/>
              </w:trPr>
              <w:tc>
                <w:tcPr>
                  <w:tcW w:w="0" w:type="auto"/>
                  <w:hideMark/>
                </w:tcPr>
                <w:p w14:paraId="0D58F1F7" w14:textId="77777777"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lastRenderedPageBreak/>
                    <w:t>(i)</w:t>
                  </w:r>
                </w:p>
              </w:tc>
              <w:tc>
                <w:tcPr>
                  <w:tcW w:w="0" w:type="auto"/>
                  <w:hideMark/>
                </w:tcPr>
                <w:p w14:paraId="2847536B" w14:textId="77777777"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rata OCR care constă în fondurile proprii de nivel 1 de bază menționate pe rândul 0170;</w:t>
                  </w:r>
                </w:p>
              </w:tc>
            </w:tr>
          </w:tbl>
          <w:p w14:paraId="7185334A" w14:textId="77777777" w:rsidR="004174B2" w:rsidRPr="00260C32" w:rsidRDefault="004174B2" w:rsidP="006F30A7">
            <w:pPr>
              <w:spacing w:after="0" w:line="240" w:lineRule="auto"/>
              <w:rPr>
                <w:rFonts w:ascii="Times New Roman" w:eastAsia="Times New Roman" w:hAnsi="Times New Roman" w:cs="Times New Roman"/>
                <w:vanish/>
                <w:color w:val="000000"/>
                <w:kern w:val="0"/>
                <w:lang w:eastAsia="ro-MD"/>
                <w14:ligatures w14:val="none"/>
              </w:rPr>
            </w:pPr>
          </w:p>
          <w:tbl>
            <w:tblPr>
              <w:tblW w:w="5000" w:type="pct"/>
              <w:tblCellSpacing w:w="0" w:type="dxa"/>
              <w:tblCellMar>
                <w:left w:w="0" w:type="dxa"/>
                <w:right w:w="0" w:type="dxa"/>
              </w:tblCellMar>
              <w:tblLook w:val="04A0" w:firstRow="1" w:lastRow="0" w:firstColumn="1" w:lastColumn="0" w:noHBand="0" w:noVBand="1"/>
            </w:tblPr>
            <w:tblGrid>
              <w:gridCol w:w="269"/>
              <w:gridCol w:w="7450"/>
            </w:tblGrid>
            <w:tr w:rsidR="004174B2" w:rsidRPr="00260C32" w14:paraId="378CF3F3" w14:textId="77777777" w:rsidTr="00D442AC">
              <w:trPr>
                <w:tblCellSpacing w:w="0" w:type="dxa"/>
              </w:trPr>
              <w:tc>
                <w:tcPr>
                  <w:tcW w:w="0" w:type="auto"/>
                  <w:hideMark/>
                </w:tcPr>
                <w:p w14:paraId="1E0D91CD" w14:textId="77777777"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(ii)</w:t>
                  </w:r>
                </w:p>
              </w:tc>
              <w:tc>
                <w:tcPr>
                  <w:tcW w:w="0" w:type="auto"/>
                  <w:hideMark/>
                </w:tcPr>
                <w:p w14:paraId="099F18F4" w14:textId="7F219FDD"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 xml:space="preserve">dacă este cazul, partea din P2G, menționată la punctul (ii) de pe rândul 0190, în privința căreia </w:t>
                  </w:r>
                  <w:r>
                    <w:rPr>
                      <w:rFonts w:ascii="Times New Roman" w:eastAsia="Times New Roman" w:hAnsi="Times New Roman" w:cs="Times New Roman"/>
                      <w:color w:val="000000"/>
                      <w:kern w:val="0"/>
                      <w:lang w:eastAsia="ro-MD"/>
                      <w14:ligatures w14:val="none"/>
                    </w:rPr>
                    <w:t>Banca Națională a Moldovei</w:t>
                  </w:r>
                  <w:r>
                    <w:rPr>
                      <w:rFonts w:ascii="Times New Roman" w:eastAsia="Times New Roman" w:hAnsi="Times New Roman" w:cs="Times New Roman"/>
                      <w:kern w:val="0"/>
                      <w:lang w:eastAsia="ro-MD"/>
                      <w14:ligatures w14:val="none"/>
                    </w:rPr>
                    <w:t xml:space="preserve"> </w:t>
                  </w:r>
                  <w:r w:rsidRPr="00260C32">
                    <w:rPr>
                      <w:rFonts w:ascii="Times New Roman" w:eastAsia="Times New Roman" w:hAnsi="Times New Roman" w:cs="Times New Roman"/>
                      <w:kern w:val="0"/>
                      <w:lang w:eastAsia="ro-MD"/>
                      <w14:ligatures w14:val="none"/>
                    </w:rPr>
                    <w:t xml:space="preserve">impune să fie deținută sub formă de fonduri proprii de nivel 1 de bază. P2G se includ numai dacă au fost comunicate </w:t>
                  </w:r>
                  <w:r>
                    <w:rPr>
                      <w:rFonts w:ascii="Times New Roman" w:eastAsia="Times New Roman" w:hAnsi="Times New Roman" w:cs="Times New Roman"/>
                      <w:kern w:val="0"/>
                      <w:lang w:eastAsia="ro-MD"/>
                      <w14:ligatures w14:val="none"/>
                    </w:rPr>
                    <w:t>bănci</w:t>
                  </w:r>
                  <w:r w:rsidRPr="00260C32">
                    <w:rPr>
                      <w:rFonts w:ascii="Times New Roman" w:eastAsia="Times New Roman" w:hAnsi="Times New Roman" w:cs="Times New Roman"/>
                      <w:kern w:val="0"/>
                      <w:lang w:eastAsia="ro-MD"/>
                      <w14:ligatures w14:val="none"/>
                    </w:rPr>
                    <w:t xml:space="preserve">i de către </w:t>
                  </w:r>
                  <w:r>
                    <w:rPr>
                      <w:rFonts w:ascii="Times New Roman" w:eastAsia="Times New Roman" w:hAnsi="Times New Roman" w:cs="Times New Roman"/>
                      <w:color w:val="000000"/>
                      <w:kern w:val="0"/>
                      <w:lang w:eastAsia="ro-MD"/>
                      <w14:ligatures w14:val="none"/>
                    </w:rPr>
                    <w:t>Banca Națională a Moldovei</w:t>
                  </w:r>
                  <w:r w:rsidRPr="00260C32">
                    <w:rPr>
                      <w:rFonts w:ascii="Times New Roman" w:eastAsia="Times New Roman" w:hAnsi="Times New Roman" w:cs="Times New Roman"/>
                      <w:kern w:val="0"/>
                      <w:lang w:eastAsia="ro-MD"/>
                      <w14:ligatures w14:val="none"/>
                    </w:rPr>
                    <w:t>.</w:t>
                  </w:r>
                </w:p>
              </w:tc>
            </w:tr>
          </w:tbl>
          <w:p w14:paraId="35778AAB" w14:textId="4F56298A"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În cazul în care </w:t>
            </w:r>
            <w:r>
              <w:rPr>
                <w:rFonts w:ascii="Times New Roman" w:eastAsia="Times New Roman" w:hAnsi="Times New Roman" w:cs="Times New Roman"/>
                <w:color w:val="000000"/>
                <w:kern w:val="0"/>
                <w:lang w:eastAsia="ro-MD"/>
                <w14:ligatures w14:val="none"/>
              </w:rPr>
              <w:t xml:space="preserve">Banca Națională a Moldovei </w:t>
            </w:r>
            <w:r w:rsidRPr="00260C32">
              <w:rPr>
                <w:rFonts w:ascii="Times New Roman" w:eastAsia="Times New Roman" w:hAnsi="Times New Roman" w:cs="Times New Roman"/>
                <w:color w:val="000000"/>
                <w:kern w:val="0"/>
                <w:lang w:eastAsia="ro-MD"/>
                <w14:ligatures w14:val="none"/>
              </w:rPr>
              <w:t>nu a comunicat P2G, se raportează numai punctul (i).</w:t>
            </w:r>
          </w:p>
        </w:tc>
        <w:tc>
          <w:tcPr>
            <w:tcW w:w="532" w:type="pct"/>
          </w:tcPr>
          <w:p w14:paraId="458B5A02" w14:textId="77777777"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60FA8FF4" w14:textId="0E08E3E2" w:rsidTr="004174B2">
        <w:trPr>
          <w:gridAfter w:val="1"/>
          <w:wAfter w:w="4" w:type="pct"/>
          <w:tblCellSpacing w:w="0" w:type="dxa"/>
        </w:trPr>
        <w:tc>
          <w:tcPr>
            <w:tcW w:w="0" w:type="auto"/>
            <w:hideMark/>
          </w:tcPr>
          <w:p w14:paraId="5E217215"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0210</w:t>
            </w:r>
          </w:p>
        </w:tc>
        <w:tc>
          <w:tcPr>
            <w:tcW w:w="4074" w:type="pct"/>
            <w:hideMark/>
          </w:tcPr>
          <w:p w14:paraId="442281F8" w14:textId="77777777" w:rsidR="004174B2" w:rsidRPr="006F30A7" w:rsidRDefault="004174B2"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15** OCR și P2G: vor consta în fonduri proprii de nivel 1</w:t>
            </w:r>
          </w:p>
          <w:p w14:paraId="7AE0E7F9"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Suma dintre (i) și (ii), după cum urmează:</w:t>
            </w:r>
          </w:p>
          <w:tbl>
            <w:tblPr>
              <w:tblW w:w="5000" w:type="pct"/>
              <w:tblCellSpacing w:w="0" w:type="dxa"/>
              <w:tblCellMar>
                <w:left w:w="0" w:type="dxa"/>
                <w:right w:w="0" w:type="dxa"/>
              </w:tblCellMar>
              <w:tblLook w:val="04A0" w:firstRow="1" w:lastRow="0" w:firstColumn="1" w:lastColumn="0" w:noHBand="0" w:noVBand="1"/>
            </w:tblPr>
            <w:tblGrid>
              <w:gridCol w:w="222"/>
              <w:gridCol w:w="7497"/>
            </w:tblGrid>
            <w:tr w:rsidR="004174B2" w:rsidRPr="00260C32" w14:paraId="3B4ECB54" w14:textId="77777777" w:rsidTr="00D442AC">
              <w:trPr>
                <w:tblCellSpacing w:w="0" w:type="dxa"/>
              </w:trPr>
              <w:tc>
                <w:tcPr>
                  <w:tcW w:w="0" w:type="auto"/>
                  <w:hideMark/>
                </w:tcPr>
                <w:p w14:paraId="21303657" w14:textId="77777777"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(i)</w:t>
                  </w:r>
                </w:p>
              </w:tc>
              <w:tc>
                <w:tcPr>
                  <w:tcW w:w="0" w:type="auto"/>
                  <w:hideMark/>
                </w:tcPr>
                <w:p w14:paraId="51A17D3F" w14:textId="77777777"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rata OCR care constă în fondurile proprii de nivel 1 menționate pe rândul 0180;</w:t>
                  </w:r>
                </w:p>
              </w:tc>
            </w:tr>
          </w:tbl>
          <w:p w14:paraId="58DB2F81" w14:textId="77777777" w:rsidR="004174B2" w:rsidRPr="00260C32" w:rsidRDefault="004174B2" w:rsidP="006F30A7">
            <w:pPr>
              <w:spacing w:after="0" w:line="240" w:lineRule="auto"/>
              <w:rPr>
                <w:rFonts w:ascii="Times New Roman" w:eastAsia="Times New Roman" w:hAnsi="Times New Roman" w:cs="Times New Roman"/>
                <w:vanish/>
                <w:color w:val="000000"/>
                <w:kern w:val="0"/>
                <w:lang w:eastAsia="ro-MD"/>
                <w14:ligatures w14:val="none"/>
              </w:rPr>
            </w:pPr>
          </w:p>
          <w:tbl>
            <w:tblPr>
              <w:tblW w:w="5000" w:type="pct"/>
              <w:tblCellSpacing w:w="0" w:type="dxa"/>
              <w:tblCellMar>
                <w:left w:w="0" w:type="dxa"/>
                <w:right w:w="0" w:type="dxa"/>
              </w:tblCellMar>
              <w:tblLook w:val="04A0" w:firstRow="1" w:lastRow="0" w:firstColumn="1" w:lastColumn="0" w:noHBand="0" w:noVBand="1"/>
            </w:tblPr>
            <w:tblGrid>
              <w:gridCol w:w="269"/>
              <w:gridCol w:w="7450"/>
            </w:tblGrid>
            <w:tr w:rsidR="004174B2" w:rsidRPr="00260C32" w14:paraId="220DE0DC" w14:textId="77777777" w:rsidTr="00D442AC">
              <w:trPr>
                <w:tblCellSpacing w:w="0" w:type="dxa"/>
              </w:trPr>
              <w:tc>
                <w:tcPr>
                  <w:tcW w:w="0" w:type="auto"/>
                  <w:hideMark/>
                </w:tcPr>
                <w:p w14:paraId="6BBA4778" w14:textId="77777777"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(ii)</w:t>
                  </w:r>
                </w:p>
              </w:tc>
              <w:tc>
                <w:tcPr>
                  <w:tcW w:w="0" w:type="auto"/>
                  <w:hideMark/>
                </w:tcPr>
                <w:p w14:paraId="6454BE1A" w14:textId="66787246" w:rsidR="004174B2" w:rsidRPr="00260C32" w:rsidRDefault="004174B2"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 xml:space="preserve">dacă este cazul, partea din P2G, menționată la punctul (ii) de pe rândul 0190, în privința căreia </w:t>
                  </w:r>
                  <w:r>
                    <w:rPr>
                      <w:rFonts w:ascii="Times New Roman" w:eastAsia="Times New Roman" w:hAnsi="Times New Roman" w:cs="Times New Roman"/>
                      <w:color w:val="000000"/>
                      <w:kern w:val="0"/>
                      <w:lang w:eastAsia="ro-MD"/>
                      <w14:ligatures w14:val="none"/>
                    </w:rPr>
                    <w:t>Banca Națională a Moldovei</w:t>
                  </w:r>
                  <w:r w:rsidRPr="00260C32">
                    <w:rPr>
                      <w:rFonts w:ascii="Times New Roman" w:eastAsia="Times New Roman" w:hAnsi="Times New Roman" w:cs="Times New Roman"/>
                      <w:kern w:val="0"/>
                      <w:lang w:eastAsia="ro-MD"/>
                      <w14:ligatures w14:val="none"/>
                    </w:rPr>
                    <w:t xml:space="preserve"> impune să fie deținută sub formă de fonduri proprii de nivel 1. P2G se includ numai dacă au fost comunicate </w:t>
                  </w:r>
                  <w:r>
                    <w:rPr>
                      <w:rFonts w:ascii="Times New Roman" w:eastAsia="Times New Roman" w:hAnsi="Times New Roman" w:cs="Times New Roman"/>
                      <w:kern w:val="0"/>
                      <w:lang w:eastAsia="ro-MD"/>
                      <w14:ligatures w14:val="none"/>
                    </w:rPr>
                    <w:t>bănci</w:t>
                  </w:r>
                  <w:r w:rsidRPr="00260C32">
                    <w:rPr>
                      <w:rFonts w:ascii="Times New Roman" w:eastAsia="Times New Roman" w:hAnsi="Times New Roman" w:cs="Times New Roman"/>
                      <w:kern w:val="0"/>
                      <w:lang w:eastAsia="ro-MD"/>
                      <w14:ligatures w14:val="none"/>
                    </w:rPr>
                    <w:t xml:space="preserve">i de către </w:t>
                  </w:r>
                  <w:r>
                    <w:rPr>
                      <w:rFonts w:ascii="Times New Roman" w:eastAsia="Times New Roman" w:hAnsi="Times New Roman" w:cs="Times New Roman"/>
                      <w:color w:val="000000"/>
                      <w:kern w:val="0"/>
                      <w:lang w:eastAsia="ro-MD"/>
                      <w14:ligatures w14:val="none"/>
                    </w:rPr>
                    <w:t>Banca Națională a Moldovei</w:t>
                  </w:r>
                  <w:r w:rsidRPr="00260C32">
                    <w:rPr>
                      <w:rFonts w:ascii="Times New Roman" w:eastAsia="Times New Roman" w:hAnsi="Times New Roman" w:cs="Times New Roman"/>
                      <w:kern w:val="0"/>
                      <w:lang w:eastAsia="ro-MD"/>
                      <w14:ligatures w14:val="none"/>
                    </w:rPr>
                    <w:t>.</w:t>
                  </w:r>
                </w:p>
              </w:tc>
            </w:tr>
          </w:tbl>
          <w:p w14:paraId="0978239A" w14:textId="7AAD3400"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În cazul în care </w:t>
            </w:r>
            <w:r>
              <w:rPr>
                <w:rFonts w:ascii="Times New Roman" w:eastAsia="Times New Roman" w:hAnsi="Times New Roman" w:cs="Times New Roman"/>
                <w:color w:val="000000"/>
                <w:kern w:val="0"/>
                <w:lang w:eastAsia="ro-MD"/>
                <w14:ligatures w14:val="none"/>
              </w:rPr>
              <w:t>Banca Națională a Moldovei</w:t>
            </w:r>
            <w:r w:rsidRPr="00260C32">
              <w:rPr>
                <w:rFonts w:ascii="Times New Roman" w:eastAsia="Times New Roman" w:hAnsi="Times New Roman" w:cs="Times New Roman"/>
                <w:color w:val="000000"/>
                <w:kern w:val="0"/>
                <w:lang w:eastAsia="ro-MD"/>
                <w14:ligatures w14:val="none"/>
              </w:rPr>
              <w:t xml:space="preserve"> nu a comunicat P2G, se raportează numai punctul (i).</w:t>
            </w:r>
          </w:p>
        </w:tc>
        <w:tc>
          <w:tcPr>
            <w:tcW w:w="532" w:type="pct"/>
          </w:tcPr>
          <w:p w14:paraId="061B10D3" w14:textId="77777777"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20FB7719" w14:textId="57611936" w:rsidTr="004174B2">
        <w:trPr>
          <w:gridAfter w:val="1"/>
          <w:wAfter w:w="4" w:type="pct"/>
          <w:tblCellSpacing w:w="0" w:type="dxa"/>
        </w:trPr>
        <w:tc>
          <w:tcPr>
            <w:tcW w:w="0" w:type="auto"/>
            <w:hideMark/>
          </w:tcPr>
          <w:p w14:paraId="077168A6"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0220</w:t>
            </w:r>
          </w:p>
        </w:tc>
        <w:tc>
          <w:tcPr>
            <w:tcW w:w="4074" w:type="pct"/>
            <w:hideMark/>
          </w:tcPr>
          <w:p w14:paraId="24C85616" w14:textId="31360224" w:rsidR="004174B2" w:rsidRPr="006F30A7" w:rsidRDefault="00205176"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 xml:space="preserve">16. </w:t>
            </w:r>
            <w:r w:rsidR="004174B2" w:rsidRPr="006F30A7">
              <w:rPr>
                <w:rFonts w:ascii="Times New Roman" w:eastAsia="Times New Roman" w:hAnsi="Times New Roman" w:cs="Times New Roman"/>
                <w:b/>
                <w:bCs/>
                <w:color w:val="000000"/>
                <w:kern w:val="0"/>
                <w:lang w:eastAsia="ro-MD"/>
                <w14:ligatures w14:val="none"/>
              </w:rPr>
              <w:t xml:space="preserve">Excedentul(+)/Deficitul(-) fondurilor proprii de nivel 1 de bază având în vedere cerințele </w:t>
            </w:r>
            <w:r w:rsidR="00E5386C" w:rsidRPr="006F30A7">
              <w:rPr>
                <w:rFonts w:ascii="Times New Roman" w:eastAsia="Times New Roman" w:hAnsi="Times New Roman" w:cs="Times New Roman"/>
                <w:b/>
                <w:bCs/>
                <w:color w:val="000000"/>
                <w:kern w:val="0"/>
                <w:lang w:eastAsia="ro-MD"/>
                <w14:ligatures w14:val="none"/>
              </w:rPr>
              <w:t>punctelor 130-133 din Regulamentul nr.109/2018</w:t>
            </w:r>
            <w:r w:rsidR="001F20AF" w:rsidRPr="006F30A7">
              <w:rPr>
                <w:rFonts w:ascii="Times New Roman" w:eastAsia="Times New Roman" w:hAnsi="Times New Roman" w:cs="Times New Roman"/>
                <w:b/>
                <w:bCs/>
                <w:color w:val="000000"/>
                <w:kern w:val="0"/>
                <w:lang w:eastAsia="ro-MD"/>
                <w14:ligatures w14:val="none"/>
              </w:rPr>
              <w:t xml:space="preserve"> </w:t>
            </w:r>
            <w:r w:rsidR="004174B2" w:rsidRPr="006F30A7">
              <w:rPr>
                <w:rFonts w:ascii="Times New Roman" w:eastAsia="Times New Roman" w:hAnsi="Times New Roman" w:cs="Times New Roman"/>
                <w:b/>
                <w:bCs/>
                <w:color w:val="000000"/>
                <w:kern w:val="0"/>
                <w:lang w:eastAsia="ro-MD"/>
                <w14:ligatures w14:val="none"/>
              </w:rPr>
              <w:t>și ale articolului 1</w:t>
            </w:r>
            <w:r w:rsidR="00624370" w:rsidRPr="006F30A7">
              <w:rPr>
                <w:rFonts w:ascii="Times New Roman" w:eastAsia="Times New Roman" w:hAnsi="Times New Roman" w:cs="Times New Roman"/>
                <w:b/>
                <w:bCs/>
                <w:color w:val="000000"/>
                <w:kern w:val="0"/>
                <w:lang w:eastAsia="ro-MD"/>
                <w14:ligatures w14:val="none"/>
              </w:rPr>
              <w:t>39</w:t>
            </w:r>
            <w:r w:rsidR="00624370" w:rsidRPr="006F30A7">
              <w:rPr>
                <w:rFonts w:ascii="Times New Roman" w:eastAsia="Times New Roman" w:hAnsi="Times New Roman" w:cs="Times New Roman"/>
                <w:b/>
                <w:bCs/>
                <w:color w:val="000000"/>
                <w:kern w:val="0"/>
                <w:vertAlign w:val="superscript"/>
                <w:lang w:eastAsia="ro-MD"/>
                <w14:ligatures w14:val="none"/>
              </w:rPr>
              <w:t>1</w:t>
            </w:r>
            <w:r w:rsidR="004174B2" w:rsidRPr="006F30A7">
              <w:rPr>
                <w:rFonts w:ascii="Times New Roman" w:eastAsia="Times New Roman" w:hAnsi="Times New Roman" w:cs="Times New Roman"/>
                <w:b/>
                <w:bCs/>
                <w:color w:val="000000"/>
                <w:kern w:val="0"/>
                <w:lang w:eastAsia="ro-MD"/>
                <w14:ligatures w14:val="none"/>
              </w:rPr>
              <w:t xml:space="preserve"> din </w:t>
            </w:r>
            <w:r w:rsidR="00624370" w:rsidRPr="006F30A7">
              <w:rPr>
                <w:rFonts w:ascii="Times New Roman" w:eastAsia="Times New Roman" w:hAnsi="Times New Roman" w:cs="Times New Roman"/>
                <w:b/>
                <w:bCs/>
                <w:color w:val="000000"/>
                <w:kern w:val="0"/>
                <w:lang w:eastAsia="ro-MD"/>
                <w14:ligatures w14:val="none"/>
              </w:rPr>
              <w:t>Legea nr. 202/2017</w:t>
            </w:r>
          </w:p>
          <w:p w14:paraId="349B6328" w14:textId="2EB7D243"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Acest element indică, în cifre absolute, cuantumul excedentului sau al deficitului fondurilor proprii de nivel 1 de bază în raport cu cerințele prevăzute la </w:t>
            </w:r>
            <w:r w:rsidR="0086774A" w:rsidRPr="005802BF">
              <w:rPr>
                <w:rFonts w:ascii="Times New Roman" w:eastAsia="Times New Roman" w:hAnsi="Times New Roman" w:cs="Times New Roman"/>
                <w:color w:val="000000"/>
                <w:kern w:val="0"/>
                <w:lang w:eastAsia="ro-MD"/>
                <w14:ligatures w14:val="none"/>
              </w:rPr>
              <w:t xml:space="preserve">punctul 130 subpunctul </w:t>
            </w:r>
            <w:r w:rsidR="0086774A">
              <w:rPr>
                <w:rFonts w:ascii="Times New Roman" w:eastAsia="Times New Roman" w:hAnsi="Times New Roman" w:cs="Times New Roman"/>
                <w:color w:val="000000"/>
                <w:kern w:val="0"/>
                <w:lang w:eastAsia="ro-MD"/>
                <w14:ligatures w14:val="none"/>
              </w:rPr>
              <w:t>1</w:t>
            </w:r>
            <w:r w:rsidR="0086774A" w:rsidRPr="005802BF">
              <w:rPr>
                <w:rFonts w:ascii="Times New Roman" w:eastAsia="Times New Roman" w:hAnsi="Times New Roman" w:cs="Times New Roman"/>
                <w:color w:val="000000"/>
                <w:kern w:val="0"/>
                <w:lang w:eastAsia="ro-MD"/>
                <w14:ligatures w14:val="none"/>
              </w:rPr>
              <w:t xml:space="preserve">) din </w:t>
            </w:r>
            <w:r w:rsidR="0086774A">
              <w:rPr>
                <w:rFonts w:ascii="Times New Roman" w:eastAsia="Times New Roman" w:hAnsi="Times New Roman" w:cs="Times New Roman"/>
                <w:color w:val="000000"/>
                <w:kern w:val="0"/>
                <w:lang w:eastAsia="ro-MD"/>
                <w14:ligatures w14:val="none"/>
              </w:rPr>
              <w:t>Regulamentul nr.109/2018</w:t>
            </w:r>
            <w:r w:rsidRPr="00260C32">
              <w:rPr>
                <w:rFonts w:ascii="Times New Roman" w:eastAsia="Times New Roman" w:hAnsi="Times New Roman" w:cs="Times New Roman"/>
                <w:color w:val="000000"/>
                <w:kern w:val="0"/>
                <w:lang w:eastAsia="ro-MD"/>
                <w14:ligatures w14:val="none"/>
              </w:rPr>
              <w:t xml:space="preserve"> </w:t>
            </w:r>
            <w:r w:rsidRPr="002569FD">
              <w:rPr>
                <w:rFonts w:ascii="Times New Roman" w:eastAsia="Times New Roman" w:hAnsi="Times New Roman" w:cs="Times New Roman"/>
                <w:color w:val="000000"/>
                <w:kern w:val="0"/>
                <w:lang w:eastAsia="ro-MD"/>
                <w14:ligatures w14:val="none"/>
              </w:rPr>
              <w:t xml:space="preserve">și la articolul </w:t>
            </w:r>
            <w:r w:rsidR="002569FD" w:rsidRPr="002569FD">
              <w:rPr>
                <w:rFonts w:ascii="Times New Roman" w:eastAsia="Times New Roman" w:hAnsi="Times New Roman" w:cs="Times New Roman"/>
                <w:color w:val="000000"/>
                <w:kern w:val="0"/>
                <w:lang w:eastAsia="ro-MD"/>
                <w14:ligatures w14:val="none"/>
              </w:rPr>
              <w:t>139</w:t>
            </w:r>
            <w:r w:rsidR="002569FD" w:rsidRPr="002569FD">
              <w:rPr>
                <w:rFonts w:ascii="Times New Roman" w:eastAsia="Times New Roman" w:hAnsi="Times New Roman" w:cs="Times New Roman"/>
                <w:color w:val="000000"/>
                <w:kern w:val="0"/>
                <w:vertAlign w:val="superscript"/>
                <w:lang w:eastAsia="ro-MD"/>
                <w14:ligatures w14:val="none"/>
              </w:rPr>
              <w:t>1</w:t>
            </w:r>
            <w:r w:rsidR="002569FD" w:rsidRPr="002569FD">
              <w:rPr>
                <w:rFonts w:ascii="Times New Roman" w:eastAsia="Times New Roman" w:hAnsi="Times New Roman" w:cs="Times New Roman"/>
                <w:color w:val="000000"/>
                <w:kern w:val="0"/>
                <w:lang w:eastAsia="ro-MD"/>
                <w14:ligatures w14:val="none"/>
              </w:rPr>
              <w:t xml:space="preserve"> din Legea nr. 202/2017</w:t>
            </w:r>
            <w:r w:rsidRPr="00232DE0">
              <w:rPr>
                <w:rFonts w:ascii="Times New Roman" w:eastAsia="Times New Roman" w:hAnsi="Times New Roman" w:cs="Times New Roman"/>
                <w:color w:val="000000"/>
                <w:kern w:val="0"/>
                <w:lang w:eastAsia="ro-MD"/>
                <w14:ligatures w14:val="none"/>
              </w:rPr>
              <w:t xml:space="preserve">, în măsura în care cerința prevăzută la articolul </w:t>
            </w:r>
            <w:r w:rsidR="002569FD" w:rsidRPr="002569FD">
              <w:rPr>
                <w:rFonts w:ascii="Times New Roman" w:eastAsia="Times New Roman" w:hAnsi="Times New Roman" w:cs="Times New Roman"/>
                <w:color w:val="000000"/>
                <w:kern w:val="0"/>
                <w:lang w:eastAsia="ro-MD"/>
                <w14:ligatures w14:val="none"/>
              </w:rPr>
              <w:t>139</w:t>
            </w:r>
            <w:r w:rsidR="002569FD" w:rsidRPr="002569FD">
              <w:rPr>
                <w:rFonts w:ascii="Times New Roman" w:eastAsia="Times New Roman" w:hAnsi="Times New Roman" w:cs="Times New Roman"/>
                <w:color w:val="000000"/>
                <w:kern w:val="0"/>
                <w:vertAlign w:val="superscript"/>
                <w:lang w:eastAsia="ro-MD"/>
                <w14:ligatures w14:val="none"/>
              </w:rPr>
              <w:t>1</w:t>
            </w:r>
            <w:r w:rsidR="002569FD" w:rsidRPr="002569FD">
              <w:rPr>
                <w:rFonts w:ascii="Times New Roman" w:eastAsia="Times New Roman" w:hAnsi="Times New Roman" w:cs="Times New Roman"/>
                <w:color w:val="000000"/>
                <w:kern w:val="0"/>
                <w:lang w:eastAsia="ro-MD"/>
                <w14:ligatures w14:val="none"/>
              </w:rPr>
              <w:t xml:space="preserve"> din Legea nr. 202/2017</w:t>
            </w:r>
            <w:r w:rsidR="002569FD">
              <w:rPr>
                <w:rFonts w:ascii="Times New Roman" w:eastAsia="Times New Roman" w:hAnsi="Times New Roman" w:cs="Times New Roman"/>
                <w:color w:val="000000"/>
                <w:kern w:val="0"/>
                <w:lang w:eastAsia="ro-MD"/>
                <w14:ligatures w14:val="none"/>
              </w:rPr>
              <w:t xml:space="preserve"> </w:t>
            </w:r>
            <w:r w:rsidRPr="00232DE0">
              <w:rPr>
                <w:rFonts w:ascii="Times New Roman" w:eastAsia="Times New Roman" w:hAnsi="Times New Roman" w:cs="Times New Roman"/>
                <w:color w:val="000000"/>
                <w:kern w:val="0"/>
                <w:lang w:eastAsia="ro-MD"/>
                <w14:ligatures w14:val="none"/>
              </w:rPr>
              <w:t>trebuie îndeplinită cu fonduri proprii de nivel 1 de bază</w:t>
            </w:r>
            <w:r w:rsidRPr="002569FD">
              <w:rPr>
                <w:rFonts w:ascii="Times New Roman" w:eastAsia="Times New Roman" w:hAnsi="Times New Roman" w:cs="Times New Roman"/>
                <w:color w:val="000000"/>
                <w:kern w:val="0"/>
                <w:lang w:eastAsia="ro-MD"/>
                <w14:ligatures w14:val="none"/>
              </w:rPr>
              <w:t>.</w:t>
            </w:r>
            <w:r w:rsidRPr="00260C32">
              <w:rPr>
                <w:rFonts w:ascii="Times New Roman" w:eastAsia="Times New Roman" w:hAnsi="Times New Roman" w:cs="Times New Roman"/>
                <w:color w:val="000000"/>
                <w:kern w:val="0"/>
                <w:lang w:eastAsia="ro-MD"/>
                <w14:ligatures w14:val="none"/>
              </w:rPr>
              <w:t xml:space="preserve"> În cazul în care o </w:t>
            </w:r>
            <w:r>
              <w:rPr>
                <w:rFonts w:ascii="Times New Roman" w:eastAsia="Times New Roman" w:hAnsi="Times New Roman" w:cs="Times New Roman"/>
                <w:color w:val="000000"/>
                <w:kern w:val="0"/>
                <w:lang w:eastAsia="ro-MD"/>
                <w14:ligatures w14:val="none"/>
              </w:rPr>
              <w:t>bancă</w:t>
            </w:r>
            <w:r w:rsidRPr="00260C32">
              <w:rPr>
                <w:rFonts w:ascii="Times New Roman" w:eastAsia="Times New Roman" w:hAnsi="Times New Roman" w:cs="Times New Roman"/>
                <w:color w:val="000000"/>
                <w:kern w:val="0"/>
                <w:lang w:eastAsia="ro-MD"/>
                <w14:ligatures w14:val="none"/>
              </w:rPr>
              <w:t xml:space="preserve"> trebuie să utilizeze fonduri proprii de nivel 1 de bază pentru a îndeplini cerințele prevăzute la </w:t>
            </w:r>
            <w:r w:rsidR="0086774A" w:rsidRPr="005802BF">
              <w:rPr>
                <w:rFonts w:ascii="Times New Roman" w:eastAsia="Times New Roman" w:hAnsi="Times New Roman" w:cs="Times New Roman"/>
                <w:color w:val="000000"/>
                <w:kern w:val="0"/>
                <w:lang w:eastAsia="ro-MD"/>
                <w14:ligatures w14:val="none"/>
              </w:rPr>
              <w:t>punctul 130 subpunct</w:t>
            </w:r>
            <w:r w:rsidR="0086774A">
              <w:rPr>
                <w:rFonts w:ascii="Times New Roman" w:eastAsia="Times New Roman" w:hAnsi="Times New Roman" w:cs="Times New Roman"/>
                <w:color w:val="000000"/>
                <w:kern w:val="0"/>
                <w:lang w:eastAsia="ro-MD"/>
                <w14:ligatures w14:val="none"/>
              </w:rPr>
              <w:t>ele</w:t>
            </w:r>
            <w:r w:rsidR="0086774A" w:rsidRPr="005802BF">
              <w:rPr>
                <w:rFonts w:ascii="Times New Roman" w:eastAsia="Times New Roman" w:hAnsi="Times New Roman" w:cs="Times New Roman"/>
                <w:color w:val="000000"/>
                <w:kern w:val="0"/>
                <w:lang w:eastAsia="ro-MD"/>
                <w14:ligatures w14:val="none"/>
              </w:rPr>
              <w:t xml:space="preserve"> </w:t>
            </w:r>
            <w:r w:rsidR="0086774A">
              <w:rPr>
                <w:rFonts w:ascii="Times New Roman" w:eastAsia="Times New Roman" w:hAnsi="Times New Roman" w:cs="Times New Roman"/>
                <w:color w:val="000000"/>
                <w:kern w:val="0"/>
                <w:lang w:eastAsia="ro-MD"/>
                <w14:ligatures w14:val="none"/>
              </w:rPr>
              <w:t>2</w:t>
            </w:r>
            <w:r w:rsidR="0086774A" w:rsidRPr="005802BF">
              <w:rPr>
                <w:rFonts w:ascii="Times New Roman" w:eastAsia="Times New Roman" w:hAnsi="Times New Roman" w:cs="Times New Roman"/>
                <w:color w:val="000000"/>
                <w:kern w:val="0"/>
                <w:lang w:eastAsia="ro-MD"/>
                <w14:ligatures w14:val="none"/>
              </w:rPr>
              <w:t>)</w:t>
            </w:r>
            <w:r w:rsidR="0086774A">
              <w:rPr>
                <w:rFonts w:ascii="Times New Roman" w:eastAsia="Times New Roman" w:hAnsi="Times New Roman" w:cs="Times New Roman"/>
                <w:color w:val="000000"/>
                <w:kern w:val="0"/>
                <w:lang w:eastAsia="ro-MD"/>
                <w14:ligatures w14:val="none"/>
              </w:rPr>
              <w:t xml:space="preserve"> și 3)</w:t>
            </w:r>
            <w:r w:rsidR="0086774A" w:rsidRPr="005802BF">
              <w:rPr>
                <w:rFonts w:ascii="Times New Roman" w:eastAsia="Times New Roman" w:hAnsi="Times New Roman" w:cs="Times New Roman"/>
                <w:color w:val="000000"/>
                <w:kern w:val="0"/>
                <w:lang w:eastAsia="ro-MD"/>
                <w14:ligatures w14:val="none"/>
              </w:rPr>
              <w:t xml:space="preserve"> din </w:t>
            </w:r>
            <w:r w:rsidR="0086774A">
              <w:rPr>
                <w:rFonts w:ascii="Times New Roman" w:eastAsia="Times New Roman" w:hAnsi="Times New Roman" w:cs="Times New Roman"/>
                <w:color w:val="000000"/>
                <w:kern w:val="0"/>
                <w:lang w:eastAsia="ro-MD"/>
                <w14:ligatures w14:val="none"/>
              </w:rPr>
              <w:t>Regulamentul nr.109/2018</w:t>
            </w:r>
            <w:r w:rsidR="00232DE0">
              <w:rPr>
                <w:rFonts w:ascii="Times New Roman" w:eastAsia="Times New Roman" w:hAnsi="Times New Roman" w:cs="Times New Roman"/>
                <w:color w:val="000000"/>
                <w:kern w:val="0"/>
                <w:lang w:eastAsia="ro-MD"/>
                <w14:ligatures w14:val="none"/>
              </w:rPr>
              <w:t xml:space="preserve"> </w:t>
            </w:r>
            <w:r w:rsidRPr="002569FD">
              <w:rPr>
                <w:rFonts w:ascii="Times New Roman" w:eastAsia="Times New Roman" w:hAnsi="Times New Roman" w:cs="Times New Roman"/>
                <w:color w:val="000000"/>
                <w:kern w:val="0"/>
                <w:lang w:eastAsia="ro-MD"/>
                <w14:ligatures w14:val="none"/>
              </w:rPr>
              <w:t>și/sau la articol</w:t>
            </w:r>
            <w:r w:rsidR="002C0328">
              <w:rPr>
                <w:rFonts w:ascii="Times New Roman" w:eastAsia="Times New Roman" w:hAnsi="Times New Roman" w:cs="Times New Roman"/>
                <w:color w:val="000000"/>
                <w:kern w:val="0"/>
                <w:lang w:eastAsia="ro-MD"/>
                <w14:ligatures w14:val="none"/>
              </w:rPr>
              <w:t>ele</w:t>
            </w:r>
            <w:r w:rsidRPr="002569FD">
              <w:rPr>
                <w:rFonts w:ascii="Times New Roman" w:eastAsia="Times New Roman" w:hAnsi="Times New Roman" w:cs="Times New Roman"/>
                <w:color w:val="000000"/>
                <w:kern w:val="0"/>
                <w:lang w:eastAsia="ro-MD"/>
                <w14:ligatures w14:val="none"/>
              </w:rPr>
              <w:t xml:space="preserve"> </w:t>
            </w:r>
            <w:r w:rsidR="002569FD" w:rsidRPr="002569FD">
              <w:rPr>
                <w:rFonts w:ascii="Times New Roman" w:eastAsia="Times New Roman" w:hAnsi="Times New Roman" w:cs="Times New Roman"/>
                <w:color w:val="000000"/>
                <w:kern w:val="0"/>
                <w:lang w:eastAsia="ro-MD"/>
                <w14:ligatures w14:val="none"/>
              </w:rPr>
              <w:t>139</w:t>
            </w:r>
            <w:r w:rsidR="002569FD" w:rsidRPr="002569FD">
              <w:rPr>
                <w:rFonts w:ascii="Times New Roman" w:eastAsia="Times New Roman" w:hAnsi="Times New Roman" w:cs="Times New Roman"/>
                <w:color w:val="000000"/>
                <w:kern w:val="0"/>
                <w:vertAlign w:val="superscript"/>
                <w:lang w:eastAsia="ro-MD"/>
                <w14:ligatures w14:val="none"/>
              </w:rPr>
              <w:t>1</w:t>
            </w:r>
            <w:r w:rsidR="002569FD" w:rsidRPr="002569FD">
              <w:rPr>
                <w:rFonts w:ascii="Times New Roman" w:eastAsia="Times New Roman" w:hAnsi="Times New Roman" w:cs="Times New Roman"/>
                <w:color w:val="000000"/>
                <w:kern w:val="0"/>
                <w:lang w:eastAsia="ro-MD"/>
                <w14:ligatures w14:val="none"/>
              </w:rPr>
              <w:t xml:space="preserve"> </w:t>
            </w:r>
            <w:r w:rsidR="002C0328">
              <w:rPr>
                <w:rFonts w:ascii="Times New Roman" w:eastAsia="Times New Roman" w:hAnsi="Times New Roman" w:cs="Times New Roman"/>
                <w:color w:val="000000"/>
                <w:kern w:val="0"/>
                <w:lang w:eastAsia="ro-MD"/>
                <w14:ligatures w14:val="none"/>
              </w:rPr>
              <w:t>și 139</w:t>
            </w:r>
            <w:r w:rsidR="002C0328" w:rsidRPr="002C0328">
              <w:rPr>
                <w:rFonts w:ascii="Times New Roman" w:eastAsia="Times New Roman" w:hAnsi="Times New Roman" w:cs="Times New Roman"/>
                <w:color w:val="000000"/>
                <w:kern w:val="0"/>
                <w:vertAlign w:val="superscript"/>
                <w:lang w:eastAsia="ro-MD"/>
                <w14:ligatures w14:val="none"/>
              </w:rPr>
              <w:t>2</w:t>
            </w:r>
            <w:r w:rsidR="002C0328">
              <w:rPr>
                <w:rFonts w:ascii="Times New Roman" w:eastAsia="Times New Roman" w:hAnsi="Times New Roman" w:cs="Times New Roman"/>
                <w:color w:val="000000"/>
                <w:kern w:val="0"/>
                <w:lang w:eastAsia="ro-MD"/>
                <w14:ligatures w14:val="none"/>
              </w:rPr>
              <w:t xml:space="preserve"> </w:t>
            </w:r>
            <w:r w:rsidR="002569FD" w:rsidRPr="002569FD">
              <w:rPr>
                <w:rFonts w:ascii="Times New Roman" w:eastAsia="Times New Roman" w:hAnsi="Times New Roman" w:cs="Times New Roman"/>
                <w:color w:val="000000"/>
                <w:kern w:val="0"/>
                <w:lang w:eastAsia="ro-MD"/>
                <w14:ligatures w14:val="none"/>
              </w:rPr>
              <w:t xml:space="preserve">din Legea nr. 202/2017 </w:t>
            </w:r>
            <w:r w:rsidRPr="00232DE0">
              <w:rPr>
                <w:rFonts w:ascii="Times New Roman" w:eastAsia="Times New Roman" w:hAnsi="Times New Roman" w:cs="Times New Roman"/>
                <w:color w:val="000000"/>
                <w:kern w:val="0"/>
                <w:lang w:eastAsia="ro-MD"/>
                <w14:ligatures w14:val="none"/>
              </w:rPr>
              <w:t>într-o măsură mai mare decât cea în care cerința de la articol</w:t>
            </w:r>
            <w:r w:rsidR="002C0328">
              <w:rPr>
                <w:rFonts w:ascii="Times New Roman" w:eastAsia="Times New Roman" w:hAnsi="Times New Roman" w:cs="Times New Roman"/>
                <w:color w:val="000000"/>
                <w:kern w:val="0"/>
                <w:lang w:eastAsia="ro-MD"/>
                <w14:ligatures w14:val="none"/>
              </w:rPr>
              <w:t>ele</w:t>
            </w:r>
            <w:r w:rsidRPr="00232DE0">
              <w:rPr>
                <w:rFonts w:ascii="Times New Roman" w:eastAsia="Times New Roman" w:hAnsi="Times New Roman" w:cs="Times New Roman"/>
                <w:color w:val="000000"/>
                <w:kern w:val="0"/>
                <w:lang w:eastAsia="ro-MD"/>
                <w14:ligatures w14:val="none"/>
              </w:rPr>
              <w:t xml:space="preserve"> </w:t>
            </w:r>
            <w:r w:rsidR="002569FD" w:rsidRPr="002569FD">
              <w:rPr>
                <w:rFonts w:ascii="Times New Roman" w:eastAsia="Times New Roman" w:hAnsi="Times New Roman" w:cs="Times New Roman"/>
                <w:color w:val="000000"/>
                <w:kern w:val="0"/>
                <w:lang w:eastAsia="ro-MD"/>
                <w14:ligatures w14:val="none"/>
              </w:rPr>
              <w:t>139</w:t>
            </w:r>
            <w:r w:rsidR="002569FD" w:rsidRPr="002569FD">
              <w:rPr>
                <w:rFonts w:ascii="Times New Roman" w:eastAsia="Times New Roman" w:hAnsi="Times New Roman" w:cs="Times New Roman"/>
                <w:color w:val="000000"/>
                <w:kern w:val="0"/>
                <w:vertAlign w:val="superscript"/>
                <w:lang w:eastAsia="ro-MD"/>
                <w14:ligatures w14:val="none"/>
              </w:rPr>
              <w:t>1</w:t>
            </w:r>
            <w:r w:rsidR="002569FD" w:rsidRPr="002569FD">
              <w:rPr>
                <w:rFonts w:ascii="Times New Roman" w:eastAsia="Times New Roman" w:hAnsi="Times New Roman" w:cs="Times New Roman"/>
                <w:color w:val="000000"/>
                <w:kern w:val="0"/>
                <w:lang w:eastAsia="ro-MD"/>
                <w14:ligatures w14:val="none"/>
              </w:rPr>
              <w:t xml:space="preserve"> </w:t>
            </w:r>
            <w:r w:rsidR="002C0328">
              <w:rPr>
                <w:rFonts w:ascii="Times New Roman" w:eastAsia="Times New Roman" w:hAnsi="Times New Roman" w:cs="Times New Roman"/>
                <w:color w:val="000000"/>
                <w:kern w:val="0"/>
                <w:lang w:eastAsia="ro-MD"/>
                <w14:ligatures w14:val="none"/>
              </w:rPr>
              <w:t>și 139</w:t>
            </w:r>
            <w:r w:rsidR="002C0328" w:rsidRPr="002C0328">
              <w:rPr>
                <w:rFonts w:ascii="Times New Roman" w:eastAsia="Times New Roman" w:hAnsi="Times New Roman" w:cs="Times New Roman"/>
                <w:color w:val="000000"/>
                <w:kern w:val="0"/>
                <w:vertAlign w:val="superscript"/>
                <w:lang w:eastAsia="ro-MD"/>
                <w14:ligatures w14:val="none"/>
              </w:rPr>
              <w:t>2</w:t>
            </w:r>
            <w:r w:rsidR="002C0328">
              <w:rPr>
                <w:rFonts w:ascii="Times New Roman" w:eastAsia="Times New Roman" w:hAnsi="Times New Roman" w:cs="Times New Roman"/>
                <w:color w:val="000000"/>
                <w:kern w:val="0"/>
                <w:lang w:eastAsia="ro-MD"/>
                <w14:ligatures w14:val="none"/>
              </w:rPr>
              <w:t xml:space="preserve"> </w:t>
            </w:r>
            <w:r w:rsidR="002569FD" w:rsidRPr="002569FD">
              <w:rPr>
                <w:rFonts w:ascii="Times New Roman" w:eastAsia="Times New Roman" w:hAnsi="Times New Roman" w:cs="Times New Roman"/>
                <w:color w:val="000000"/>
                <w:kern w:val="0"/>
                <w:lang w:eastAsia="ro-MD"/>
                <w14:ligatures w14:val="none"/>
              </w:rPr>
              <w:t>din Legea nr. 202/2017</w:t>
            </w:r>
            <w:r w:rsidRPr="00232DE0">
              <w:rPr>
                <w:rFonts w:ascii="Times New Roman" w:eastAsia="Times New Roman" w:hAnsi="Times New Roman" w:cs="Times New Roman"/>
                <w:color w:val="000000"/>
                <w:kern w:val="0"/>
                <w:lang w:eastAsia="ro-MD"/>
                <w14:ligatures w14:val="none"/>
              </w:rPr>
              <w:t xml:space="preserve"> trebuie îndeplinită cu fonduri proprii de nivel 1 de bază, surplusul sau deficitul raportat trebuie să țină seama de acest lucru.</w:t>
            </w:r>
          </w:p>
          <w:p w14:paraId="4837D537" w14:textId="77777777" w:rsidR="004174B2" w:rsidRPr="00260C3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Acest cuantum reflectă fondurile proprii de nivel 1 de bază disponibile pentru a îndeplini cerința amortizorului combinat și alte cerințe.</w:t>
            </w:r>
          </w:p>
        </w:tc>
        <w:tc>
          <w:tcPr>
            <w:tcW w:w="532" w:type="pct"/>
          </w:tcPr>
          <w:p w14:paraId="43110D0D" w14:textId="77777777"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20927045" w14:textId="77777777" w:rsidTr="004174B2">
        <w:trPr>
          <w:gridAfter w:val="1"/>
          <w:wAfter w:w="4" w:type="pct"/>
          <w:tblCellSpacing w:w="0" w:type="dxa"/>
        </w:trPr>
        <w:tc>
          <w:tcPr>
            <w:tcW w:w="0" w:type="auto"/>
          </w:tcPr>
          <w:p w14:paraId="5A13EB32" w14:textId="7F27F8F7" w:rsidR="004174B2" w:rsidRPr="002C0328" w:rsidDel="004174B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0330</w:t>
            </w:r>
          </w:p>
        </w:tc>
        <w:tc>
          <w:tcPr>
            <w:tcW w:w="4074" w:type="pct"/>
          </w:tcPr>
          <w:p w14:paraId="7CBB7546" w14:textId="05BEB9D1" w:rsidR="004174B2" w:rsidRPr="006F30A7" w:rsidRDefault="00205176"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 xml:space="preserve">20. </w:t>
            </w:r>
            <w:r w:rsidR="004174B2" w:rsidRPr="006F30A7">
              <w:rPr>
                <w:rFonts w:ascii="Times New Roman" w:eastAsia="Times New Roman" w:hAnsi="Times New Roman" w:cs="Times New Roman"/>
                <w:b/>
                <w:bCs/>
                <w:color w:val="000000"/>
                <w:kern w:val="0"/>
                <w:lang w:eastAsia="ro-MD"/>
                <w14:ligatures w14:val="none"/>
              </w:rPr>
              <w:t>Rata fondurilor proprii de nivel 1 de bază „</w:t>
            </w:r>
            <w:proofErr w:type="spellStart"/>
            <w:r w:rsidR="004174B2" w:rsidRPr="006F30A7">
              <w:rPr>
                <w:rFonts w:ascii="Times New Roman" w:eastAsia="Times New Roman" w:hAnsi="Times New Roman" w:cs="Times New Roman"/>
                <w:b/>
                <w:bCs/>
                <w:color w:val="000000"/>
                <w:kern w:val="0"/>
                <w:lang w:eastAsia="ro-MD"/>
                <w14:ligatures w14:val="none"/>
              </w:rPr>
              <w:t>fully</w:t>
            </w:r>
            <w:proofErr w:type="spellEnd"/>
            <w:r w:rsidR="004174B2" w:rsidRPr="006F30A7">
              <w:rPr>
                <w:rFonts w:ascii="Times New Roman" w:eastAsia="Times New Roman" w:hAnsi="Times New Roman" w:cs="Times New Roman"/>
                <w:b/>
                <w:bCs/>
                <w:color w:val="000000"/>
                <w:kern w:val="0"/>
                <w:lang w:eastAsia="ro-MD"/>
                <w14:ligatures w14:val="none"/>
              </w:rPr>
              <w:t xml:space="preserve"> </w:t>
            </w:r>
            <w:proofErr w:type="spellStart"/>
            <w:r w:rsidR="004174B2" w:rsidRPr="006F30A7">
              <w:rPr>
                <w:rFonts w:ascii="Times New Roman" w:eastAsia="Times New Roman" w:hAnsi="Times New Roman" w:cs="Times New Roman"/>
                <w:b/>
                <w:bCs/>
                <w:color w:val="000000"/>
                <w:kern w:val="0"/>
                <w:lang w:eastAsia="ro-MD"/>
                <w14:ligatures w14:val="none"/>
              </w:rPr>
              <w:t>loaded</w:t>
            </w:r>
            <w:proofErr w:type="spellEnd"/>
            <w:r w:rsidR="004174B2" w:rsidRPr="006F30A7">
              <w:rPr>
                <w:rFonts w:ascii="Times New Roman" w:eastAsia="Times New Roman" w:hAnsi="Times New Roman" w:cs="Times New Roman"/>
                <w:b/>
                <w:bCs/>
                <w:color w:val="000000"/>
                <w:kern w:val="0"/>
                <w:lang w:eastAsia="ro-MD"/>
                <w14:ligatures w14:val="none"/>
              </w:rPr>
              <w:t>”</w:t>
            </w:r>
          </w:p>
          <w:p w14:paraId="4932D0A1" w14:textId="6495EA11" w:rsidR="00D8522E" w:rsidRPr="002C0328" w:rsidDel="004174B2" w:rsidRDefault="0086774A" w:rsidP="006F30A7">
            <w:pPr>
              <w:spacing w:after="0"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Punctul 131 subpunctul 1) din Regulamentul nr.109/</w:t>
            </w:r>
            <w:r w:rsidR="00AF3FBD" w:rsidRPr="002C0328">
              <w:rPr>
                <w:rFonts w:ascii="Times New Roman" w:eastAsia="Times New Roman" w:hAnsi="Times New Roman" w:cs="Times New Roman"/>
                <w:color w:val="000000"/>
                <w:kern w:val="0"/>
                <w:lang w:eastAsia="ro-MD"/>
                <w14:ligatures w14:val="none"/>
              </w:rPr>
              <w:t>2018</w:t>
            </w:r>
            <w:r w:rsidR="00D8522E" w:rsidRPr="002C0328">
              <w:rPr>
                <w:rFonts w:ascii="Times New Roman" w:hAnsi="Times New Roman"/>
                <w:sz w:val="24"/>
              </w:rPr>
              <w:t>.</w:t>
            </w:r>
          </w:p>
        </w:tc>
        <w:tc>
          <w:tcPr>
            <w:tcW w:w="532" w:type="pct"/>
          </w:tcPr>
          <w:p w14:paraId="3D7A86CE" w14:textId="1B85154E"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6FE97A95" w14:textId="77777777" w:rsidTr="004174B2">
        <w:trPr>
          <w:gridAfter w:val="1"/>
          <w:wAfter w:w="4" w:type="pct"/>
          <w:tblCellSpacing w:w="0" w:type="dxa"/>
        </w:trPr>
        <w:tc>
          <w:tcPr>
            <w:tcW w:w="0" w:type="auto"/>
          </w:tcPr>
          <w:p w14:paraId="311CEA69" w14:textId="0965DB3A" w:rsidR="004174B2" w:rsidRPr="002C0328" w:rsidDel="004174B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0340</w:t>
            </w:r>
          </w:p>
        </w:tc>
        <w:tc>
          <w:tcPr>
            <w:tcW w:w="4074" w:type="pct"/>
          </w:tcPr>
          <w:p w14:paraId="70B71368" w14:textId="1767D7B4" w:rsidR="004174B2" w:rsidRPr="006F30A7" w:rsidRDefault="00205176"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 xml:space="preserve">21. </w:t>
            </w:r>
            <w:r w:rsidR="004174B2" w:rsidRPr="006F30A7">
              <w:rPr>
                <w:rFonts w:ascii="Times New Roman" w:eastAsia="Times New Roman" w:hAnsi="Times New Roman" w:cs="Times New Roman"/>
                <w:b/>
                <w:bCs/>
                <w:color w:val="000000"/>
                <w:kern w:val="0"/>
                <w:lang w:eastAsia="ro-MD"/>
                <w14:ligatures w14:val="none"/>
              </w:rPr>
              <w:t>Rata fondurilor proprii de nivel 1 „</w:t>
            </w:r>
            <w:proofErr w:type="spellStart"/>
            <w:r w:rsidR="004174B2" w:rsidRPr="006F30A7">
              <w:rPr>
                <w:rFonts w:ascii="Times New Roman" w:eastAsia="Times New Roman" w:hAnsi="Times New Roman" w:cs="Times New Roman"/>
                <w:b/>
                <w:bCs/>
                <w:color w:val="000000"/>
                <w:kern w:val="0"/>
                <w:lang w:eastAsia="ro-MD"/>
                <w14:ligatures w14:val="none"/>
              </w:rPr>
              <w:t>fully</w:t>
            </w:r>
            <w:proofErr w:type="spellEnd"/>
            <w:r w:rsidR="004174B2" w:rsidRPr="006F30A7">
              <w:rPr>
                <w:rFonts w:ascii="Times New Roman" w:eastAsia="Times New Roman" w:hAnsi="Times New Roman" w:cs="Times New Roman"/>
                <w:b/>
                <w:bCs/>
                <w:color w:val="000000"/>
                <w:kern w:val="0"/>
                <w:lang w:eastAsia="ro-MD"/>
                <w14:ligatures w14:val="none"/>
              </w:rPr>
              <w:t xml:space="preserve"> </w:t>
            </w:r>
            <w:proofErr w:type="spellStart"/>
            <w:r w:rsidR="004174B2" w:rsidRPr="006F30A7">
              <w:rPr>
                <w:rFonts w:ascii="Times New Roman" w:eastAsia="Times New Roman" w:hAnsi="Times New Roman" w:cs="Times New Roman"/>
                <w:b/>
                <w:bCs/>
                <w:color w:val="000000"/>
                <w:kern w:val="0"/>
                <w:lang w:eastAsia="ro-MD"/>
                <w14:ligatures w14:val="none"/>
              </w:rPr>
              <w:t>loaded</w:t>
            </w:r>
            <w:proofErr w:type="spellEnd"/>
            <w:r w:rsidR="004174B2" w:rsidRPr="006F30A7">
              <w:rPr>
                <w:rFonts w:ascii="Times New Roman" w:eastAsia="Times New Roman" w:hAnsi="Times New Roman" w:cs="Times New Roman"/>
                <w:b/>
                <w:bCs/>
                <w:color w:val="000000"/>
                <w:kern w:val="0"/>
                <w:lang w:eastAsia="ro-MD"/>
                <w14:ligatures w14:val="none"/>
              </w:rPr>
              <w:t>”</w:t>
            </w:r>
          </w:p>
          <w:p w14:paraId="3D598853" w14:textId="15286BF7" w:rsidR="00D8522E" w:rsidRPr="002C0328" w:rsidDel="004174B2" w:rsidRDefault="00C81E07" w:rsidP="006F30A7">
            <w:pPr>
              <w:spacing w:after="0"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Punctul 131 subpunctul 2) din Regulamentul nr.109/2018</w:t>
            </w:r>
            <w:r w:rsidR="00D8522E" w:rsidRPr="002C0328">
              <w:rPr>
                <w:rFonts w:ascii="Times New Roman" w:hAnsi="Times New Roman"/>
              </w:rPr>
              <w:t>.</w:t>
            </w:r>
          </w:p>
        </w:tc>
        <w:tc>
          <w:tcPr>
            <w:tcW w:w="532" w:type="pct"/>
          </w:tcPr>
          <w:p w14:paraId="2ECFAB40" w14:textId="5B8F2208"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052A7E2B" w14:textId="77777777" w:rsidTr="004174B2">
        <w:trPr>
          <w:gridAfter w:val="1"/>
          <w:wAfter w:w="4" w:type="pct"/>
          <w:tblCellSpacing w:w="0" w:type="dxa"/>
        </w:trPr>
        <w:tc>
          <w:tcPr>
            <w:tcW w:w="0" w:type="auto"/>
          </w:tcPr>
          <w:p w14:paraId="67F4EB61" w14:textId="6DE5FB7A" w:rsidR="004174B2" w:rsidRPr="002C0328" w:rsidDel="004174B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0350</w:t>
            </w:r>
          </w:p>
        </w:tc>
        <w:tc>
          <w:tcPr>
            <w:tcW w:w="4074" w:type="pct"/>
          </w:tcPr>
          <w:p w14:paraId="01E6041E" w14:textId="5DA130A5" w:rsidR="004174B2" w:rsidRPr="006F30A7" w:rsidRDefault="00205176"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 xml:space="preserve">22. </w:t>
            </w:r>
            <w:r w:rsidR="004174B2" w:rsidRPr="006F30A7">
              <w:rPr>
                <w:rFonts w:ascii="Times New Roman" w:eastAsia="Times New Roman" w:hAnsi="Times New Roman" w:cs="Times New Roman"/>
                <w:b/>
                <w:bCs/>
                <w:color w:val="000000"/>
                <w:kern w:val="0"/>
                <w:lang w:eastAsia="ro-MD"/>
                <w14:ligatures w14:val="none"/>
              </w:rPr>
              <w:t>Rata fondurilor proprii totale „</w:t>
            </w:r>
            <w:proofErr w:type="spellStart"/>
            <w:r w:rsidR="004174B2" w:rsidRPr="006F30A7">
              <w:rPr>
                <w:rFonts w:ascii="Times New Roman" w:eastAsia="Times New Roman" w:hAnsi="Times New Roman" w:cs="Times New Roman"/>
                <w:b/>
                <w:bCs/>
                <w:color w:val="000000"/>
                <w:kern w:val="0"/>
                <w:lang w:eastAsia="ro-MD"/>
                <w14:ligatures w14:val="none"/>
              </w:rPr>
              <w:t>fully</w:t>
            </w:r>
            <w:proofErr w:type="spellEnd"/>
            <w:r w:rsidR="004174B2" w:rsidRPr="006F30A7">
              <w:rPr>
                <w:rFonts w:ascii="Times New Roman" w:eastAsia="Times New Roman" w:hAnsi="Times New Roman" w:cs="Times New Roman"/>
                <w:b/>
                <w:bCs/>
                <w:color w:val="000000"/>
                <w:kern w:val="0"/>
                <w:lang w:eastAsia="ro-MD"/>
                <w14:ligatures w14:val="none"/>
              </w:rPr>
              <w:t xml:space="preserve"> </w:t>
            </w:r>
            <w:proofErr w:type="spellStart"/>
            <w:r w:rsidR="004174B2" w:rsidRPr="006F30A7">
              <w:rPr>
                <w:rFonts w:ascii="Times New Roman" w:eastAsia="Times New Roman" w:hAnsi="Times New Roman" w:cs="Times New Roman"/>
                <w:b/>
                <w:bCs/>
                <w:color w:val="000000"/>
                <w:kern w:val="0"/>
                <w:lang w:eastAsia="ro-MD"/>
                <w14:ligatures w14:val="none"/>
              </w:rPr>
              <w:t>loaded</w:t>
            </w:r>
            <w:proofErr w:type="spellEnd"/>
            <w:r w:rsidR="004174B2" w:rsidRPr="006F30A7">
              <w:rPr>
                <w:rFonts w:ascii="Times New Roman" w:eastAsia="Times New Roman" w:hAnsi="Times New Roman" w:cs="Times New Roman"/>
                <w:b/>
                <w:bCs/>
                <w:color w:val="000000"/>
                <w:kern w:val="0"/>
                <w:lang w:eastAsia="ro-MD"/>
                <w14:ligatures w14:val="none"/>
              </w:rPr>
              <w:t>”</w:t>
            </w:r>
          </w:p>
          <w:p w14:paraId="39F6D170" w14:textId="42D091A5" w:rsidR="00D8522E" w:rsidRPr="002C0328" w:rsidDel="004174B2" w:rsidRDefault="005C6CCD" w:rsidP="006F30A7">
            <w:pPr>
              <w:spacing w:after="0"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Punctul 131 subpunctul 3) din Regulamentul nr.109/2018</w:t>
            </w:r>
            <w:r w:rsidR="00D8522E" w:rsidRPr="002C0328">
              <w:rPr>
                <w:rFonts w:ascii="Times New Roman" w:hAnsi="Times New Roman"/>
              </w:rPr>
              <w:t>.</w:t>
            </w:r>
          </w:p>
        </w:tc>
        <w:tc>
          <w:tcPr>
            <w:tcW w:w="532" w:type="pct"/>
          </w:tcPr>
          <w:p w14:paraId="4CCD906D" w14:textId="1D197ECD"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60E69E2C" w14:textId="77777777" w:rsidTr="004174B2">
        <w:trPr>
          <w:gridAfter w:val="1"/>
          <w:wAfter w:w="4" w:type="pct"/>
          <w:tblCellSpacing w:w="0" w:type="dxa"/>
        </w:trPr>
        <w:tc>
          <w:tcPr>
            <w:tcW w:w="0" w:type="auto"/>
          </w:tcPr>
          <w:p w14:paraId="2E7CCD55" w14:textId="1A9C0551" w:rsidR="004174B2" w:rsidRPr="002C0328" w:rsidDel="004174B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0360</w:t>
            </w:r>
          </w:p>
        </w:tc>
        <w:tc>
          <w:tcPr>
            <w:tcW w:w="4074" w:type="pct"/>
          </w:tcPr>
          <w:p w14:paraId="614A7D7F" w14:textId="77777777" w:rsidR="00232DE0" w:rsidRPr="006F30A7" w:rsidRDefault="00205176"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 xml:space="preserve">23. </w:t>
            </w:r>
            <w:r w:rsidR="004174B2" w:rsidRPr="006F30A7">
              <w:rPr>
                <w:rFonts w:ascii="Times New Roman" w:eastAsia="Times New Roman" w:hAnsi="Times New Roman" w:cs="Times New Roman"/>
                <w:b/>
                <w:bCs/>
                <w:color w:val="000000"/>
                <w:kern w:val="0"/>
                <w:lang w:eastAsia="ro-MD"/>
                <w14:ligatures w14:val="none"/>
              </w:rPr>
              <w:t xml:space="preserve">Rata fondurilor proprii de nivel 1 de bază fără aplicarea dispozițiilor tranzitorii pentru pragul minim privind cerințele de capital S-TREA </w:t>
            </w:r>
          </w:p>
          <w:p w14:paraId="04DDF5CC" w14:textId="4359A638" w:rsidR="00D8522E" w:rsidRPr="002C0328" w:rsidDel="004174B2" w:rsidRDefault="00D30E5A" w:rsidP="006F30A7">
            <w:pPr>
              <w:spacing w:after="0"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Punctul 131 subpunctul 1) din Regulamentul nr.109/2018</w:t>
            </w:r>
            <w:r w:rsidR="00D8522E" w:rsidRPr="002C0328">
              <w:rPr>
                <w:rFonts w:ascii="Times New Roman" w:hAnsi="Times New Roman"/>
              </w:rPr>
              <w:t>.</w:t>
            </w:r>
          </w:p>
        </w:tc>
        <w:tc>
          <w:tcPr>
            <w:tcW w:w="532" w:type="pct"/>
          </w:tcPr>
          <w:p w14:paraId="522B4443" w14:textId="7622358B"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38AECAC2" w14:textId="77777777" w:rsidTr="004174B2">
        <w:trPr>
          <w:gridAfter w:val="1"/>
          <w:wAfter w:w="4" w:type="pct"/>
          <w:tblCellSpacing w:w="0" w:type="dxa"/>
        </w:trPr>
        <w:tc>
          <w:tcPr>
            <w:tcW w:w="0" w:type="auto"/>
          </w:tcPr>
          <w:p w14:paraId="2B64512F" w14:textId="7B1D6DE4" w:rsidR="004174B2" w:rsidRPr="002C0328" w:rsidDel="004174B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0370</w:t>
            </w:r>
          </w:p>
        </w:tc>
        <w:tc>
          <w:tcPr>
            <w:tcW w:w="4074" w:type="pct"/>
          </w:tcPr>
          <w:p w14:paraId="2BA670F6" w14:textId="77777777" w:rsidR="00232DE0" w:rsidRPr="006F30A7" w:rsidRDefault="00205176"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 xml:space="preserve">24. </w:t>
            </w:r>
            <w:r w:rsidR="004174B2" w:rsidRPr="006F30A7">
              <w:rPr>
                <w:rFonts w:ascii="Times New Roman" w:eastAsia="Times New Roman" w:hAnsi="Times New Roman" w:cs="Times New Roman"/>
                <w:b/>
                <w:bCs/>
                <w:color w:val="000000"/>
                <w:kern w:val="0"/>
                <w:lang w:eastAsia="ro-MD"/>
                <w14:ligatures w14:val="none"/>
              </w:rPr>
              <w:t xml:space="preserve">Rata fondurilor proprii de nivel 1 fără aplicarea dispozițiilor tranzitorii pentru pragul minim privind cerințele de capital S-TREA </w:t>
            </w:r>
          </w:p>
          <w:p w14:paraId="428B32F8" w14:textId="5C9718FC" w:rsidR="00D8522E" w:rsidRPr="002C0328" w:rsidDel="004174B2" w:rsidRDefault="00D30E5A" w:rsidP="006F30A7">
            <w:pPr>
              <w:spacing w:after="0"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Punctul 131 subpunctul 2) din Regulamentul nr.109/2018</w:t>
            </w:r>
            <w:r w:rsidR="00D8522E" w:rsidRPr="002C0328">
              <w:rPr>
                <w:rFonts w:ascii="Times New Roman" w:hAnsi="Times New Roman"/>
              </w:rPr>
              <w:t>.</w:t>
            </w:r>
          </w:p>
        </w:tc>
        <w:tc>
          <w:tcPr>
            <w:tcW w:w="532" w:type="pct"/>
          </w:tcPr>
          <w:p w14:paraId="712F2517" w14:textId="196D02BF"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4174B2" w:rsidRPr="00260C32" w14:paraId="66D8776D" w14:textId="77777777" w:rsidTr="004174B2">
        <w:trPr>
          <w:gridAfter w:val="1"/>
          <w:wAfter w:w="4" w:type="pct"/>
          <w:tblCellSpacing w:w="0" w:type="dxa"/>
        </w:trPr>
        <w:tc>
          <w:tcPr>
            <w:tcW w:w="0" w:type="auto"/>
          </w:tcPr>
          <w:p w14:paraId="40CC578E" w14:textId="22FA67C9" w:rsidR="004174B2" w:rsidRPr="002C0328" w:rsidDel="004174B2" w:rsidRDefault="004174B2" w:rsidP="006F30A7">
            <w:pPr>
              <w:spacing w:after="0"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0380</w:t>
            </w:r>
          </w:p>
        </w:tc>
        <w:tc>
          <w:tcPr>
            <w:tcW w:w="4074" w:type="pct"/>
          </w:tcPr>
          <w:p w14:paraId="47585736" w14:textId="77777777" w:rsidR="00232DE0" w:rsidRPr="006F30A7" w:rsidRDefault="00205176"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 xml:space="preserve">25. </w:t>
            </w:r>
            <w:r w:rsidR="004174B2" w:rsidRPr="006F30A7">
              <w:rPr>
                <w:rFonts w:ascii="Times New Roman" w:eastAsia="Times New Roman" w:hAnsi="Times New Roman" w:cs="Times New Roman"/>
                <w:b/>
                <w:bCs/>
                <w:color w:val="000000"/>
                <w:kern w:val="0"/>
                <w:lang w:eastAsia="ro-MD"/>
                <w14:ligatures w14:val="none"/>
              </w:rPr>
              <w:t xml:space="preserve">Rata fondurilor proprii totale fără aplicarea dispozițiilor tranzitorii pentru pragul minim privind cerințele de capital S-TREA </w:t>
            </w:r>
          </w:p>
          <w:p w14:paraId="7A47C4AA" w14:textId="182E67FF" w:rsidR="00D8522E" w:rsidRPr="002C0328" w:rsidDel="004174B2" w:rsidRDefault="00D30E5A" w:rsidP="006F30A7">
            <w:pPr>
              <w:spacing w:after="0" w:line="240" w:lineRule="auto"/>
              <w:rPr>
                <w:rFonts w:ascii="Times New Roman" w:eastAsia="Times New Roman" w:hAnsi="Times New Roman" w:cs="Times New Roman"/>
                <w:color w:val="000000"/>
                <w:kern w:val="0"/>
                <w:lang w:eastAsia="ro-MD"/>
                <w14:ligatures w14:val="none"/>
              </w:rPr>
            </w:pPr>
            <w:r w:rsidRPr="002C0328">
              <w:rPr>
                <w:rFonts w:ascii="Times New Roman" w:eastAsia="Times New Roman" w:hAnsi="Times New Roman" w:cs="Times New Roman"/>
                <w:color w:val="000000"/>
                <w:kern w:val="0"/>
                <w:lang w:eastAsia="ro-MD"/>
                <w14:ligatures w14:val="none"/>
              </w:rPr>
              <w:t>Punctul 131 subpunctul 3) din Regulamentul nr.109/2018</w:t>
            </w:r>
            <w:r w:rsidR="00D8522E" w:rsidRPr="002C0328">
              <w:rPr>
                <w:rFonts w:ascii="Times New Roman" w:hAnsi="Times New Roman"/>
              </w:rPr>
              <w:t>.</w:t>
            </w:r>
          </w:p>
        </w:tc>
        <w:tc>
          <w:tcPr>
            <w:tcW w:w="532" w:type="pct"/>
          </w:tcPr>
          <w:p w14:paraId="2E50A50C" w14:textId="060F0693" w:rsidR="004174B2" w:rsidRPr="00260C32" w:rsidRDefault="004174B2" w:rsidP="006F30A7">
            <w:pPr>
              <w:spacing w:after="0" w:line="240" w:lineRule="auto"/>
              <w:jc w:val="center"/>
              <w:rPr>
                <w:rFonts w:ascii="Times New Roman" w:eastAsia="Times New Roman" w:hAnsi="Times New Roman" w:cs="Times New Roman"/>
                <w:color w:val="000000"/>
                <w:kern w:val="0"/>
                <w:lang w:eastAsia="ro-MD"/>
                <w14:ligatures w14:val="none"/>
              </w:rPr>
            </w:pPr>
          </w:p>
        </w:tc>
      </w:tr>
    </w:tbl>
    <w:p w14:paraId="3E3A35CE" w14:textId="77777777" w:rsid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p>
    <w:p w14:paraId="01C454D0" w14:textId="4CB2EC83" w:rsidR="00232DE0" w:rsidRPr="002B024E" w:rsidRDefault="00232DE0" w:rsidP="00232DE0">
      <w:pPr>
        <w:jc w:val="center"/>
        <w:rPr>
          <w:rFonts w:ascii="Times New Roman" w:hAnsi="Times New Roman" w:cs="Times New Roman"/>
          <w:b/>
          <w:bCs/>
        </w:rPr>
      </w:pPr>
      <w:r w:rsidRPr="002B024E">
        <w:rPr>
          <w:rFonts w:ascii="Times New Roman" w:hAnsi="Times New Roman" w:cs="Times New Roman"/>
          <w:b/>
          <w:bCs/>
        </w:rPr>
        <w:t>For</w:t>
      </w:r>
      <w:r w:rsidR="008619D0">
        <w:rPr>
          <w:rFonts w:ascii="Times New Roman" w:hAnsi="Times New Roman" w:cs="Times New Roman"/>
          <w:b/>
          <w:bCs/>
        </w:rPr>
        <w:t>mularu</w:t>
      </w:r>
      <w:r w:rsidRPr="002B024E">
        <w:rPr>
          <w:rFonts w:ascii="Times New Roman" w:hAnsi="Times New Roman" w:cs="Times New Roman"/>
          <w:b/>
          <w:bCs/>
        </w:rPr>
        <w:t>l raportului C 0</w:t>
      </w:r>
      <w:r>
        <w:rPr>
          <w:rFonts w:ascii="Times New Roman" w:hAnsi="Times New Roman" w:cs="Times New Roman"/>
          <w:b/>
          <w:bCs/>
        </w:rPr>
        <w:t>4</w:t>
      </w:r>
      <w:r w:rsidRPr="002B024E">
        <w:rPr>
          <w:rFonts w:ascii="Times New Roman" w:hAnsi="Times New Roman" w:cs="Times New Roman"/>
          <w:b/>
          <w:bCs/>
        </w:rPr>
        <w:t>.00</w:t>
      </w:r>
    </w:p>
    <w:p w14:paraId="63F673E5" w14:textId="77777777" w:rsidR="00232DE0" w:rsidRPr="002B024E" w:rsidRDefault="00232DE0" w:rsidP="00232DE0">
      <w:pPr>
        <w:spacing w:after="0"/>
        <w:rPr>
          <w:rFonts w:ascii="Times New Roman" w:hAnsi="Times New Roman" w:cs="Times New Roman"/>
          <w:b/>
          <w:bCs/>
        </w:rPr>
      </w:pPr>
    </w:p>
    <w:p w14:paraId="00C90B36" w14:textId="77777777" w:rsidR="00232DE0" w:rsidRPr="002B024E" w:rsidRDefault="00232DE0" w:rsidP="00232DE0">
      <w:pPr>
        <w:spacing w:after="0"/>
        <w:rPr>
          <w:rFonts w:ascii="Times New Roman" w:hAnsi="Times New Roman" w:cs="Times New Roman"/>
          <w:b/>
          <w:bCs/>
        </w:rPr>
      </w:pPr>
      <w:r w:rsidRPr="002B024E">
        <w:rPr>
          <w:rFonts w:ascii="Times New Roman" w:hAnsi="Times New Roman" w:cs="Times New Roman"/>
          <w:b/>
          <w:bCs/>
        </w:rPr>
        <w:t>Codul băncii ____________________</w:t>
      </w:r>
    </w:p>
    <w:p w14:paraId="3BBFDA21" w14:textId="106991F1" w:rsidR="00232DE0" w:rsidRPr="002B024E" w:rsidRDefault="00232DE0" w:rsidP="00232DE0">
      <w:pPr>
        <w:spacing w:after="0"/>
        <w:rPr>
          <w:rFonts w:ascii="Times New Roman" w:hAnsi="Times New Roman" w:cs="Times New Roman"/>
          <w:b/>
          <w:bCs/>
        </w:rPr>
      </w:pPr>
      <w:r w:rsidRPr="002B024E">
        <w:rPr>
          <w:rFonts w:ascii="Times New Roman" w:hAnsi="Times New Roman" w:cs="Times New Roman"/>
          <w:b/>
          <w:bCs/>
        </w:rPr>
        <w:t>Perioada de raportare_____________                                                Formular C</w:t>
      </w:r>
      <w:r>
        <w:rPr>
          <w:rFonts w:ascii="Times New Roman" w:hAnsi="Times New Roman" w:cs="Times New Roman"/>
          <w:b/>
          <w:bCs/>
        </w:rPr>
        <w:t xml:space="preserve"> </w:t>
      </w:r>
      <w:r w:rsidRPr="002B024E">
        <w:rPr>
          <w:rFonts w:ascii="Times New Roman" w:hAnsi="Times New Roman" w:cs="Times New Roman"/>
          <w:b/>
          <w:bCs/>
        </w:rPr>
        <w:t>0</w:t>
      </w:r>
      <w:r>
        <w:rPr>
          <w:rFonts w:ascii="Times New Roman" w:hAnsi="Times New Roman" w:cs="Times New Roman"/>
          <w:b/>
          <w:bCs/>
        </w:rPr>
        <w:t>4</w:t>
      </w:r>
      <w:r w:rsidRPr="002B024E">
        <w:rPr>
          <w:rFonts w:ascii="Times New Roman" w:hAnsi="Times New Roman" w:cs="Times New Roman"/>
          <w:b/>
          <w:bCs/>
        </w:rPr>
        <w:t>.00</w:t>
      </w:r>
    </w:p>
    <w:p w14:paraId="15E9DE35" w14:textId="77777777" w:rsidR="00232DE0" w:rsidRPr="00762714" w:rsidRDefault="00232DE0"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p>
    <w:p w14:paraId="7FB58C94" w14:textId="77777777" w:rsidR="00260C32" w:rsidRPr="00232DE0" w:rsidRDefault="00260C32" w:rsidP="00232DE0">
      <w:pPr>
        <w:jc w:val="center"/>
        <w:rPr>
          <w:rFonts w:ascii="Times New Roman" w:hAnsi="Times New Roman" w:cs="Times New Roman"/>
          <w:b/>
          <w:bCs/>
          <w:lang w:eastAsia="ro-MD"/>
        </w:rPr>
      </w:pPr>
      <w:r w:rsidRPr="00232DE0">
        <w:rPr>
          <w:rFonts w:ascii="Times New Roman" w:hAnsi="Times New Roman" w:cs="Times New Roman"/>
          <w:b/>
          <w:bCs/>
          <w:lang w:eastAsia="ro-MD"/>
        </w:rPr>
        <w:t>C 04.00 – ELEMENTE MEMORANDUM (CA4)</w:t>
      </w:r>
    </w:p>
    <w:p w14:paraId="7481B62B" w14:textId="77777777" w:rsidR="00F178BD" w:rsidRPr="00F178BD" w:rsidRDefault="00F178BD" w:rsidP="00F178BD">
      <w:pPr>
        <w:rPr>
          <w:lang w:eastAsia="ro-MD"/>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5"/>
        <w:gridCol w:w="570"/>
        <w:gridCol w:w="7676"/>
        <w:gridCol w:w="754"/>
      </w:tblGrid>
      <w:tr w:rsidR="00260C32" w:rsidRPr="00260C32" w14:paraId="4B2A970F" w14:textId="77777777" w:rsidTr="00ED2D1A">
        <w:trPr>
          <w:tblCellSpacing w:w="0" w:type="dxa"/>
        </w:trPr>
        <w:tc>
          <w:tcPr>
            <w:tcW w:w="0" w:type="auto"/>
            <w:shd w:val="clear" w:color="auto" w:fill="E7E6E6" w:themeFill="background2"/>
            <w:hideMark/>
          </w:tcPr>
          <w:p w14:paraId="72DF07B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Rând</w:t>
            </w:r>
          </w:p>
        </w:tc>
        <w:tc>
          <w:tcPr>
            <w:tcW w:w="0" w:type="auto"/>
            <w:shd w:val="clear" w:color="auto" w:fill="E7E6E6" w:themeFill="background2"/>
            <w:hideMark/>
          </w:tcPr>
          <w:p w14:paraId="713804B8" w14:textId="55D688F5" w:rsidR="00260C32" w:rsidRPr="00260C32" w:rsidRDefault="00ED2D1A"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ID</w:t>
            </w:r>
          </w:p>
        </w:tc>
        <w:tc>
          <w:tcPr>
            <w:tcW w:w="0" w:type="auto"/>
            <w:shd w:val="clear" w:color="auto" w:fill="E7E6E6" w:themeFill="background2"/>
            <w:hideMark/>
          </w:tcPr>
          <w:p w14:paraId="0D19EFD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Element</w:t>
            </w:r>
          </w:p>
        </w:tc>
        <w:tc>
          <w:tcPr>
            <w:tcW w:w="0" w:type="auto"/>
            <w:shd w:val="clear" w:color="auto" w:fill="E7E6E6" w:themeFill="background2"/>
            <w:hideMark/>
          </w:tcPr>
          <w:p w14:paraId="37121133" w14:textId="77777777" w:rsidR="00260C32" w:rsidRPr="00260C32" w:rsidRDefault="00260C32" w:rsidP="00087A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Coloană</w:t>
            </w:r>
          </w:p>
        </w:tc>
      </w:tr>
      <w:tr w:rsidR="00260C32" w:rsidRPr="00260C32" w14:paraId="4C951D7C" w14:textId="77777777" w:rsidTr="00ED2D1A">
        <w:trPr>
          <w:tblCellSpacing w:w="0" w:type="dxa"/>
        </w:trPr>
        <w:tc>
          <w:tcPr>
            <w:tcW w:w="0" w:type="auto"/>
            <w:gridSpan w:val="3"/>
            <w:shd w:val="clear" w:color="auto" w:fill="E7E6E6" w:themeFill="background2"/>
            <w:hideMark/>
          </w:tcPr>
          <w:p w14:paraId="3BF209D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Creanțe și datorii privind impozitul amânat</w:t>
            </w:r>
          </w:p>
        </w:tc>
        <w:tc>
          <w:tcPr>
            <w:tcW w:w="0" w:type="auto"/>
            <w:shd w:val="clear" w:color="auto" w:fill="E7E6E6" w:themeFill="background2"/>
            <w:hideMark/>
          </w:tcPr>
          <w:p w14:paraId="4F71674F" w14:textId="77777777" w:rsidR="00260C32" w:rsidRPr="00260C32" w:rsidRDefault="00260C32" w:rsidP="00087A14">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0010</w:t>
            </w:r>
          </w:p>
        </w:tc>
      </w:tr>
      <w:tr w:rsidR="00260C32" w:rsidRPr="00260C32" w14:paraId="5FD45712" w14:textId="77777777" w:rsidTr="00260C32">
        <w:trPr>
          <w:tblCellSpacing w:w="0" w:type="dxa"/>
        </w:trPr>
        <w:tc>
          <w:tcPr>
            <w:tcW w:w="0" w:type="auto"/>
            <w:hideMark/>
          </w:tcPr>
          <w:p w14:paraId="0F990B72"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0010</w:t>
            </w:r>
          </w:p>
        </w:tc>
        <w:tc>
          <w:tcPr>
            <w:tcW w:w="0" w:type="auto"/>
            <w:hideMark/>
          </w:tcPr>
          <w:p w14:paraId="7D58CF6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w:t>
            </w:r>
          </w:p>
        </w:tc>
        <w:tc>
          <w:tcPr>
            <w:tcW w:w="0" w:type="auto"/>
            <w:hideMark/>
          </w:tcPr>
          <w:p w14:paraId="5318BA9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Creanțe totale privind impozitul amânat</w:t>
            </w:r>
          </w:p>
        </w:tc>
        <w:tc>
          <w:tcPr>
            <w:tcW w:w="0" w:type="auto"/>
            <w:hideMark/>
          </w:tcPr>
          <w:p w14:paraId="76BA301A" w14:textId="62C4A000" w:rsidR="00260C32" w:rsidRPr="00260C32" w:rsidRDefault="00260C32" w:rsidP="00087A14">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2A0EA16D" w14:textId="77777777" w:rsidTr="00260C32">
        <w:trPr>
          <w:tblCellSpacing w:w="0" w:type="dxa"/>
        </w:trPr>
        <w:tc>
          <w:tcPr>
            <w:tcW w:w="0" w:type="auto"/>
            <w:hideMark/>
          </w:tcPr>
          <w:p w14:paraId="701D30AB"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0020</w:t>
            </w:r>
          </w:p>
        </w:tc>
        <w:tc>
          <w:tcPr>
            <w:tcW w:w="0" w:type="auto"/>
            <w:hideMark/>
          </w:tcPr>
          <w:p w14:paraId="2AE0F5E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1.1</w:t>
            </w:r>
          </w:p>
        </w:tc>
        <w:tc>
          <w:tcPr>
            <w:tcW w:w="0" w:type="auto"/>
            <w:hideMark/>
          </w:tcPr>
          <w:p w14:paraId="13455FA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Creanțe privind impozitul amânat care nu se bazează pe profitabilitatea viitoare</w:t>
            </w:r>
          </w:p>
        </w:tc>
        <w:tc>
          <w:tcPr>
            <w:tcW w:w="0" w:type="auto"/>
            <w:hideMark/>
          </w:tcPr>
          <w:p w14:paraId="67726161" w14:textId="71BC8036" w:rsidR="00260C32" w:rsidRPr="00260C32" w:rsidRDefault="00BE29AA" w:rsidP="00087A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x</w:t>
            </w:r>
          </w:p>
        </w:tc>
      </w:tr>
      <w:tr w:rsidR="00260C32" w:rsidRPr="00260C32" w14:paraId="033D8BD7" w14:textId="77777777" w:rsidTr="00260C32">
        <w:trPr>
          <w:tblCellSpacing w:w="0" w:type="dxa"/>
        </w:trPr>
        <w:tc>
          <w:tcPr>
            <w:tcW w:w="0" w:type="auto"/>
            <w:hideMark/>
          </w:tcPr>
          <w:p w14:paraId="0E53AE9D"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0030</w:t>
            </w:r>
          </w:p>
        </w:tc>
        <w:tc>
          <w:tcPr>
            <w:tcW w:w="0" w:type="auto"/>
            <w:hideMark/>
          </w:tcPr>
          <w:p w14:paraId="3B5E729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1.2</w:t>
            </w:r>
          </w:p>
        </w:tc>
        <w:tc>
          <w:tcPr>
            <w:tcW w:w="0" w:type="auto"/>
            <w:hideMark/>
          </w:tcPr>
          <w:p w14:paraId="315F9FA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Creanțe privind impozitul amânat care se bazează pe profitabilitatea viitoare și nu decurg din diferențele temporare</w:t>
            </w:r>
          </w:p>
        </w:tc>
        <w:tc>
          <w:tcPr>
            <w:tcW w:w="0" w:type="auto"/>
            <w:hideMark/>
          </w:tcPr>
          <w:p w14:paraId="3C7C2FAB" w14:textId="68B85E6E" w:rsidR="00260C32" w:rsidRPr="00260C32" w:rsidRDefault="00260C32" w:rsidP="00087A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4C9977A" w14:textId="77777777" w:rsidTr="00260C32">
        <w:trPr>
          <w:tblCellSpacing w:w="0" w:type="dxa"/>
        </w:trPr>
        <w:tc>
          <w:tcPr>
            <w:tcW w:w="0" w:type="auto"/>
            <w:hideMark/>
          </w:tcPr>
          <w:p w14:paraId="6B2A6CFA"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0040</w:t>
            </w:r>
          </w:p>
        </w:tc>
        <w:tc>
          <w:tcPr>
            <w:tcW w:w="0" w:type="auto"/>
            <w:hideMark/>
          </w:tcPr>
          <w:p w14:paraId="55A3A3A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1.3</w:t>
            </w:r>
          </w:p>
        </w:tc>
        <w:tc>
          <w:tcPr>
            <w:tcW w:w="0" w:type="auto"/>
            <w:hideMark/>
          </w:tcPr>
          <w:p w14:paraId="01CA907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Creanțe privind impozitul amânat care se bazează pe profitabilitatea viitoare și decurg din diferențele temporare</w:t>
            </w:r>
          </w:p>
        </w:tc>
        <w:tc>
          <w:tcPr>
            <w:tcW w:w="0" w:type="auto"/>
            <w:hideMark/>
          </w:tcPr>
          <w:p w14:paraId="5314172A" w14:textId="69526843" w:rsidR="00260C32" w:rsidRPr="00260C32" w:rsidRDefault="00260C32" w:rsidP="00087A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F7BB93E" w14:textId="77777777" w:rsidTr="00260C32">
        <w:trPr>
          <w:tblCellSpacing w:w="0" w:type="dxa"/>
        </w:trPr>
        <w:tc>
          <w:tcPr>
            <w:tcW w:w="0" w:type="auto"/>
            <w:hideMark/>
          </w:tcPr>
          <w:p w14:paraId="04C4FF69"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0050</w:t>
            </w:r>
          </w:p>
        </w:tc>
        <w:tc>
          <w:tcPr>
            <w:tcW w:w="0" w:type="auto"/>
            <w:hideMark/>
          </w:tcPr>
          <w:p w14:paraId="14871BB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2</w:t>
            </w:r>
          </w:p>
        </w:tc>
        <w:tc>
          <w:tcPr>
            <w:tcW w:w="0" w:type="auto"/>
            <w:hideMark/>
          </w:tcPr>
          <w:p w14:paraId="1E3DFFC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Datorii totale privind impozitul amânat</w:t>
            </w:r>
          </w:p>
        </w:tc>
        <w:tc>
          <w:tcPr>
            <w:tcW w:w="0" w:type="auto"/>
            <w:hideMark/>
          </w:tcPr>
          <w:p w14:paraId="4B8A9B7C" w14:textId="1976B087" w:rsidR="00260C32" w:rsidRPr="00260C32" w:rsidRDefault="00260C32" w:rsidP="00087A14">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0CE34009" w14:textId="77777777" w:rsidTr="00260C32">
        <w:trPr>
          <w:tblCellSpacing w:w="0" w:type="dxa"/>
        </w:trPr>
        <w:tc>
          <w:tcPr>
            <w:tcW w:w="0" w:type="auto"/>
            <w:hideMark/>
          </w:tcPr>
          <w:p w14:paraId="687E4727"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0060</w:t>
            </w:r>
          </w:p>
        </w:tc>
        <w:tc>
          <w:tcPr>
            <w:tcW w:w="0" w:type="auto"/>
            <w:hideMark/>
          </w:tcPr>
          <w:p w14:paraId="4F7C95E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2.1</w:t>
            </w:r>
          </w:p>
        </w:tc>
        <w:tc>
          <w:tcPr>
            <w:tcW w:w="0" w:type="auto"/>
            <w:hideMark/>
          </w:tcPr>
          <w:p w14:paraId="798EDC7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Datorii privind impozitul amânat care nu sunt deductibile din creanțele privind impozitul amânat care se bazează pe profitabilitatea viitoare</w:t>
            </w:r>
          </w:p>
        </w:tc>
        <w:tc>
          <w:tcPr>
            <w:tcW w:w="0" w:type="auto"/>
            <w:hideMark/>
          </w:tcPr>
          <w:p w14:paraId="78AC8124" w14:textId="795EEAE1" w:rsidR="00260C32" w:rsidRPr="00260C32" w:rsidRDefault="00260C32" w:rsidP="00492BA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00231D7" w14:textId="77777777" w:rsidTr="00260C32">
        <w:trPr>
          <w:tblCellSpacing w:w="0" w:type="dxa"/>
        </w:trPr>
        <w:tc>
          <w:tcPr>
            <w:tcW w:w="0" w:type="auto"/>
            <w:hideMark/>
          </w:tcPr>
          <w:p w14:paraId="051C59C9"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0070</w:t>
            </w:r>
          </w:p>
        </w:tc>
        <w:tc>
          <w:tcPr>
            <w:tcW w:w="0" w:type="auto"/>
            <w:hideMark/>
          </w:tcPr>
          <w:p w14:paraId="2BAD368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2.2</w:t>
            </w:r>
          </w:p>
        </w:tc>
        <w:tc>
          <w:tcPr>
            <w:tcW w:w="0" w:type="auto"/>
            <w:hideMark/>
          </w:tcPr>
          <w:p w14:paraId="2F12CAD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Datorii privind impozitul amânat care sunt deductibile din creanțele privind impozitul amânat care se bazează pe profitabilitatea viitoare</w:t>
            </w:r>
          </w:p>
        </w:tc>
        <w:tc>
          <w:tcPr>
            <w:tcW w:w="0" w:type="auto"/>
            <w:hideMark/>
          </w:tcPr>
          <w:p w14:paraId="7EFB769C" w14:textId="4965B0A6" w:rsidR="00260C32" w:rsidRPr="00260C32" w:rsidRDefault="00260C32" w:rsidP="00492BA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2FC0807" w14:textId="77777777" w:rsidTr="00260C32">
        <w:trPr>
          <w:tblCellSpacing w:w="0" w:type="dxa"/>
        </w:trPr>
        <w:tc>
          <w:tcPr>
            <w:tcW w:w="0" w:type="auto"/>
            <w:hideMark/>
          </w:tcPr>
          <w:p w14:paraId="3F3EBFA0"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0080</w:t>
            </w:r>
          </w:p>
        </w:tc>
        <w:tc>
          <w:tcPr>
            <w:tcW w:w="0" w:type="auto"/>
            <w:hideMark/>
          </w:tcPr>
          <w:p w14:paraId="654A31A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2.2.1</w:t>
            </w:r>
          </w:p>
        </w:tc>
        <w:tc>
          <w:tcPr>
            <w:tcW w:w="0" w:type="auto"/>
            <w:hideMark/>
          </w:tcPr>
          <w:p w14:paraId="6A5F5C9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Datorii deductibile privind impozitul amânat asociate creanțelor privind impozitul amânat care se bazează pe profitabilitatea viitoare și nu decurg din diferențele temporare</w:t>
            </w:r>
          </w:p>
        </w:tc>
        <w:tc>
          <w:tcPr>
            <w:tcW w:w="0" w:type="auto"/>
            <w:hideMark/>
          </w:tcPr>
          <w:p w14:paraId="676FB191" w14:textId="5D36B455" w:rsidR="00260C32" w:rsidRPr="00260C32" w:rsidRDefault="00260C32" w:rsidP="00492BA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333021F" w14:textId="77777777" w:rsidTr="00260C32">
        <w:trPr>
          <w:tblCellSpacing w:w="0" w:type="dxa"/>
        </w:trPr>
        <w:tc>
          <w:tcPr>
            <w:tcW w:w="0" w:type="auto"/>
            <w:hideMark/>
          </w:tcPr>
          <w:p w14:paraId="59CCD426"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0090</w:t>
            </w:r>
          </w:p>
        </w:tc>
        <w:tc>
          <w:tcPr>
            <w:tcW w:w="0" w:type="auto"/>
            <w:hideMark/>
          </w:tcPr>
          <w:p w14:paraId="21F3AD5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2.2.2</w:t>
            </w:r>
          </w:p>
        </w:tc>
        <w:tc>
          <w:tcPr>
            <w:tcW w:w="0" w:type="auto"/>
            <w:hideMark/>
          </w:tcPr>
          <w:p w14:paraId="1C4CCB6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Datorii deductibile privind impozitul amânat asociate creanțelor privind impozitul amânat care se bazează pe profitabilitatea viitoare și decurg din diferențele temporare</w:t>
            </w:r>
          </w:p>
        </w:tc>
        <w:tc>
          <w:tcPr>
            <w:tcW w:w="0" w:type="auto"/>
            <w:hideMark/>
          </w:tcPr>
          <w:p w14:paraId="4923F321" w14:textId="16B10D87" w:rsidR="00260C32" w:rsidRPr="00260C32" w:rsidRDefault="00260C32" w:rsidP="00492BA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22ECC792" w14:textId="77777777" w:rsidTr="00260C32">
        <w:trPr>
          <w:tblCellSpacing w:w="0" w:type="dxa"/>
        </w:trPr>
        <w:tc>
          <w:tcPr>
            <w:tcW w:w="0" w:type="auto"/>
            <w:hideMark/>
          </w:tcPr>
          <w:p w14:paraId="56E51D87"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0093</w:t>
            </w:r>
          </w:p>
        </w:tc>
        <w:tc>
          <w:tcPr>
            <w:tcW w:w="0" w:type="auto"/>
            <w:hideMark/>
          </w:tcPr>
          <w:p w14:paraId="2EAA9BB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2A</w:t>
            </w:r>
          </w:p>
        </w:tc>
        <w:tc>
          <w:tcPr>
            <w:tcW w:w="0" w:type="auto"/>
            <w:hideMark/>
          </w:tcPr>
          <w:p w14:paraId="62247386" w14:textId="77777777" w:rsidR="00260C32" w:rsidRPr="00F62BA7"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F62BA7">
              <w:rPr>
                <w:rFonts w:ascii="Times New Roman" w:eastAsia="Times New Roman" w:hAnsi="Times New Roman" w:cs="Times New Roman"/>
                <w:b/>
                <w:bCs/>
                <w:color w:val="000000"/>
                <w:kern w:val="0"/>
                <w:lang w:eastAsia="ro-MD"/>
                <w14:ligatures w14:val="none"/>
              </w:rPr>
              <w:t>Plăți excedentare de impozite și pierderi fiscale reportate la exercițiile financiare anterioare</w:t>
            </w:r>
          </w:p>
        </w:tc>
        <w:tc>
          <w:tcPr>
            <w:tcW w:w="0" w:type="auto"/>
            <w:hideMark/>
          </w:tcPr>
          <w:p w14:paraId="2B70D6CA" w14:textId="2160B60F"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3F6716D0" w14:textId="77777777" w:rsidTr="00260C32">
        <w:trPr>
          <w:tblCellSpacing w:w="0" w:type="dxa"/>
        </w:trPr>
        <w:tc>
          <w:tcPr>
            <w:tcW w:w="0" w:type="auto"/>
            <w:hideMark/>
          </w:tcPr>
          <w:p w14:paraId="70B0EAC0"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0096</w:t>
            </w:r>
          </w:p>
        </w:tc>
        <w:tc>
          <w:tcPr>
            <w:tcW w:w="0" w:type="auto"/>
            <w:hideMark/>
          </w:tcPr>
          <w:p w14:paraId="4E2AC93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2B</w:t>
            </w:r>
          </w:p>
        </w:tc>
        <w:tc>
          <w:tcPr>
            <w:tcW w:w="0" w:type="auto"/>
            <w:hideMark/>
          </w:tcPr>
          <w:p w14:paraId="5A768B1D" w14:textId="77777777" w:rsidR="00260C32" w:rsidRPr="00F62BA7"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F62BA7">
              <w:rPr>
                <w:rFonts w:ascii="Times New Roman" w:eastAsia="Times New Roman" w:hAnsi="Times New Roman" w:cs="Times New Roman"/>
                <w:b/>
                <w:bCs/>
                <w:color w:val="000000"/>
                <w:kern w:val="0"/>
                <w:lang w:eastAsia="ro-MD"/>
                <w14:ligatures w14:val="none"/>
              </w:rPr>
              <w:t>Creanțe privind impozitul amânat supuse unei ponderi de risc de 250 %</w:t>
            </w:r>
          </w:p>
        </w:tc>
        <w:tc>
          <w:tcPr>
            <w:tcW w:w="0" w:type="auto"/>
            <w:hideMark/>
          </w:tcPr>
          <w:p w14:paraId="10C3B799" w14:textId="163511E7"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4BEE1155" w14:textId="77777777" w:rsidTr="00260C32">
        <w:trPr>
          <w:tblCellSpacing w:w="0" w:type="dxa"/>
        </w:trPr>
        <w:tc>
          <w:tcPr>
            <w:tcW w:w="0" w:type="auto"/>
            <w:hideMark/>
          </w:tcPr>
          <w:p w14:paraId="70E3062C"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0097</w:t>
            </w:r>
          </w:p>
        </w:tc>
        <w:tc>
          <w:tcPr>
            <w:tcW w:w="0" w:type="auto"/>
            <w:hideMark/>
          </w:tcPr>
          <w:p w14:paraId="5070B34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2C</w:t>
            </w:r>
          </w:p>
        </w:tc>
        <w:tc>
          <w:tcPr>
            <w:tcW w:w="0" w:type="auto"/>
            <w:hideMark/>
          </w:tcPr>
          <w:p w14:paraId="0E9B91C7" w14:textId="77777777" w:rsidR="00260C32" w:rsidRPr="00F62BA7"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F62BA7">
              <w:rPr>
                <w:rFonts w:ascii="Times New Roman" w:eastAsia="Times New Roman" w:hAnsi="Times New Roman" w:cs="Times New Roman"/>
                <w:b/>
                <w:bCs/>
                <w:color w:val="000000"/>
                <w:kern w:val="0"/>
                <w:lang w:eastAsia="ro-MD"/>
                <w14:ligatures w14:val="none"/>
              </w:rPr>
              <w:t>Creanțe privind impozitul amânat supuse unei ponderi de risc de 0 %</w:t>
            </w:r>
          </w:p>
        </w:tc>
        <w:tc>
          <w:tcPr>
            <w:tcW w:w="0" w:type="auto"/>
            <w:hideMark/>
          </w:tcPr>
          <w:p w14:paraId="01343BFD" w14:textId="3C378671" w:rsidR="00260C32" w:rsidRPr="00232DE0" w:rsidRDefault="005A370D"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232DE0">
              <w:rPr>
                <w:rFonts w:ascii="Times New Roman" w:eastAsia="Times New Roman" w:hAnsi="Times New Roman" w:cs="Times New Roman"/>
                <w:color w:val="000000"/>
                <w:kern w:val="0"/>
                <w:lang w:eastAsia="ro-MD"/>
                <w14:ligatures w14:val="none"/>
              </w:rPr>
              <w:t>x</w:t>
            </w:r>
          </w:p>
        </w:tc>
      </w:tr>
      <w:tr w:rsidR="00260C32" w:rsidRPr="00260C32" w14:paraId="4DE5B5DA" w14:textId="77777777" w:rsidTr="00ED2D1A">
        <w:trPr>
          <w:tblCellSpacing w:w="0" w:type="dxa"/>
        </w:trPr>
        <w:tc>
          <w:tcPr>
            <w:tcW w:w="0" w:type="auto"/>
            <w:gridSpan w:val="4"/>
            <w:shd w:val="clear" w:color="auto" w:fill="E7E6E6" w:themeFill="background2"/>
            <w:hideMark/>
          </w:tcPr>
          <w:p w14:paraId="071BBB1B" w14:textId="77777777" w:rsidR="00260C32" w:rsidRPr="005A370D" w:rsidRDefault="00260C32" w:rsidP="00087A14">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5A370D">
              <w:rPr>
                <w:rFonts w:ascii="Times New Roman" w:eastAsia="Times New Roman" w:hAnsi="Times New Roman" w:cs="Times New Roman"/>
                <w:b/>
                <w:bCs/>
                <w:color w:val="000000"/>
                <w:kern w:val="0"/>
                <w:lang w:eastAsia="ro-MD"/>
                <w14:ligatures w14:val="none"/>
              </w:rPr>
              <w:t>Exceptare de la deducerile din fondurile proprii de nivel 1 de bază</w:t>
            </w:r>
          </w:p>
        </w:tc>
      </w:tr>
      <w:tr w:rsidR="00260C32" w:rsidRPr="00260C32" w14:paraId="37AB8C49" w14:textId="77777777" w:rsidTr="00260C32">
        <w:trPr>
          <w:tblCellSpacing w:w="0" w:type="dxa"/>
        </w:trPr>
        <w:tc>
          <w:tcPr>
            <w:tcW w:w="0" w:type="auto"/>
            <w:hideMark/>
          </w:tcPr>
          <w:p w14:paraId="007E4B2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0901</w:t>
            </w:r>
          </w:p>
        </w:tc>
        <w:tc>
          <w:tcPr>
            <w:tcW w:w="0" w:type="auto"/>
            <w:hideMark/>
          </w:tcPr>
          <w:p w14:paraId="08151027"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9352B9">
              <w:rPr>
                <w:rFonts w:ascii="Times New Roman" w:eastAsia="Times New Roman" w:hAnsi="Times New Roman" w:cs="Times New Roman"/>
                <w:b/>
                <w:bCs/>
                <w:color w:val="000000"/>
                <w:kern w:val="0"/>
                <w:lang w:eastAsia="ro-MD"/>
                <w14:ligatures w14:val="none"/>
              </w:rPr>
              <w:t>2W</w:t>
            </w:r>
          </w:p>
        </w:tc>
        <w:tc>
          <w:tcPr>
            <w:tcW w:w="0" w:type="auto"/>
            <w:hideMark/>
          </w:tcPr>
          <w:p w14:paraId="2B194F82" w14:textId="1A467CFF" w:rsidR="00260C32" w:rsidRPr="00F62BA7" w:rsidRDefault="00ED2D1A"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F62BA7">
              <w:rPr>
                <w:rFonts w:ascii="Times New Roman" w:eastAsia="Times New Roman" w:hAnsi="Times New Roman" w:cs="Times New Roman"/>
                <w:color w:val="000000"/>
                <w:kern w:val="0"/>
                <w:lang w:eastAsia="ro-MD"/>
                <w14:ligatures w14:val="none"/>
              </w:rPr>
              <w:t xml:space="preserve">Programe informatice contabilizate drept </w:t>
            </w:r>
            <w:r w:rsidR="00065889">
              <w:rPr>
                <w:rFonts w:ascii="Times New Roman" w:eastAsia="Times New Roman" w:hAnsi="Times New Roman" w:cs="Times New Roman"/>
                <w:color w:val="000000"/>
                <w:kern w:val="0"/>
                <w:lang w:eastAsia="ro-MD"/>
                <w14:ligatures w14:val="none"/>
              </w:rPr>
              <w:t>imobilizări</w:t>
            </w:r>
            <w:r w:rsidRPr="00F62BA7">
              <w:rPr>
                <w:rFonts w:ascii="Times New Roman" w:eastAsia="Times New Roman" w:hAnsi="Times New Roman" w:cs="Times New Roman"/>
                <w:color w:val="000000"/>
                <w:kern w:val="0"/>
                <w:lang w:eastAsia="ro-MD"/>
                <w14:ligatures w14:val="none"/>
              </w:rPr>
              <w:t xml:space="preserve"> necorporale exceptate de la deducerea din fondurile proprii de nivel 1 de bază</w:t>
            </w:r>
          </w:p>
        </w:tc>
        <w:tc>
          <w:tcPr>
            <w:tcW w:w="0" w:type="auto"/>
            <w:hideMark/>
          </w:tcPr>
          <w:p w14:paraId="050BFB12" w14:textId="4E643089"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B8150B7" w14:textId="77777777" w:rsidTr="00ED2D1A">
        <w:trPr>
          <w:tblCellSpacing w:w="0" w:type="dxa"/>
        </w:trPr>
        <w:tc>
          <w:tcPr>
            <w:tcW w:w="0" w:type="auto"/>
            <w:gridSpan w:val="4"/>
            <w:shd w:val="clear" w:color="auto" w:fill="E7E6E6" w:themeFill="background2"/>
            <w:hideMark/>
          </w:tcPr>
          <w:p w14:paraId="4B31AB31" w14:textId="77777777" w:rsidR="00260C32" w:rsidRPr="00F62BA7" w:rsidRDefault="00260C32" w:rsidP="00087A14">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F62BA7">
              <w:rPr>
                <w:rFonts w:ascii="Times New Roman" w:eastAsia="Times New Roman" w:hAnsi="Times New Roman" w:cs="Times New Roman"/>
                <w:b/>
                <w:bCs/>
                <w:color w:val="000000"/>
                <w:kern w:val="0"/>
                <w:lang w:eastAsia="ro-MD"/>
                <w14:ligatures w14:val="none"/>
              </w:rPr>
              <w:t>Clasificarea contabilă a instrumentelor de fonduri proprii de nivel 1 suplimentar</w:t>
            </w:r>
          </w:p>
        </w:tc>
      </w:tr>
      <w:tr w:rsidR="00260C32" w:rsidRPr="00260C32" w14:paraId="772A4FBD" w14:textId="77777777" w:rsidTr="00260C32">
        <w:trPr>
          <w:tblCellSpacing w:w="0" w:type="dxa"/>
        </w:trPr>
        <w:tc>
          <w:tcPr>
            <w:tcW w:w="0" w:type="auto"/>
            <w:hideMark/>
          </w:tcPr>
          <w:p w14:paraId="3B02551F" w14:textId="77777777" w:rsidR="00260C32" w:rsidRPr="005A370D"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5A370D">
              <w:rPr>
                <w:rFonts w:ascii="Times New Roman" w:eastAsia="Times New Roman" w:hAnsi="Times New Roman" w:cs="Times New Roman"/>
                <w:color w:val="000000"/>
                <w:kern w:val="0"/>
                <w:lang w:eastAsia="ro-MD"/>
                <w14:ligatures w14:val="none"/>
              </w:rPr>
              <w:t>0905</w:t>
            </w:r>
          </w:p>
        </w:tc>
        <w:tc>
          <w:tcPr>
            <w:tcW w:w="0" w:type="auto"/>
            <w:hideMark/>
          </w:tcPr>
          <w:p w14:paraId="63885B87" w14:textId="77777777" w:rsidR="00260C32" w:rsidRPr="005A370D"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5A370D">
              <w:rPr>
                <w:rFonts w:ascii="Times New Roman" w:eastAsia="Times New Roman" w:hAnsi="Times New Roman" w:cs="Times New Roman"/>
                <w:b/>
                <w:bCs/>
                <w:color w:val="000000"/>
                <w:kern w:val="0"/>
                <w:lang w:eastAsia="ro-MD"/>
                <w14:ligatures w14:val="none"/>
              </w:rPr>
              <w:t>2Y</w:t>
            </w:r>
          </w:p>
        </w:tc>
        <w:tc>
          <w:tcPr>
            <w:tcW w:w="0" w:type="auto"/>
            <w:hideMark/>
          </w:tcPr>
          <w:p w14:paraId="012C3F03" w14:textId="41168F0B" w:rsidR="00260C32" w:rsidRPr="00F62BA7" w:rsidRDefault="00ED2D1A"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F62BA7">
              <w:rPr>
                <w:rFonts w:ascii="Times New Roman" w:eastAsia="Times New Roman" w:hAnsi="Times New Roman" w:cs="Times New Roman"/>
                <w:color w:val="000000"/>
                <w:kern w:val="0"/>
                <w:lang w:eastAsia="ro-MD"/>
                <w14:ligatures w14:val="none"/>
              </w:rPr>
              <w:t>Instrumente de fonduri proprii de nivel 1 suplimentar și conturile de prime de emisiune aferente clasificate drept capitaluri proprii în conformitate cu standardele contabile aplicabile</w:t>
            </w:r>
          </w:p>
        </w:tc>
        <w:tc>
          <w:tcPr>
            <w:tcW w:w="0" w:type="auto"/>
            <w:hideMark/>
          </w:tcPr>
          <w:p w14:paraId="1979F7F6" w14:textId="74A6CADD"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3E3AE5B" w14:textId="77777777" w:rsidTr="00260C32">
        <w:trPr>
          <w:tblCellSpacing w:w="0" w:type="dxa"/>
        </w:trPr>
        <w:tc>
          <w:tcPr>
            <w:tcW w:w="0" w:type="auto"/>
            <w:hideMark/>
          </w:tcPr>
          <w:p w14:paraId="2D41F3EB" w14:textId="77777777" w:rsidR="00260C32" w:rsidRPr="005A370D"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5A370D">
              <w:rPr>
                <w:rFonts w:ascii="Times New Roman" w:eastAsia="Times New Roman" w:hAnsi="Times New Roman" w:cs="Times New Roman"/>
                <w:color w:val="000000"/>
                <w:kern w:val="0"/>
                <w:lang w:eastAsia="ro-MD"/>
                <w14:ligatures w14:val="none"/>
              </w:rPr>
              <w:t>0906</w:t>
            </w:r>
          </w:p>
        </w:tc>
        <w:tc>
          <w:tcPr>
            <w:tcW w:w="0" w:type="auto"/>
            <w:hideMark/>
          </w:tcPr>
          <w:p w14:paraId="56374FF8" w14:textId="77777777" w:rsidR="00260C32" w:rsidRPr="005A370D"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5A370D">
              <w:rPr>
                <w:rFonts w:ascii="Times New Roman" w:eastAsia="Times New Roman" w:hAnsi="Times New Roman" w:cs="Times New Roman"/>
                <w:b/>
                <w:bCs/>
                <w:color w:val="000000"/>
                <w:kern w:val="0"/>
                <w:lang w:eastAsia="ro-MD"/>
                <w14:ligatures w14:val="none"/>
              </w:rPr>
              <w:t>2Z</w:t>
            </w:r>
          </w:p>
        </w:tc>
        <w:tc>
          <w:tcPr>
            <w:tcW w:w="0" w:type="auto"/>
            <w:hideMark/>
          </w:tcPr>
          <w:p w14:paraId="2303AF84" w14:textId="1F0DC07E" w:rsidR="00260C32" w:rsidRPr="00F62BA7" w:rsidRDefault="00ED2D1A"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F62BA7">
              <w:rPr>
                <w:rFonts w:ascii="Times New Roman" w:eastAsia="Times New Roman" w:hAnsi="Times New Roman" w:cs="Times New Roman"/>
                <w:color w:val="000000"/>
                <w:kern w:val="0"/>
                <w:lang w:eastAsia="ro-MD"/>
                <w14:ligatures w14:val="none"/>
              </w:rPr>
              <w:t>Instrumente de fonduri proprii de nivel 1 suplimentar și conturile de prime de emisiune aferente clasificate drept datorii în conformitate cu standardele contabile aplicabile</w:t>
            </w:r>
          </w:p>
        </w:tc>
        <w:tc>
          <w:tcPr>
            <w:tcW w:w="0" w:type="auto"/>
            <w:hideMark/>
          </w:tcPr>
          <w:p w14:paraId="5F712D4C" w14:textId="3DC16AFC"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2238749" w14:textId="77777777" w:rsidTr="00ED2D1A">
        <w:trPr>
          <w:tblCellSpacing w:w="0" w:type="dxa"/>
        </w:trPr>
        <w:tc>
          <w:tcPr>
            <w:tcW w:w="0" w:type="auto"/>
            <w:gridSpan w:val="4"/>
            <w:shd w:val="clear" w:color="auto" w:fill="E7E6E6" w:themeFill="background2"/>
            <w:hideMark/>
          </w:tcPr>
          <w:p w14:paraId="20A48232" w14:textId="77777777" w:rsidR="00260C32" w:rsidRPr="00260C32" w:rsidRDefault="00260C32" w:rsidP="00087A14">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Ajustări pentru riscul de credit și pierderi așteptate</w:t>
            </w:r>
          </w:p>
        </w:tc>
      </w:tr>
      <w:tr w:rsidR="00260C32" w:rsidRPr="00260C32" w14:paraId="641187CF" w14:textId="77777777" w:rsidTr="00232DE0">
        <w:trPr>
          <w:tblCellSpacing w:w="0" w:type="dxa"/>
        </w:trPr>
        <w:tc>
          <w:tcPr>
            <w:tcW w:w="0" w:type="auto"/>
            <w:hideMark/>
          </w:tcPr>
          <w:p w14:paraId="0809F488"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0100</w:t>
            </w:r>
          </w:p>
        </w:tc>
        <w:tc>
          <w:tcPr>
            <w:tcW w:w="0" w:type="auto"/>
            <w:hideMark/>
          </w:tcPr>
          <w:p w14:paraId="00F6C64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3</w:t>
            </w:r>
          </w:p>
        </w:tc>
        <w:tc>
          <w:tcPr>
            <w:tcW w:w="0" w:type="auto"/>
            <w:hideMark/>
          </w:tcPr>
          <w:p w14:paraId="162210A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Excedentul (+) sau deficitul (-), în cadrul abordării IRB, al ajustărilor pentru riscul de credit, al ajustărilor de valoare suplimentare și al altor reduceri ale fondurilor proprii față de pierderile așteptate pentru expunerile care nu se află în stare de nerambursare</w:t>
            </w:r>
          </w:p>
        </w:tc>
        <w:tc>
          <w:tcPr>
            <w:tcW w:w="0" w:type="auto"/>
          </w:tcPr>
          <w:p w14:paraId="33E49AC0" w14:textId="6F69E917"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0A655E69" w14:textId="77777777" w:rsidTr="00232DE0">
        <w:trPr>
          <w:tblCellSpacing w:w="0" w:type="dxa"/>
        </w:trPr>
        <w:tc>
          <w:tcPr>
            <w:tcW w:w="0" w:type="auto"/>
            <w:hideMark/>
          </w:tcPr>
          <w:p w14:paraId="0F940068"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0110</w:t>
            </w:r>
          </w:p>
        </w:tc>
        <w:tc>
          <w:tcPr>
            <w:tcW w:w="0" w:type="auto"/>
            <w:hideMark/>
          </w:tcPr>
          <w:p w14:paraId="3BE05CA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3.1</w:t>
            </w:r>
          </w:p>
        </w:tc>
        <w:tc>
          <w:tcPr>
            <w:tcW w:w="0" w:type="auto"/>
            <w:hideMark/>
          </w:tcPr>
          <w:p w14:paraId="294FB92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Total ajustări pentru riscul de credit, ajustări de valoare suplimentare și alte reduceri ale fondurilor proprii care sunt eligibile pentru a fi incluse în calculul cuantumului pierderii așteptate</w:t>
            </w:r>
          </w:p>
        </w:tc>
        <w:tc>
          <w:tcPr>
            <w:tcW w:w="0" w:type="auto"/>
          </w:tcPr>
          <w:p w14:paraId="727EED60" w14:textId="4D200161"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304AFB8" w14:textId="77777777" w:rsidTr="00232DE0">
        <w:trPr>
          <w:tblCellSpacing w:w="0" w:type="dxa"/>
        </w:trPr>
        <w:tc>
          <w:tcPr>
            <w:tcW w:w="0" w:type="auto"/>
            <w:hideMark/>
          </w:tcPr>
          <w:p w14:paraId="6DE39039"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0120</w:t>
            </w:r>
          </w:p>
        </w:tc>
        <w:tc>
          <w:tcPr>
            <w:tcW w:w="0" w:type="auto"/>
            <w:hideMark/>
          </w:tcPr>
          <w:p w14:paraId="4E20CFB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3.1.1</w:t>
            </w:r>
          </w:p>
        </w:tc>
        <w:tc>
          <w:tcPr>
            <w:tcW w:w="0" w:type="auto"/>
            <w:hideMark/>
          </w:tcPr>
          <w:p w14:paraId="5BCEA1B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Ajustări generale pentru riscul de credit</w:t>
            </w:r>
          </w:p>
        </w:tc>
        <w:tc>
          <w:tcPr>
            <w:tcW w:w="0" w:type="auto"/>
          </w:tcPr>
          <w:p w14:paraId="211F90DA" w14:textId="5FE1C0FA"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1BE0CD1" w14:textId="77777777" w:rsidTr="00232DE0">
        <w:trPr>
          <w:tblCellSpacing w:w="0" w:type="dxa"/>
        </w:trPr>
        <w:tc>
          <w:tcPr>
            <w:tcW w:w="0" w:type="auto"/>
            <w:hideMark/>
          </w:tcPr>
          <w:p w14:paraId="75D60C58"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0130</w:t>
            </w:r>
          </w:p>
        </w:tc>
        <w:tc>
          <w:tcPr>
            <w:tcW w:w="0" w:type="auto"/>
            <w:hideMark/>
          </w:tcPr>
          <w:p w14:paraId="2FA4786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3.1.2</w:t>
            </w:r>
          </w:p>
        </w:tc>
        <w:tc>
          <w:tcPr>
            <w:tcW w:w="0" w:type="auto"/>
            <w:hideMark/>
          </w:tcPr>
          <w:p w14:paraId="53AB67D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Ajustări specifice pentru riscul de credit</w:t>
            </w:r>
          </w:p>
        </w:tc>
        <w:tc>
          <w:tcPr>
            <w:tcW w:w="0" w:type="auto"/>
          </w:tcPr>
          <w:p w14:paraId="71BCC427" w14:textId="72B50F62"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F47E5F6" w14:textId="77777777" w:rsidTr="00232DE0">
        <w:trPr>
          <w:tblCellSpacing w:w="0" w:type="dxa"/>
        </w:trPr>
        <w:tc>
          <w:tcPr>
            <w:tcW w:w="0" w:type="auto"/>
            <w:hideMark/>
          </w:tcPr>
          <w:p w14:paraId="22FEA97C"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0131</w:t>
            </w:r>
          </w:p>
        </w:tc>
        <w:tc>
          <w:tcPr>
            <w:tcW w:w="0" w:type="auto"/>
            <w:hideMark/>
          </w:tcPr>
          <w:p w14:paraId="1EB8C1C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3.1.3</w:t>
            </w:r>
          </w:p>
        </w:tc>
        <w:tc>
          <w:tcPr>
            <w:tcW w:w="0" w:type="auto"/>
            <w:hideMark/>
          </w:tcPr>
          <w:p w14:paraId="30EDDC6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Ajustări de valoare suplimentare și alte reduceri ale fondurilor proprii</w:t>
            </w:r>
          </w:p>
        </w:tc>
        <w:tc>
          <w:tcPr>
            <w:tcW w:w="0" w:type="auto"/>
          </w:tcPr>
          <w:p w14:paraId="302E6791" w14:textId="271C1744"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575A363" w14:textId="77777777" w:rsidTr="00232DE0">
        <w:trPr>
          <w:tblCellSpacing w:w="0" w:type="dxa"/>
        </w:trPr>
        <w:tc>
          <w:tcPr>
            <w:tcW w:w="0" w:type="auto"/>
            <w:hideMark/>
          </w:tcPr>
          <w:p w14:paraId="044E08BB"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0140</w:t>
            </w:r>
          </w:p>
        </w:tc>
        <w:tc>
          <w:tcPr>
            <w:tcW w:w="0" w:type="auto"/>
            <w:hideMark/>
          </w:tcPr>
          <w:p w14:paraId="40B192E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3.2</w:t>
            </w:r>
          </w:p>
        </w:tc>
        <w:tc>
          <w:tcPr>
            <w:tcW w:w="0" w:type="auto"/>
            <w:hideMark/>
          </w:tcPr>
          <w:p w14:paraId="775C63E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Pierderile eligibile așteptate totale</w:t>
            </w:r>
          </w:p>
        </w:tc>
        <w:tc>
          <w:tcPr>
            <w:tcW w:w="0" w:type="auto"/>
          </w:tcPr>
          <w:p w14:paraId="2E718E87" w14:textId="7BB55E7F"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2472FD97" w14:textId="77777777" w:rsidTr="00232DE0">
        <w:trPr>
          <w:tblCellSpacing w:w="0" w:type="dxa"/>
        </w:trPr>
        <w:tc>
          <w:tcPr>
            <w:tcW w:w="0" w:type="auto"/>
            <w:hideMark/>
          </w:tcPr>
          <w:p w14:paraId="1D09FEB5"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0145</w:t>
            </w:r>
          </w:p>
        </w:tc>
        <w:tc>
          <w:tcPr>
            <w:tcW w:w="0" w:type="auto"/>
            <w:hideMark/>
          </w:tcPr>
          <w:p w14:paraId="237D354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4</w:t>
            </w:r>
          </w:p>
        </w:tc>
        <w:tc>
          <w:tcPr>
            <w:tcW w:w="0" w:type="auto"/>
            <w:hideMark/>
          </w:tcPr>
          <w:p w14:paraId="1570CDB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Excedentul (+) sau deficitul (-), conform abordării IRB, al ajustărilor specifice pentru riscul de credit față de pierderile așteptate pentru expunerile care se află în stare de nerambursare</w:t>
            </w:r>
          </w:p>
        </w:tc>
        <w:tc>
          <w:tcPr>
            <w:tcW w:w="0" w:type="auto"/>
          </w:tcPr>
          <w:p w14:paraId="23919E4F" w14:textId="5F130449"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4F3F02CA" w14:textId="77777777" w:rsidTr="00232DE0">
        <w:trPr>
          <w:tblCellSpacing w:w="0" w:type="dxa"/>
        </w:trPr>
        <w:tc>
          <w:tcPr>
            <w:tcW w:w="0" w:type="auto"/>
            <w:hideMark/>
          </w:tcPr>
          <w:p w14:paraId="6A7748DE"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0150</w:t>
            </w:r>
          </w:p>
        </w:tc>
        <w:tc>
          <w:tcPr>
            <w:tcW w:w="0" w:type="auto"/>
            <w:hideMark/>
          </w:tcPr>
          <w:p w14:paraId="7D3363A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4.1</w:t>
            </w:r>
          </w:p>
        </w:tc>
        <w:tc>
          <w:tcPr>
            <w:tcW w:w="0" w:type="auto"/>
            <w:hideMark/>
          </w:tcPr>
          <w:p w14:paraId="378228C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Ajustările specifice pentru riscul de credit și pozițiile tratate în mod similar</w:t>
            </w:r>
          </w:p>
        </w:tc>
        <w:tc>
          <w:tcPr>
            <w:tcW w:w="0" w:type="auto"/>
          </w:tcPr>
          <w:p w14:paraId="17631590" w14:textId="77985C54"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376808D" w14:textId="77777777" w:rsidTr="00232DE0">
        <w:trPr>
          <w:tblCellSpacing w:w="0" w:type="dxa"/>
        </w:trPr>
        <w:tc>
          <w:tcPr>
            <w:tcW w:w="0" w:type="auto"/>
            <w:hideMark/>
          </w:tcPr>
          <w:p w14:paraId="3F5AD22E"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0155</w:t>
            </w:r>
          </w:p>
        </w:tc>
        <w:tc>
          <w:tcPr>
            <w:tcW w:w="0" w:type="auto"/>
            <w:hideMark/>
          </w:tcPr>
          <w:p w14:paraId="1A3DFD8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4.2</w:t>
            </w:r>
          </w:p>
        </w:tc>
        <w:tc>
          <w:tcPr>
            <w:tcW w:w="0" w:type="auto"/>
            <w:hideMark/>
          </w:tcPr>
          <w:p w14:paraId="57344DE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Pierderile eligibile așteptate totale</w:t>
            </w:r>
          </w:p>
        </w:tc>
        <w:tc>
          <w:tcPr>
            <w:tcW w:w="0" w:type="auto"/>
          </w:tcPr>
          <w:p w14:paraId="0C9D8EA8" w14:textId="2B1AED5D"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4F228D1" w14:textId="77777777" w:rsidTr="00232DE0">
        <w:trPr>
          <w:tblCellSpacing w:w="0" w:type="dxa"/>
        </w:trPr>
        <w:tc>
          <w:tcPr>
            <w:tcW w:w="0" w:type="auto"/>
            <w:hideMark/>
          </w:tcPr>
          <w:p w14:paraId="442E5992"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lastRenderedPageBreak/>
              <w:t>0160</w:t>
            </w:r>
          </w:p>
        </w:tc>
        <w:tc>
          <w:tcPr>
            <w:tcW w:w="0" w:type="auto"/>
            <w:hideMark/>
          </w:tcPr>
          <w:p w14:paraId="412F004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5</w:t>
            </w:r>
          </w:p>
        </w:tc>
        <w:tc>
          <w:tcPr>
            <w:tcW w:w="0" w:type="auto"/>
            <w:hideMark/>
          </w:tcPr>
          <w:p w14:paraId="432B174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Cuantumurile ponderate la risc ale expunerilor pentru calculul plafonului aferent excedentului provizioanelor eligibile drept fonduri proprii de nivel 2</w:t>
            </w:r>
          </w:p>
        </w:tc>
        <w:tc>
          <w:tcPr>
            <w:tcW w:w="0" w:type="auto"/>
          </w:tcPr>
          <w:p w14:paraId="672A1846" w14:textId="4310E386"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1AC7E2FC" w14:textId="77777777" w:rsidTr="00260C32">
        <w:trPr>
          <w:tblCellSpacing w:w="0" w:type="dxa"/>
        </w:trPr>
        <w:tc>
          <w:tcPr>
            <w:tcW w:w="0" w:type="auto"/>
            <w:hideMark/>
          </w:tcPr>
          <w:p w14:paraId="6914CFA3"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0170</w:t>
            </w:r>
          </w:p>
        </w:tc>
        <w:tc>
          <w:tcPr>
            <w:tcW w:w="0" w:type="auto"/>
            <w:hideMark/>
          </w:tcPr>
          <w:p w14:paraId="5E6E87C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6</w:t>
            </w:r>
          </w:p>
        </w:tc>
        <w:tc>
          <w:tcPr>
            <w:tcW w:w="0" w:type="auto"/>
            <w:hideMark/>
          </w:tcPr>
          <w:p w14:paraId="515B451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Total provizioane brute eligibile pentru a fi incluse în fondurile proprii de nivel 2</w:t>
            </w:r>
          </w:p>
        </w:tc>
        <w:tc>
          <w:tcPr>
            <w:tcW w:w="0" w:type="auto"/>
            <w:hideMark/>
          </w:tcPr>
          <w:p w14:paraId="357669DC" w14:textId="01DE3546"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1580D862" w14:textId="77777777" w:rsidTr="00260C32">
        <w:trPr>
          <w:tblCellSpacing w:w="0" w:type="dxa"/>
        </w:trPr>
        <w:tc>
          <w:tcPr>
            <w:tcW w:w="0" w:type="auto"/>
            <w:hideMark/>
          </w:tcPr>
          <w:p w14:paraId="015B8AA8"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0180</w:t>
            </w:r>
          </w:p>
        </w:tc>
        <w:tc>
          <w:tcPr>
            <w:tcW w:w="0" w:type="auto"/>
            <w:hideMark/>
          </w:tcPr>
          <w:p w14:paraId="2FE30FD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7</w:t>
            </w:r>
          </w:p>
        </w:tc>
        <w:tc>
          <w:tcPr>
            <w:tcW w:w="0" w:type="auto"/>
            <w:hideMark/>
          </w:tcPr>
          <w:p w14:paraId="34E3AFE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Cuantumurile ponderate la risc ale expunerilor pentru calculul plafonului în funcție de provizioanele eligibile drept fonduri proprii de nivel 2</w:t>
            </w:r>
          </w:p>
        </w:tc>
        <w:tc>
          <w:tcPr>
            <w:tcW w:w="0" w:type="auto"/>
            <w:hideMark/>
          </w:tcPr>
          <w:p w14:paraId="1DDF2AFC" w14:textId="44AE5DF9"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30155BD4" w14:textId="77777777" w:rsidTr="008B2DD1">
        <w:trPr>
          <w:tblCellSpacing w:w="0" w:type="dxa"/>
        </w:trPr>
        <w:tc>
          <w:tcPr>
            <w:tcW w:w="0" w:type="auto"/>
            <w:gridSpan w:val="4"/>
            <w:shd w:val="clear" w:color="auto" w:fill="E7E6E6" w:themeFill="background2"/>
            <w:hideMark/>
          </w:tcPr>
          <w:p w14:paraId="0AF9E6BB" w14:textId="77777777" w:rsidR="00260C32" w:rsidRPr="00260C32" w:rsidRDefault="00260C32" w:rsidP="00087A14">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Praguri pentru deducerile din fondurile proprii de nivel 1 de bază</w:t>
            </w:r>
          </w:p>
        </w:tc>
      </w:tr>
      <w:tr w:rsidR="00260C32" w:rsidRPr="00260C32" w14:paraId="0D954747" w14:textId="77777777" w:rsidTr="00260C32">
        <w:trPr>
          <w:tblCellSpacing w:w="0" w:type="dxa"/>
        </w:trPr>
        <w:tc>
          <w:tcPr>
            <w:tcW w:w="0" w:type="auto"/>
            <w:hideMark/>
          </w:tcPr>
          <w:p w14:paraId="3E70A593"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0190</w:t>
            </w:r>
          </w:p>
        </w:tc>
        <w:tc>
          <w:tcPr>
            <w:tcW w:w="0" w:type="auto"/>
            <w:hideMark/>
          </w:tcPr>
          <w:p w14:paraId="028CDA8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8</w:t>
            </w:r>
          </w:p>
        </w:tc>
        <w:tc>
          <w:tcPr>
            <w:tcW w:w="0" w:type="auto"/>
            <w:hideMark/>
          </w:tcPr>
          <w:p w14:paraId="70A807DD" w14:textId="496E4C65"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Pragul nedeductibil al deținerilor în entitățile din sectorul financiar în care </w:t>
            </w:r>
            <w:r w:rsidR="00916018">
              <w:rPr>
                <w:rFonts w:ascii="Times New Roman" w:eastAsia="Times New Roman" w:hAnsi="Times New Roman" w:cs="Times New Roman"/>
                <w:b/>
                <w:bCs/>
                <w:color w:val="000000"/>
                <w:kern w:val="0"/>
                <w:lang w:eastAsia="ro-MD"/>
                <w14:ligatures w14:val="none"/>
              </w:rPr>
              <w:t>banca</w:t>
            </w:r>
            <w:r w:rsidRPr="00260C32">
              <w:rPr>
                <w:rFonts w:ascii="Times New Roman" w:eastAsia="Times New Roman" w:hAnsi="Times New Roman" w:cs="Times New Roman"/>
                <w:b/>
                <w:bCs/>
                <w:color w:val="000000"/>
                <w:kern w:val="0"/>
                <w:lang w:eastAsia="ro-MD"/>
                <w14:ligatures w14:val="none"/>
              </w:rPr>
              <w:t xml:space="preserve"> nu deține o investiție semnificativă</w:t>
            </w:r>
          </w:p>
        </w:tc>
        <w:tc>
          <w:tcPr>
            <w:tcW w:w="0" w:type="auto"/>
            <w:hideMark/>
          </w:tcPr>
          <w:p w14:paraId="7942AA89" w14:textId="7058055A"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6B61BB42" w14:textId="77777777" w:rsidTr="00260C32">
        <w:trPr>
          <w:tblCellSpacing w:w="0" w:type="dxa"/>
        </w:trPr>
        <w:tc>
          <w:tcPr>
            <w:tcW w:w="0" w:type="auto"/>
            <w:hideMark/>
          </w:tcPr>
          <w:p w14:paraId="32DC2BDC"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0200</w:t>
            </w:r>
          </w:p>
        </w:tc>
        <w:tc>
          <w:tcPr>
            <w:tcW w:w="0" w:type="auto"/>
            <w:hideMark/>
          </w:tcPr>
          <w:p w14:paraId="438B722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9</w:t>
            </w:r>
          </w:p>
        </w:tc>
        <w:tc>
          <w:tcPr>
            <w:tcW w:w="0" w:type="auto"/>
            <w:hideMark/>
          </w:tcPr>
          <w:p w14:paraId="57A8580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Pragul de 10 % al fondurilor proprii de nivel 1 de bază</w:t>
            </w:r>
          </w:p>
        </w:tc>
        <w:tc>
          <w:tcPr>
            <w:tcW w:w="0" w:type="auto"/>
            <w:hideMark/>
          </w:tcPr>
          <w:p w14:paraId="7046E8E6" w14:textId="7BD2541D"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397E6CCB" w14:textId="77777777" w:rsidTr="00260C32">
        <w:trPr>
          <w:tblCellSpacing w:w="0" w:type="dxa"/>
        </w:trPr>
        <w:tc>
          <w:tcPr>
            <w:tcW w:w="0" w:type="auto"/>
            <w:hideMark/>
          </w:tcPr>
          <w:p w14:paraId="1F59CEFC"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0210</w:t>
            </w:r>
          </w:p>
        </w:tc>
        <w:tc>
          <w:tcPr>
            <w:tcW w:w="0" w:type="auto"/>
            <w:hideMark/>
          </w:tcPr>
          <w:p w14:paraId="536664B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10</w:t>
            </w:r>
          </w:p>
        </w:tc>
        <w:tc>
          <w:tcPr>
            <w:tcW w:w="0" w:type="auto"/>
            <w:hideMark/>
          </w:tcPr>
          <w:p w14:paraId="1A3207F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Pragul de 17.65 % al fondurilor proprii de nivel 1 de bază</w:t>
            </w:r>
          </w:p>
        </w:tc>
        <w:tc>
          <w:tcPr>
            <w:tcW w:w="0" w:type="auto"/>
            <w:hideMark/>
          </w:tcPr>
          <w:p w14:paraId="0C692A0A" w14:textId="4EF1D7A4"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4622CD2F" w14:textId="77777777" w:rsidTr="00260C32">
        <w:trPr>
          <w:tblCellSpacing w:w="0" w:type="dxa"/>
        </w:trPr>
        <w:tc>
          <w:tcPr>
            <w:tcW w:w="0" w:type="auto"/>
            <w:hideMark/>
          </w:tcPr>
          <w:p w14:paraId="42207333"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0225</w:t>
            </w:r>
          </w:p>
        </w:tc>
        <w:tc>
          <w:tcPr>
            <w:tcW w:w="0" w:type="auto"/>
            <w:hideMark/>
          </w:tcPr>
          <w:p w14:paraId="71F041F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11</w:t>
            </w:r>
          </w:p>
        </w:tc>
        <w:tc>
          <w:tcPr>
            <w:tcW w:w="0" w:type="auto"/>
            <w:hideMark/>
          </w:tcPr>
          <w:p w14:paraId="29209EA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Capitalul eligibil în scopul deținerilor calificate din afara sectorului financiar</w:t>
            </w:r>
          </w:p>
        </w:tc>
        <w:tc>
          <w:tcPr>
            <w:tcW w:w="0" w:type="auto"/>
            <w:hideMark/>
          </w:tcPr>
          <w:p w14:paraId="6372CCAC" w14:textId="2EEA9934"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18F3C272" w14:textId="77777777" w:rsidTr="008B2DD1">
        <w:trPr>
          <w:tblCellSpacing w:w="0" w:type="dxa"/>
        </w:trPr>
        <w:tc>
          <w:tcPr>
            <w:tcW w:w="0" w:type="auto"/>
            <w:gridSpan w:val="4"/>
            <w:shd w:val="clear" w:color="auto" w:fill="E7E6E6" w:themeFill="background2"/>
            <w:hideMark/>
          </w:tcPr>
          <w:p w14:paraId="402650BA" w14:textId="11B6EC30" w:rsidR="00260C32" w:rsidRPr="00260C32" w:rsidRDefault="00260C32" w:rsidP="00087A14">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Investiții în instrumente de capital ale entităților din sectorul financiar în care </w:t>
            </w:r>
            <w:r w:rsidR="00916018">
              <w:rPr>
                <w:rFonts w:ascii="Times New Roman" w:eastAsia="Times New Roman" w:hAnsi="Times New Roman" w:cs="Times New Roman"/>
                <w:b/>
                <w:bCs/>
                <w:color w:val="000000"/>
                <w:kern w:val="0"/>
                <w:lang w:eastAsia="ro-MD"/>
                <w14:ligatures w14:val="none"/>
              </w:rPr>
              <w:t>banca</w:t>
            </w:r>
            <w:r w:rsidRPr="00260C32">
              <w:rPr>
                <w:rFonts w:ascii="Times New Roman" w:eastAsia="Times New Roman" w:hAnsi="Times New Roman" w:cs="Times New Roman"/>
                <w:b/>
                <w:bCs/>
                <w:color w:val="000000"/>
                <w:kern w:val="0"/>
                <w:lang w:eastAsia="ro-MD"/>
                <w14:ligatures w14:val="none"/>
              </w:rPr>
              <w:t xml:space="preserve"> nu deține o investiție semnificativă</w:t>
            </w:r>
          </w:p>
        </w:tc>
      </w:tr>
      <w:tr w:rsidR="00260C32" w:rsidRPr="00260C32" w14:paraId="402E38EA" w14:textId="77777777" w:rsidTr="00260C32">
        <w:trPr>
          <w:tblCellSpacing w:w="0" w:type="dxa"/>
        </w:trPr>
        <w:tc>
          <w:tcPr>
            <w:tcW w:w="0" w:type="auto"/>
            <w:hideMark/>
          </w:tcPr>
          <w:p w14:paraId="5A773ED8"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0230</w:t>
            </w:r>
          </w:p>
        </w:tc>
        <w:tc>
          <w:tcPr>
            <w:tcW w:w="0" w:type="auto"/>
            <w:hideMark/>
          </w:tcPr>
          <w:p w14:paraId="2BB2BD7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12</w:t>
            </w:r>
          </w:p>
        </w:tc>
        <w:tc>
          <w:tcPr>
            <w:tcW w:w="0" w:type="auto"/>
            <w:hideMark/>
          </w:tcPr>
          <w:p w14:paraId="031C0FCC" w14:textId="1ED7877F"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Dețineri de fonduri proprii de nivel 1 de bază ale entităților din sectorul financiar în care </w:t>
            </w:r>
            <w:r w:rsidR="00916018">
              <w:rPr>
                <w:rFonts w:ascii="Times New Roman" w:eastAsia="Times New Roman" w:hAnsi="Times New Roman" w:cs="Times New Roman"/>
                <w:b/>
                <w:bCs/>
                <w:color w:val="000000"/>
                <w:kern w:val="0"/>
                <w:lang w:eastAsia="ro-MD"/>
                <w14:ligatures w14:val="none"/>
              </w:rPr>
              <w:t>banca</w:t>
            </w:r>
            <w:r w:rsidRPr="00260C32">
              <w:rPr>
                <w:rFonts w:ascii="Times New Roman" w:eastAsia="Times New Roman" w:hAnsi="Times New Roman" w:cs="Times New Roman"/>
                <w:b/>
                <w:bCs/>
                <w:color w:val="000000"/>
                <w:kern w:val="0"/>
                <w:lang w:eastAsia="ro-MD"/>
                <w14:ligatures w14:val="none"/>
              </w:rPr>
              <w:t xml:space="preserve"> nu deține o investiție semnificativă, excluzând pozițiile scurte</w:t>
            </w:r>
          </w:p>
        </w:tc>
        <w:tc>
          <w:tcPr>
            <w:tcW w:w="0" w:type="auto"/>
            <w:hideMark/>
          </w:tcPr>
          <w:p w14:paraId="6696BF1A" w14:textId="79042592"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5B62829D" w14:textId="77777777" w:rsidTr="00260C32">
        <w:trPr>
          <w:tblCellSpacing w:w="0" w:type="dxa"/>
        </w:trPr>
        <w:tc>
          <w:tcPr>
            <w:tcW w:w="0" w:type="auto"/>
            <w:hideMark/>
          </w:tcPr>
          <w:p w14:paraId="484A4C2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0240</w:t>
            </w:r>
          </w:p>
        </w:tc>
        <w:tc>
          <w:tcPr>
            <w:tcW w:w="0" w:type="auto"/>
            <w:hideMark/>
          </w:tcPr>
          <w:p w14:paraId="6557C07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12.1</w:t>
            </w:r>
          </w:p>
        </w:tc>
        <w:tc>
          <w:tcPr>
            <w:tcW w:w="0" w:type="auto"/>
            <w:hideMark/>
          </w:tcPr>
          <w:p w14:paraId="727F88B1" w14:textId="75648A08"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directe de fonduri proprii de nivel 1 de bază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21ABEAFC" w14:textId="2F224F65"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1E2457A" w14:textId="77777777" w:rsidTr="00260C32">
        <w:trPr>
          <w:tblCellSpacing w:w="0" w:type="dxa"/>
        </w:trPr>
        <w:tc>
          <w:tcPr>
            <w:tcW w:w="0" w:type="auto"/>
            <w:hideMark/>
          </w:tcPr>
          <w:p w14:paraId="6D399C4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0250</w:t>
            </w:r>
          </w:p>
        </w:tc>
        <w:tc>
          <w:tcPr>
            <w:tcW w:w="0" w:type="auto"/>
            <w:hideMark/>
          </w:tcPr>
          <w:p w14:paraId="562DF29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12.1.1</w:t>
            </w:r>
          </w:p>
        </w:tc>
        <w:tc>
          <w:tcPr>
            <w:tcW w:w="0" w:type="auto"/>
            <w:hideMark/>
          </w:tcPr>
          <w:p w14:paraId="3BC062BF" w14:textId="34EBDE71"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directe brute de fonduri proprii de nivel 1 de bază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5E9915B2" w14:textId="524CAB2F"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B33CE01" w14:textId="77777777" w:rsidTr="00260C32">
        <w:trPr>
          <w:tblCellSpacing w:w="0" w:type="dxa"/>
        </w:trPr>
        <w:tc>
          <w:tcPr>
            <w:tcW w:w="0" w:type="auto"/>
            <w:hideMark/>
          </w:tcPr>
          <w:p w14:paraId="50901DC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0260</w:t>
            </w:r>
          </w:p>
        </w:tc>
        <w:tc>
          <w:tcPr>
            <w:tcW w:w="0" w:type="auto"/>
            <w:hideMark/>
          </w:tcPr>
          <w:p w14:paraId="43D4426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12.1.2</w:t>
            </w:r>
          </w:p>
        </w:tc>
        <w:tc>
          <w:tcPr>
            <w:tcW w:w="0" w:type="auto"/>
            <w:hideMark/>
          </w:tcPr>
          <w:p w14:paraId="41051A3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Poziții scurte de semn opus permise în ceea ce privește deținerile directe brute incluse mai sus</w:t>
            </w:r>
          </w:p>
        </w:tc>
        <w:tc>
          <w:tcPr>
            <w:tcW w:w="0" w:type="auto"/>
            <w:hideMark/>
          </w:tcPr>
          <w:p w14:paraId="7BCBF99C" w14:textId="62500D94"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3896698" w14:textId="77777777" w:rsidTr="00260C32">
        <w:trPr>
          <w:tblCellSpacing w:w="0" w:type="dxa"/>
        </w:trPr>
        <w:tc>
          <w:tcPr>
            <w:tcW w:w="0" w:type="auto"/>
            <w:hideMark/>
          </w:tcPr>
          <w:p w14:paraId="6D72F1C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0270</w:t>
            </w:r>
          </w:p>
        </w:tc>
        <w:tc>
          <w:tcPr>
            <w:tcW w:w="0" w:type="auto"/>
            <w:hideMark/>
          </w:tcPr>
          <w:p w14:paraId="6DB22AF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12.2</w:t>
            </w:r>
          </w:p>
        </w:tc>
        <w:tc>
          <w:tcPr>
            <w:tcW w:w="0" w:type="auto"/>
            <w:hideMark/>
          </w:tcPr>
          <w:p w14:paraId="6727579D" w14:textId="3182F575"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indirecte de fonduri proprii de nivel 1 de bază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6B59150C" w14:textId="3425C8FF"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80783C1" w14:textId="77777777" w:rsidTr="00260C32">
        <w:trPr>
          <w:tblCellSpacing w:w="0" w:type="dxa"/>
        </w:trPr>
        <w:tc>
          <w:tcPr>
            <w:tcW w:w="0" w:type="auto"/>
            <w:hideMark/>
          </w:tcPr>
          <w:p w14:paraId="5931AB2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0280</w:t>
            </w:r>
          </w:p>
        </w:tc>
        <w:tc>
          <w:tcPr>
            <w:tcW w:w="0" w:type="auto"/>
            <w:hideMark/>
          </w:tcPr>
          <w:p w14:paraId="61802AD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12.2.1</w:t>
            </w:r>
          </w:p>
        </w:tc>
        <w:tc>
          <w:tcPr>
            <w:tcW w:w="0" w:type="auto"/>
            <w:hideMark/>
          </w:tcPr>
          <w:p w14:paraId="0CF89057" w14:textId="080F558F"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indirecte brute de fonduri proprii de nivel 1 de bază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36C6145A" w14:textId="289CBD7F"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A912E48" w14:textId="77777777" w:rsidTr="00260C32">
        <w:trPr>
          <w:tblCellSpacing w:w="0" w:type="dxa"/>
        </w:trPr>
        <w:tc>
          <w:tcPr>
            <w:tcW w:w="0" w:type="auto"/>
            <w:hideMark/>
          </w:tcPr>
          <w:p w14:paraId="035672C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0290</w:t>
            </w:r>
          </w:p>
        </w:tc>
        <w:tc>
          <w:tcPr>
            <w:tcW w:w="0" w:type="auto"/>
            <w:hideMark/>
          </w:tcPr>
          <w:p w14:paraId="267D48A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12.2.2</w:t>
            </w:r>
          </w:p>
        </w:tc>
        <w:tc>
          <w:tcPr>
            <w:tcW w:w="0" w:type="auto"/>
            <w:hideMark/>
          </w:tcPr>
          <w:p w14:paraId="2F5A0AA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Poziții scurte de semn opus permise în ceea ce privește deținerile indirecte brute incluse mai sus</w:t>
            </w:r>
          </w:p>
        </w:tc>
        <w:tc>
          <w:tcPr>
            <w:tcW w:w="0" w:type="auto"/>
            <w:hideMark/>
          </w:tcPr>
          <w:p w14:paraId="2C56D75F" w14:textId="201E8954"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2D00629" w14:textId="77777777" w:rsidTr="00260C32">
        <w:trPr>
          <w:tblCellSpacing w:w="0" w:type="dxa"/>
        </w:trPr>
        <w:tc>
          <w:tcPr>
            <w:tcW w:w="0" w:type="auto"/>
            <w:hideMark/>
          </w:tcPr>
          <w:p w14:paraId="4EA940A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0291</w:t>
            </w:r>
          </w:p>
        </w:tc>
        <w:tc>
          <w:tcPr>
            <w:tcW w:w="0" w:type="auto"/>
            <w:hideMark/>
          </w:tcPr>
          <w:p w14:paraId="4E22C90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12.3</w:t>
            </w:r>
          </w:p>
        </w:tc>
        <w:tc>
          <w:tcPr>
            <w:tcW w:w="0" w:type="auto"/>
            <w:hideMark/>
          </w:tcPr>
          <w:p w14:paraId="2786AA0C" w14:textId="436BB95D"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sintetice de fonduri proprii de nivel 1 de bază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7436510B" w14:textId="4E872D56"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6E08CDD" w14:textId="77777777" w:rsidTr="00260C32">
        <w:trPr>
          <w:tblCellSpacing w:w="0" w:type="dxa"/>
        </w:trPr>
        <w:tc>
          <w:tcPr>
            <w:tcW w:w="0" w:type="auto"/>
            <w:hideMark/>
          </w:tcPr>
          <w:p w14:paraId="618933C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0292</w:t>
            </w:r>
          </w:p>
        </w:tc>
        <w:tc>
          <w:tcPr>
            <w:tcW w:w="0" w:type="auto"/>
            <w:hideMark/>
          </w:tcPr>
          <w:p w14:paraId="67942DC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12.3.1</w:t>
            </w:r>
          </w:p>
        </w:tc>
        <w:tc>
          <w:tcPr>
            <w:tcW w:w="0" w:type="auto"/>
            <w:hideMark/>
          </w:tcPr>
          <w:p w14:paraId="3AAE5A35" w14:textId="16B2FC3B"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sintetice brute de fonduri proprii de nivel 1 de bază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4DC76E55" w14:textId="32E32392"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071E129" w14:textId="77777777" w:rsidTr="00260C32">
        <w:trPr>
          <w:tblCellSpacing w:w="0" w:type="dxa"/>
        </w:trPr>
        <w:tc>
          <w:tcPr>
            <w:tcW w:w="0" w:type="auto"/>
            <w:hideMark/>
          </w:tcPr>
          <w:p w14:paraId="1F89004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0293</w:t>
            </w:r>
          </w:p>
        </w:tc>
        <w:tc>
          <w:tcPr>
            <w:tcW w:w="0" w:type="auto"/>
            <w:hideMark/>
          </w:tcPr>
          <w:p w14:paraId="65DBB51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12.3.2</w:t>
            </w:r>
          </w:p>
        </w:tc>
        <w:tc>
          <w:tcPr>
            <w:tcW w:w="0" w:type="auto"/>
            <w:hideMark/>
          </w:tcPr>
          <w:p w14:paraId="38C05B9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Poziții scurte de semn opus permise în ceea ce privește deținerile sintetice brute incluse mai sus</w:t>
            </w:r>
          </w:p>
        </w:tc>
        <w:tc>
          <w:tcPr>
            <w:tcW w:w="0" w:type="auto"/>
            <w:hideMark/>
          </w:tcPr>
          <w:p w14:paraId="4686E7A8" w14:textId="4ED85E06"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483301A" w14:textId="77777777" w:rsidTr="00260C32">
        <w:trPr>
          <w:tblCellSpacing w:w="0" w:type="dxa"/>
        </w:trPr>
        <w:tc>
          <w:tcPr>
            <w:tcW w:w="0" w:type="auto"/>
            <w:hideMark/>
          </w:tcPr>
          <w:p w14:paraId="6BD7C685"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0300</w:t>
            </w:r>
          </w:p>
        </w:tc>
        <w:tc>
          <w:tcPr>
            <w:tcW w:w="0" w:type="auto"/>
            <w:hideMark/>
          </w:tcPr>
          <w:p w14:paraId="4FE7DA5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13</w:t>
            </w:r>
          </w:p>
        </w:tc>
        <w:tc>
          <w:tcPr>
            <w:tcW w:w="0" w:type="auto"/>
            <w:hideMark/>
          </w:tcPr>
          <w:p w14:paraId="0CB04FE4" w14:textId="6B8315EF"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Dețineri de fonduri proprii de nivel 1 suplimentar ale entităților din sectorul financiar în care </w:t>
            </w:r>
            <w:r w:rsidR="00916018">
              <w:rPr>
                <w:rFonts w:ascii="Times New Roman" w:eastAsia="Times New Roman" w:hAnsi="Times New Roman" w:cs="Times New Roman"/>
                <w:b/>
                <w:bCs/>
                <w:color w:val="000000"/>
                <w:kern w:val="0"/>
                <w:lang w:eastAsia="ro-MD"/>
                <w14:ligatures w14:val="none"/>
              </w:rPr>
              <w:t>banca</w:t>
            </w:r>
            <w:r w:rsidRPr="00260C32">
              <w:rPr>
                <w:rFonts w:ascii="Times New Roman" w:eastAsia="Times New Roman" w:hAnsi="Times New Roman" w:cs="Times New Roman"/>
                <w:b/>
                <w:bCs/>
                <w:color w:val="000000"/>
                <w:kern w:val="0"/>
                <w:lang w:eastAsia="ro-MD"/>
                <w14:ligatures w14:val="none"/>
              </w:rPr>
              <w:t xml:space="preserve"> nu deține o investiție semnificativă, excluzând pozițiile scurte</w:t>
            </w:r>
          </w:p>
        </w:tc>
        <w:tc>
          <w:tcPr>
            <w:tcW w:w="0" w:type="auto"/>
            <w:hideMark/>
          </w:tcPr>
          <w:p w14:paraId="62F5A336" w14:textId="5D9BD8AE"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69C2FDC7" w14:textId="77777777" w:rsidTr="00260C32">
        <w:trPr>
          <w:tblCellSpacing w:w="0" w:type="dxa"/>
        </w:trPr>
        <w:tc>
          <w:tcPr>
            <w:tcW w:w="0" w:type="auto"/>
            <w:hideMark/>
          </w:tcPr>
          <w:p w14:paraId="37D914F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0310</w:t>
            </w:r>
          </w:p>
        </w:tc>
        <w:tc>
          <w:tcPr>
            <w:tcW w:w="0" w:type="auto"/>
            <w:hideMark/>
          </w:tcPr>
          <w:p w14:paraId="1E06E29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13.1</w:t>
            </w:r>
          </w:p>
        </w:tc>
        <w:tc>
          <w:tcPr>
            <w:tcW w:w="0" w:type="auto"/>
            <w:hideMark/>
          </w:tcPr>
          <w:p w14:paraId="092F6292" w14:textId="60038A98"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directe de fonduri proprii de nivel 1 suplimentar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79E538DA" w14:textId="3ED47682"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9503C3B" w14:textId="77777777" w:rsidTr="00260C32">
        <w:trPr>
          <w:tblCellSpacing w:w="0" w:type="dxa"/>
        </w:trPr>
        <w:tc>
          <w:tcPr>
            <w:tcW w:w="0" w:type="auto"/>
            <w:hideMark/>
          </w:tcPr>
          <w:p w14:paraId="788E9B6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0320</w:t>
            </w:r>
          </w:p>
        </w:tc>
        <w:tc>
          <w:tcPr>
            <w:tcW w:w="0" w:type="auto"/>
            <w:hideMark/>
          </w:tcPr>
          <w:p w14:paraId="11ED802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13.1.1</w:t>
            </w:r>
          </w:p>
        </w:tc>
        <w:tc>
          <w:tcPr>
            <w:tcW w:w="0" w:type="auto"/>
            <w:hideMark/>
          </w:tcPr>
          <w:p w14:paraId="5F5A7D88" w14:textId="2803B5F1"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directe brute de fonduri proprii de nivel 1 suplimentar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2D8EC60A" w14:textId="77D33742"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0C43219" w14:textId="77777777" w:rsidTr="00260C32">
        <w:trPr>
          <w:tblCellSpacing w:w="0" w:type="dxa"/>
        </w:trPr>
        <w:tc>
          <w:tcPr>
            <w:tcW w:w="0" w:type="auto"/>
            <w:hideMark/>
          </w:tcPr>
          <w:p w14:paraId="7623920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0330</w:t>
            </w:r>
          </w:p>
        </w:tc>
        <w:tc>
          <w:tcPr>
            <w:tcW w:w="0" w:type="auto"/>
            <w:hideMark/>
          </w:tcPr>
          <w:p w14:paraId="4DA5F44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13.1.2</w:t>
            </w:r>
          </w:p>
        </w:tc>
        <w:tc>
          <w:tcPr>
            <w:tcW w:w="0" w:type="auto"/>
            <w:hideMark/>
          </w:tcPr>
          <w:p w14:paraId="72992A9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Poziții scurte de semn opus permise în ceea ce privește deținerile directe brute incluse mai sus</w:t>
            </w:r>
          </w:p>
        </w:tc>
        <w:tc>
          <w:tcPr>
            <w:tcW w:w="0" w:type="auto"/>
            <w:hideMark/>
          </w:tcPr>
          <w:p w14:paraId="79050600" w14:textId="7CFBDD9A"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BAA3986" w14:textId="77777777" w:rsidTr="00260C32">
        <w:trPr>
          <w:tblCellSpacing w:w="0" w:type="dxa"/>
        </w:trPr>
        <w:tc>
          <w:tcPr>
            <w:tcW w:w="0" w:type="auto"/>
            <w:hideMark/>
          </w:tcPr>
          <w:p w14:paraId="11C2CBE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0340</w:t>
            </w:r>
          </w:p>
        </w:tc>
        <w:tc>
          <w:tcPr>
            <w:tcW w:w="0" w:type="auto"/>
            <w:hideMark/>
          </w:tcPr>
          <w:p w14:paraId="791599E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13.2</w:t>
            </w:r>
          </w:p>
        </w:tc>
        <w:tc>
          <w:tcPr>
            <w:tcW w:w="0" w:type="auto"/>
            <w:hideMark/>
          </w:tcPr>
          <w:p w14:paraId="4CBD770D" w14:textId="31679639"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indirecte de fonduri proprii de nivel 1 suplimentar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1B8D029E" w14:textId="65715C3F"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5343B1D" w14:textId="77777777" w:rsidTr="00260C32">
        <w:trPr>
          <w:tblCellSpacing w:w="0" w:type="dxa"/>
        </w:trPr>
        <w:tc>
          <w:tcPr>
            <w:tcW w:w="0" w:type="auto"/>
            <w:hideMark/>
          </w:tcPr>
          <w:p w14:paraId="1C6D802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0350</w:t>
            </w:r>
          </w:p>
        </w:tc>
        <w:tc>
          <w:tcPr>
            <w:tcW w:w="0" w:type="auto"/>
            <w:hideMark/>
          </w:tcPr>
          <w:p w14:paraId="2FDA340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13.2.1</w:t>
            </w:r>
          </w:p>
        </w:tc>
        <w:tc>
          <w:tcPr>
            <w:tcW w:w="0" w:type="auto"/>
            <w:hideMark/>
          </w:tcPr>
          <w:p w14:paraId="610AE4E8" w14:textId="7571B792"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indirecte brute de fonduri proprii de nivel 1 suplimentar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79FC757D" w14:textId="48ECCE1A"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994FB97" w14:textId="77777777" w:rsidTr="00260C32">
        <w:trPr>
          <w:tblCellSpacing w:w="0" w:type="dxa"/>
        </w:trPr>
        <w:tc>
          <w:tcPr>
            <w:tcW w:w="0" w:type="auto"/>
            <w:hideMark/>
          </w:tcPr>
          <w:p w14:paraId="1FCCA75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0360</w:t>
            </w:r>
          </w:p>
        </w:tc>
        <w:tc>
          <w:tcPr>
            <w:tcW w:w="0" w:type="auto"/>
            <w:hideMark/>
          </w:tcPr>
          <w:p w14:paraId="093DA73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13.2.2</w:t>
            </w:r>
          </w:p>
        </w:tc>
        <w:tc>
          <w:tcPr>
            <w:tcW w:w="0" w:type="auto"/>
            <w:hideMark/>
          </w:tcPr>
          <w:p w14:paraId="1D44388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Poziții scurte de semn opus permise în ceea ce privește deținerile indirecte brute incluse mai sus</w:t>
            </w:r>
          </w:p>
        </w:tc>
        <w:tc>
          <w:tcPr>
            <w:tcW w:w="0" w:type="auto"/>
            <w:hideMark/>
          </w:tcPr>
          <w:p w14:paraId="5D3872B2" w14:textId="3FABA6E5"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0AA0695" w14:textId="77777777" w:rsidTr="00260C32">
        <w:trPr>
          <w:tblCellSpacing w:w="0" w:type="dxa"/>
        </w:trPr>
        <w:tc>
          <w:tcPr>
            <w:tcW w:w="0" w:type="auto"/>
            <w:hideMark/>
          </w:tcPr>
          <w:p w14:paraId="4384C36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0361</w:t>
            </w:r>
          </w:p>
        </w:tc>
        <w:tc>
          <w:tcPr>
            <w:tcW w:w="0" w:type="auto"/>
            <w:hideMark/>
          </w:tcPr>
          <w:p w14:paraId="5748D6F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13.3</w:t>
            </w:r>
          </w:p>
        </w:tc>
        <w:tc>
          <w:tcPr>
            <w:tcW w:w="0" w:type="auto"/>
            <w:hideMark/>
          </w:tcPr>
          <w:p w14:paraId="206C1422" w14:textId="269C6263"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sintetice de fonduri proprii de nivel 1 suplimentar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6D4D11A0" w14:textId="372E64CD"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5906644" w14:textId="77777777" w:rsidTr="00260C32">
        <w:trPr>
          <w:tblCellSpacing w:w="0" w:type="dxa"/>
        </w:trPr>
        <w:tc>
          <w:tcPr>
            <w:tcW w:w="0" w:type="auto"/>
            <w:hideMark/>
          </w:tcPr>
          <w:p w14:paraId="55CB6BD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0362</w:t>
            </w:r>
          </w:p>
        </w:tc>
        <w:tc>
          <w:tcPr>
            <w:tcW w:w="0" w:type="auto"/>
            <w:hideMark/>
          </w:tcPr>
          <w:p w14:paraId="77F56F5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13.3.1</w:t>
            </w:r>
          </w:p>
        </w:tc>
        <w:tc>
          <w:tcPr>
            <w:tcW w:w="0" w:type="auto"/>
            <w:hideMark/>
          </w:tcPr>
          <w:p w14:paraId="1DBD8B6A" w14:textId="58773DAA"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sintetice brute de fonduri proprii de nivel 1 suplimentar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0B9A3282" w14:textId="09DDDC80"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054657F" w14:textId="77777777" w:rsidTr="00260C32">
        <w:trPr>
          <w:tblCellSpacing w:w="0" w:type="dxa"/>
        </w:trPr>
        <w:tc>
          <w:tcPr>
            <w:tcW w:w="0" w:type="auto"/>
            <w:hideMark/>
          </w:tcPr>
          <w:p w14:paraId="7FB00BA7"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0363</w:t>
            </w:r>
          </w:p>
        </w:tc>
        <w:tc>
          <w:tcPr>
            <w:tcW w:w="0" w:type="auto"/>
            <w:hideMark/>
          </w:tcPr>
          <w:p w14:paraId="1FBBF46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13.3.2</w:t>
            </w:r>
          </w:p>
        </w:tc>
        <w:tc>
          <w:tcPr>
            <w:tcW w:w="0" w:type="auto"/>
            <w:hideMark/>
          </w:tcPr>
          <w:p w14:paraId="089C4BF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Poziții scurte de semn opus permise în ceea ce privește deținerile sintetice brute incluse mai sus</w:t>
            </w:r>
          </w:p>
        </w:tc>
        <w:tc>
          <w:tcPr>
            <w:tcW w:w="0" w:type="auto"/>
            <w:hideMark/>
          </w:tcPr>
          <w:p w14:paraId="6F1B2B2E" w14:textId="1F60CDAE"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8C81300" w14:textId="77777777" w:rsidTr="00260C32">
        <w:trPr>
          <w:tblCellSpacing w:w="0" w:type="dxa"/>
        </w:trPr>
        <w:tc>
          <w:tcPr>
            <w:tcW w:w="0" w:type="auto"/>
            <w:hideMark/>
          </w:tcPr>
          <w:p w14:paraId="40C66E43"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lastRenderedPageBreak/>
              <w:t>0370</w:t>
            </w:r>
          </w:p>
        </w:tc>
        <w:tc>
          <w:tcPr>
            <w:tcW w:w="0" w:type="auto"/>
            <w:hideMark/>
          </w:tcPr>
          <w:p w14:paraId="1780D1D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14</w:t>
            </w:r>
          </w:p>
        </w:tc>
        <w:tc>
          <w:tcPr>
            <w:tcW w:w="0" w:type="auto"/>
            <w:hideMark/>
          </w:tcPr>
          <w:p w14:paraId="43FFE520" w14:textId="3DC096C0"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Dețineri de fonduri proprii de nivel 2 ale entităților din sectorul financiar în care </w:t>
            </w:r>
            <w:r w:rsidR="00916018">
              <w:rPr>
                <w:rFonts w:ascii="Times New Roman" w:eastAsia="Times New Roman" w:hAnsi="Times New Roman" w:cs="Times New Roman"/>
                <w:b/>
                <w:bCs/>
                <w:color w:val="000000"/>
                <w:kern w:val="0"/>
                <w:lang w:eastAsia="ro-MD"/>
                <w14:ligatures w14:val="none"/>
              </w:rPr>
              <w:t>banca</w:t>
            </w:r>
            <w:r w:rsidRPr="00260C32">
              <w:rPr>
                <w:rFonts w:ascii="Times New Roman" w:eastAsia="Times New Roman" w:hAnsi="Times New Roman" w:cs="Times New Roman"/>
                <w:b/>
                <w:bCs/>
                <w:color w:val="000000"/>
                <w:kern w:val="0"/>
                <w:lang w:eastAsia="ro-MD"/>
                <w14:ligatures w14:val="none"/>
              </w:rPr>
              <w:t xml:space="preserve"> nu deține o investiție semnificativă, excluzând pozițiile scurte</w:t>
            </w:r>
          </w:p>
        </w:tc>
        <w:tc>
          <w:tcPr>
            <w:tcW w:w="0" w:type="auto"/>
            <w:hideMark/>
          </w:tcPr>
          <w:p w14:paraId="4B05CE4C" w14:textId="5FBF4202"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03E942ED" w14:textId="77777777" w:rsidTr="00260C32">
        <w:trPr>
          <w:tblCellSpacing w:w="0" w:type="dxa"/>
        </w:trPr>
        <w:tc>
          <w:tcPr>
            <w:tcW w:w="0" w:type="auto"/>
            <w:hideMark/>
          </w:tcPr>
          <w:p w14:paraId="6E8DB53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0380</w:t>
            </w:r>
          </w:p>
        </w:tc>
        <w:tc>
          <w:tcPr>
            <w:tcW w:w="0" w:type="auto"/>
            <w:hideMark/>
          </w:tcPr>
          <w:p w14:paraId="4D6E3DD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14.1</w:t>
            </w:r>
          </w:p>
        </w:tc>
        <w:tc>
          <w:tcPr>
            <w:tcW w:w="0" w:type="auto"/>
            <w:hideMark/>
          </w:tcPr>
          <w:p w14:paraId="194693B5" w14:textId="4CFA0BFC"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directe de fonduri proprii de nivel 2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439D483E" w14:textId="4754309A"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24D04E4" w14:textId="77777777" w:rsidTr="00260C32">
        <w:trPr>
          <w:tblCellSpacing w:w="0" w:type="dxa"/>
        </w:trPr>
        <w:tc>
          <w:tcPr>
            <w:tcW w:w="0" w:type="auto"/>
            <w:hideMark/>
          </w:tcPr>
          <w:p w14:paraId="26B92DC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0390</w:t>
            </w:r>
          </w:p>
        </w:tc>
        <w:tc>
          <w:tcPr>
            <w:tcW w:w="0" w:type="auto"/>
            <w:hideMark/>
          </w:tcPr>
          <w:p w14:paraId="291D0CA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14.1.1</w:t>
            </w:r>
          </w:p>
        </w:tc>
        <w:tc>
          <w:tcPr>
            <w:tcW w:w="0" w:type="auto"/>
            <w:hideMark/>
          </w:tcPr>
          <w:p w14:paraId="5A7BE7DE" w14:textId="725ACE25"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directe brute de fonduri proprii de nivel 2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5E7B1121" w14:textId="03D950AD"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1C21534" w14:textId="77777777" w:rsidTr="00260C32">
        <w:trPr>
          <w:tblCellSpacing w:w="0" w:type="dxa"/>
        </w:trPr>
        <w:tc>
          <w:tcPr>
            <w:tcW w:w="0" w:type="auto"/>
            <w:hideMark/>
          </w:tcPr>
          <w:p w14:paraId="4FC179D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0400</w:t>
            </w:r>
          </w:p>
        </w:tc>
        <w:tc>
          <w:tcPr>
            <w:tcW w:w="0" w:type="auto"/>
            <w:hideMark/>
          </w:tcPr>
          <w:p w14:paraId="4C6D07B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14.1.2</w:t>
            </w:r>
          </w:p>
        </w:tc>
        <w:tc>
          <w:tcPr>
            <w:tcW w:w="0" w:type="auto"/>
            <w:hideMark/>
          </w:tcPr>
          <w:p w14:paraId="0DCE286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Poziții scurte de semn opus permise în ceea ce privește deținerile directe brute incluse mai sus</w:t>
            </w:r>
          </w:p>
        </w:tc>
        <w:tc>
          <w:tcPr>
            <w:tcW w:w="0" w:type="auto"/>
            <w:hideMark/>
          </w:tcPr>
          <w:p w14:paraId="38F0322F" w14:textId="42F8B053"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62A3031" w14:textId="77777777" w:rsidTr="00260C32">
        <w:trPr>
          <w:tblCellSpacing w:w="0" w:type="dxa"/>
        </w:trPr>
        <w:tc>
          <w:tcPr>
            <w:tcW w:w="0" w:type="auto"/>
            <w:hideMark/>
          </w:tcPr>
          <w:p w14:paraId="3DB46DD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0410</w:t>
            </w:r>
          </w:p>
        </w:tc>
        <w:tc>
          <w:tcPr>
            <w:tcW w:w="0" w:type="auto"/>
            <w:hideMark/>
          </w:tcPr>
          <w:p w14:paraId="4DE5C39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14.2</w:t>
            </w:r>
          </w:p>
        </w:tc>
        <w:tc>
          <w:tcPr>
            <w:tcW w:w="0" w:type="auto"/>
            <w:hideMark/>
          </w:tcPr>
          <w:p w14:paraId="028C66F3" w14:textId="5D6948C8"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indirecte de fonduri proprii de nivel 2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5F562083" w14:textId="599131D3"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AC8CD48" w14:textId="77777777" w:rsidTr="00260C32">
        <w:trPr>
          <w:tblCellSpacing w:w="0" w:type="dxa"/>
        </w:trPr>
        <w:tc>
          <w:tcPr>
            <w:tcW w:w="0" w:type="auto"/>
            <w:hideMark/>
          </w:tcPr>
          <w:p w14:paraId="1B876FD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0420</w:t>
            </w:r>
          </w:p>
        </w:tc>
        <w:tc>
          <w:tcPr>
            <w:tcW w:w="0" w:type="auto"/>
            <w:hideMark/>
          </w:tcPr>
          <w:p w14:paraId="35D9584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14.2.1</w:t>
            </w:r>
          </w:p>
        </w:tc>
        <w:tc>
          <w:tcPr>
            <w:tcW w:w="0" w:type="auto"/>
            <w:hideMark/>
          </w:tcPr>
          <w:p w14:paraId="6E1B7959" w14:textId="345BCE15"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indirecte brute de fonduri proprii de nivel 2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2F0B2CF7" w14:textId="3231450B"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ACDBC82" w14:textId="77777777" w:rsidTr="00260C32">
        <w:trPr>
          <w:tblCellSpacing w:w="0" w:type="dxa"/>
        </w:trPr>
        <w:tc>
          <w:tcPr>
            <w:tcW w:w="0" w:type="auto"/>
            <w:hideMark/>
          </w:tcPr>
          <w:p w14:paraId="64781CE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0430</w:t>
            </w:r>
          </w:p>
        </w:tc>
        <w:tc>
          <w:tcPr>
            <w:tcW w:w="0" w:type="auto"/>
            <w:hideMark/>
          </w:tcPr>
          <w:p w14:paraId="6EFA546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14.2.2</w:t>
            </w:r>
          </w:p>
        </w:tc>
        <w:tc>
          <w:tcPr>
            <w:tcW w:w="0" w:type="auto"/>
            <w:hideMark/>
          </w:tcPr>
          <w:p w14:paraId="14862A3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Poziții scurte de semn opus permise în ceea ce privește deținerile indirecte brute incluse mai sus</w:t>
            </w:r>
          </w:p>
        </w:tc>
        <w:tc>
          <w:tcPr>
            <w:tcW w:w="0" w:type="auto"/>
            <w:hideMark/>
          </w:tcPr>
          <w:p w14:paraId="7A0DB460" w14:textId="27328539"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FE317A7" w14:textId="77777777" w:rsidTr="00260C32">
        <w:trPr>
          <w:tblCellSpacing w:w="0" w:type="dxa"/>
        </w:trPr>
        <w:tc>
          <w:tcPr>
            <w:tcW w:w="0" w:type="auto"/>
            <w:hideMark/>
          </w:tcPr>
          <w:p w14:paraId="41C5CE5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0431</w:t>
            </w:r>
          </w:p>
        </w:tc>
        <w:tc>
          <w:tcPr>
            <w:tcW w:w="0" w:type="auto"/>
            <w:hideMark/>
          </w:tcPr>
          <w:p w14:paraId="5C890CC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14.3</w:t>
            </w:r>
          </w:p>
        </w:tc>
        <w:tc>
          <w:tcPr>
            <w:tcW w:w="0" w:type="auto"/>
            <w:hideMark/>
          </w:tcPr>
          <w:p w14:paraId="10BD460E" w14:textId="224ABD6A"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sintetice de fonduri proprii de nivel 2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48354D4B" w14:textId="582DA775"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7AE66EC" w14:textId="77777777" w:rsidTr="00260C32">
        <w:trPr>
          <w:tblCellSpacing w:w="0" w:type="dxa"/>
        </w:trPr>
        <w:tc>
          <w:tcPr>
            <w:tcW w:w="0" w:type="auto"/>
            <w:hideMark/>
          </w:tcPr>
          <w:p w14:paraId="060F409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0432</w:t>
            </w:r>
          </w:p>
        </w:tc>
        <w:tc>
          <w:tcPr>
            <w:tcW w:w="0" w:type="auto"/>
            <w:hideMark/>
          </w:tcPr>
          <w:p w14:paraId="122E331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14.3.1</w:t>
            </w:r>
          </w:p>
        </w:tc>
        <w:tc>
          <w:tcPr>
            <w:tcW w:w="0" w:type="auto"/>
            <w:hideMark/>
          </w:tcPr>
          <w:p w14:paraId="116B6083" w14:textId="5045F310"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sintetice brute de fonduri proprii de nivel 2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w:t>
            </w:r>
          </w:p>
        </w:tc>
        <w:tc>
          <w:tcPr>
            <w:tcW w:w="0" w:type="auto"/>
            <w:hideMark/>
          </w:tcPr>
          <w:p w14:paraId="5F6242ED" w14:textId="6A7E25D8"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75BE37B" w14:textId="77777777" w:rsidTr="00260C32">
        <w:trPr>
          <w:tblCellSpacing w:w="0" w:type="dxa"/>
        </w:trPr>
        <w:tc>
          <w:tcPr>
            <w:tcW w:w="0" w:type="auto"/>
            <w:hideMark/>
          </w:tcPr>
          <w:p w14:paraId="58AF49F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0433</w:t>
            </w:r>
          </w:p>
        </w:tc>
        <w:tc>
          <w:tcPr>
            <w:tcW w:w="0" w:type="auto"/>
            <w:hideMark/>
          </w:tcPr>
          <w:p w14:paraId="57B6827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14.3.2</w:t>
            </w:r>
          </w:p>
        </w:tc>
        <w:tc>
          <w:tcPr>
            <w:tcW w:w="0" w:type="auto"/>
            <w:hideMark/>
          </w:tcPr>
          <w:p w14:paraId="0FB71BD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Poziții scurte de semn opus permise în ceea ce privește deținerile sintetice brute incluse mai sus</w:t>
            </w:r>
          </w:p>
        </w:tc>
        <w:tc>
          <w:tcPr>
            <w:tcW w:w="0" w:type="auto"/>
            <w:hideMark/>
          </w:tcPr>
          <w:p w14:paraId="7EB3EB6E" w14:textId="047EB05B"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4A54C74" w14:textId="77777777" w:rsidTr="008B2DD1">
        <w:trPr>
          <w:tblCellSpacing w:w="0" w:type="dxa"/>
        </w:trPr>
        <w:tc>
          <w:tcPr>
            <w:tcW w:w="0" w:type="auto"/>
            <w:gridSpan w:val="4"/>
            <w:shd w:val="clear" w:color="auto" w:fill="E7E6E6" w:themeFill="background2"/>
            <w:hideMark/>
          </w:tcPr>
          <w:p w14:paraId="7B32BDB9" w14:textId="1977D3B0" w:rsidR="00260C32" w:rsidRPr="00260C32" w:rsidRDefault="00260C32" w:rsidP="00087A14">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Investiții în instrumente de capital ale entităților din sectorul financiar în care </w:t>
            </w:r>
            <w:r w:rsidR="00916018">
              <w:rPr>
                <w:rFonts w:ascii="Times New Roman" w:eastAsia="Times New Roman" w:hAnsi="Times New Roman" w:cs="Times New Roman"/>
                <w:b/>
                <w:bCs/>
                <w:color w:val="000000"/>
                <w:kern w:val="0"/>
                <w:lang w:eastAsia="ro-MD"/>
                <w14:ligatures w14:val="none"/>
              </w:rPr>
              <w:t>banca</w:t>
            </w:r>
            <w:r w:rsidRPr="00260C32">
              <w:rPr>
                <w:rFonts w:ascii="Times New Roman" w:eastAsia="Times New Roman" w:hAnsi="Times New Roman" w:cs="Times New Roman"/>
                <w:b/>
                <w:bCs/>
                <w:color w:val="000000"/>
                <w:kern w:val="0"/>
                <w:lang w:eastAsia="ro-MD"/>
                <w14:ligatures w14:val="none"/>
              </w:rPr>
              <w:t xml:space="preserve"> deține o investiție semnificativă</w:t>
            </w:r>
          </w:p>
        </w:tc>
      </w:tr>
      <w:tr w:rsidR="00260C32" w:rsidRPr="00260C32" w14:paraId="3B52475D" w14:textId="77777777" w:rsidTr="00260C32">
        <w:trPr>
          <w:tblCellSpacing w:w="0" w:type="dxa"/>
        </w:trPr>
        <w:tc>
          <w:tcPr>
            <w:tcW w:w="0" w:type="auto"/>
            <w:hideMark/>
          </w:tcPr>
          <w:p w14:paraId="3472EDDC"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0440</w:t>
            </w:r>
          </w:p>
        </w:tc>
        <w:tc>
          <w:tcPr>
            <w:tcW w:w="0" w:type="auto"/>
            <w:hideMark/>
          </w:tcPr>
          <w:p w14:paraId="381BE41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15</w:t>
            </w:r>
          </w:p>
        </w:tc>
        <w:tc>
          <w:tcPr>
            <w:tcW w:w="0" w:type="auto"/>
            <w:hideMark/>
          </w:tcPr>
          <w:p w14:paraId="210A3806" w14:textId="2500BF23"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Dețineri de fonduri proprii de nivel 1 de bază ale entităților din sectorul financiar în care </w:t>
            </w:r>
            <w:r w:rsidR="00916018">
              <w:rPr>
                <w:rFonts w:ascii="Times New Roman" w:eastAsia="Times New Roman" w:hAnsi="Times New Roman" w:cs="Times New Roman"/>
                <w:b/>
                <w:bCs/>
                <w:color w:val="000000"/>
                <w:kern w:val="0"/>
                <w:lang w:eastAsia="ro-MD"/>
                <w14:ligatures w14:val="none"/>
              </w:rPr>
              <w:t>banca</w:t>
            </w:r>
            <w:r w:rsidRPr="00260C32">
              <w:rPr>
                <w:rFonts w:ascii="Times New Roman" w:eastAsia="Times New Roman" w:hAnsi="Times New Roman" w:cs="Times New Roman"/>
                <w:b/>
                <w:bCs/>
                <w:color w:val="000000"/>
                <w:kern w:val="0"/>
                <w:lang w:eastAsia="ro-MD"/>
                <w14:ligatures w14:val="none"/>
              </w:rPr>
              <w:t xml:space="preserve"> deține o investiție semnificativă, excluzând pozițiile scurte</w:t>
            </w:r>
          </w:p>
        </w:tc>
        <w:tc>
          <w:tcPr>
            <w:tcW w:w="0" w:type="auto"/>
            <w:hideMark/>
          </w:tcPr>
          <w:p w14:paraId="201406B6" w14:textId="0B404138"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082D0D0F" w14:textId="77777777" w:rsidTr="00260C32">
        <w:trPr>
          <w:tblCellSpacing w:w="0" w:type="dxa"/>
        </w:trPr>
        <w:tc>
          <w:tcPr>
            <w:tcW w:w="0" w:type="auto"/>
            <w:hideMark/>
          </w:tcPr>
          <w:p w14:paraId="5E888D0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0450</w:t>
            </w:r>
          </w:p>
        </w:tc>
        <w:tc>
          <w:tcPr>
            <w:tcW w:w="0" w:type="auto"/>
            <w:hideMark/>
          </w:tcPr>
          <w:p w14:paraId="37983CDC"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15.1</w:t>
            </w:r>
          </w:p>
        </w:tc>
        <w:tc>
          <w:tcPr>
            <w:tcW w:w="0" w:type="auto"/>
            <w:hideMark/>
          </w:tcPr>
          <w:p w14:paraId="6663978A" w14:textId="28B15E09"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directe de fonduri proprii de nivel 1 de bază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15B97E40" w14:textId="3B12B0A0"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4363AC9" w14:textId="77777777" w:rsidTr="00260C32">
        <w:trPr>
          <w:tblCellSpacing w:w="0" w:type="dxa"/>
        </w:trPr>
        <w:tc>
          <w:tcPr>
            <w:tcW w:w="0" w:type="auto"/>
            <w:hideMark/>
          </w:tcPr>
          <w:p w14:paraId="435AA79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0460</w:t>
            </w:r>
          </w:p>
        </w:tc>
        <w:tc>
          <w:tcPr>
            <w:tcW w:w="0" w:type="auto"/>
            <w:hideMark/>
          </w:tcPr>
          <w:p w14:paraId="07DBBC4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15.1.1</w:t>
            </w:r>
          </w:p>
        </w:tc>
        <w:tc>
          <w:tcPr>
            <w:tcW w:w="0" w:type="auto"/>
            <w:hideMark/>
          </w:tcPr>
          <w:p w14:paraId="13D2854D" w14:textId="37713B3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directe brute de fonduri proprii de nivel 1 de bază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0E509379" w14:textId="570EB534"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FE215B7" w14:textId="77777777" w:rsidTr="00260C32">
        <w:trPr>
          <w:tblCellSpacing w:w="0" w:type="dxa"/>
        </w:trPr>
        <w:tc>
          <w:tcPr>
            <w:tcW w:w="0" w:type="auto"/>
            <w:hideMark/>
          </w:tcPr>
          <w:p w14:paraId="6F7A02D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0470</w:t>
            </w:r>
          </w:p>
        </w:tc>
        <w:tc>
          <w:tcPr>
            <w:tcW w:w="0" w:type="auto"/>
            <w:hideMark/>
          </w:tcPr>
          <w:p w14:paraId="36CBD96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15.1.2</w:t>
            </w:r>
          </w:p>
        </w:tc>
        <w:tc>
          <w:tcPr>
            <w:tcW w:w="0" w:type="auto"/>
            <w:hideMark/>
          </w:tcPr>
          <w:p w14:paraId="45613D6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Poziții scurte de semn opus permise în ceea ce privește deținerile directe brute incluse mai sus</w:t>
            </w:r>
          </w:p>
        </w:tc>
        <w:tc>
          <w:tcPr>
            <w:tcW w:w="0" w:type="auto"/>
            <w:hideMark/>
          </w:tcPr>
          <w:p w14:paraId="3E7CAC12" w14:textId="6A4A65E1"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9CD7826" w14:textId="77777777" w:rsidTr="00260C32">
        <w:trPr>
          <w:tblCellSpacing w:w="0" w:type="dxa"/>
        </w:trPr>
        <w:tc>
          <w:tcPr>
            <w:tcW w:w="0" w:type="auto"/>
            <w:hideMark/>
          </w:tcPr>
          <w:p w14:paraId="2F67EBE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0480</w:t>
            </w:r>
          </w:p>
        </w:tc>
        <w:tc>
          <w:tcPr>
            <w:tcW w:w="0" w:type="auto"/>
            <w:hideMark/>
          </w:tcPr>
          <w:p w14:paraId="40D15E9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15.2</w:t>
            </w:r>
          </w:p>
        </w:tc>
        <w:tc>
          <w:tcPr>
            <w:tcW w:w="0" w:type="auto"/>
            <w:hideMark/>
          </w:tcPr>
          <w:p w14:paraId="3B25F196" w14:textId="0DF96C73"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indirecte de fonduri proprii de nivel 1 de bază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39B1EC92" w14:textId="43334859"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3E500FE" w14:textId="77777777" w:rsidTr="00260C32">
        <w:trPr>
          <w:tblCellSpacing w:w="0" w:type="dxa"/>
        </w:trPr>
        <w:tc>
          <w:tcPr>
            <w:tcW w:w="0" w:type="auto"/>
            <w:hideMark/>
          </w:tcPr>
          <w:p w14:paraId="5A87453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0490</w:t>
            </w:r>
          </w:p>
        </w:tc>
        <w:tc>
          <w:tcPr>
            <w:tcW w:w="0" w:type="auto"/>
            <w:hideMark/>
          </w:tcPr>
          <w:p w14:paraId="127708C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15.2.1</w:t>
            </w:r>
          </w:p>
        </w:tc>
        <w:tc>
          <w:tcPr>
            <w:tcW w:w="0" w:type="auto"/>
            <w:hideMark/>
          </w:tcPr>
          <w:p w14:paraId="7B97894F" w14:textId="34C2257C"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indirecte brute de fonduri proprii de nivel 1 de bază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7F7B9A8D" w14:textId="216B4F7B"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828692C" w14:textId="77777777" w:rsidTr="00260C32">
        <w:trPr>
          <w:tblCellSpacing w:w="0" w:type="dxa"/>
        </w:trPr>
        <w:tc>
          <w:tcPr>
            <w:tcW w:w="0" w:type="auto"/>
            <w:hideMark/>
          </w:tcPr>
          <w:p w14:paraId="4363EE2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0500</w:t>
            </w:r>
          </w:p>
        </w:tc>
        <w:tc>
          <w:tcPr>
            <w:tcW w:w="0" w:type="auto"/>
            <w:hideMark/>
          </w:tcPr>
          <w:p w14:paraId="6BB4653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15.2.2</w:t>
            </w:r>
          </w:p>
        </w:tc>
        <w:tc>
          <w:tcPr>
            <w:tcW w:w="0" w:type="auto"/>
            <w:hideMark/>
          </w:tcPr>
          <w:p w14:paraId="029C1CB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Poziții scurte de semn opus permise în ceea ce privește deținerile indirecte brute incluse mai sus</w:t>
            </w:r>
          </w:p>
        </w:tc>
        <w:tc>
          <w:tcPr>
            <w:tcW w:w="0" w:type="auto"/>
            <w:hideMark/>
          </w:tcPr>
          <w:p w14:paraId="3A076131" w14:textId="2CD4F0A9"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13C04F3" w14:textId="77777777" w:rsidTr="00260C32">
        <w:trPr>
          <w:tblCellSpacing w:w="0" w:type="dxa"/>
        </w:trPr>
        <w:tc>
          <w:tcPr>
            <w:tcW w:w="0" w:type="auto"/>
            <w:hideMark/>
          </w:tcPr>
          <w:p w14:paraId="51579BB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0501</w:t>
            </w:r>
          </w:p>
        </w:tc>
        <w:tc>
          <w:tcPr>
            <w:tcW w:w="0" w:type="auto"/>
            <w:hideMark/>
          </w:tcPr>
          <w:p w14:paraId="28FCC5E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15.3</w:t>
            </w:r>
          </w:p>
        </w:tc>
        <w:tc>
          <w:tcPr>
            <w:tcW w:w="0" w:type="auto"/>
            <w:hideMark/>
          </w:tcPr>
          <w:p w14:paraId="0441A270" w14:textId="1724D83F"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sintetice de fonduri proprii de nivel 1 de bază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650162E6" w14:textId="0021481C"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CEBDFC4" w14:textId="77777777" w:rsidTr="00260C32">
        <w:trPr>
          <w:tblCellSpacing w:w="0" w:type="dxa"/>
        </w:trPr>
        <w:tc>
          <w:tcPr>
            <w:tcW w:w="0" w:type="auto"/>
            <w:hideMark/>
          </w:tcPr>
          <w:p w14:paraId="7696874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0502</w:t>
            </w:r>
          </w:p>
        </w:tc>
        <w:tc>
          <w:tcPr>
            <w:tcW w:w="0" w:type="auto"/>
            <w:hideMark/>
          </w:tcPr>
          <w:p w14:paraId="07CFFCE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15.3.1</w:t>
            </w:r>
          </w:p>
        </w:tc>
        <w:tc>
          <w:tcPr>
            <w:tcW w:w="0" w:type="auto"/>
            <w:hideMark/>
          </w:tcPr>
          <w:p w14:paraId="51259D41" w14:textId="7B88A653"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sintetice brute de fonduri proprii de nivel 1 de bază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2B0EAC11" w14:textId="17D7FCF1"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4734B84" w14:textId="77777777" w:rsidTr="00260C32">
        <w:trPr>
          <w:tblCellSpacing w:w="0" w:type="dxa"/>
        </w:trPr>
        <w:tc>
          <w:tcPr>
            <w:tcW w:w="0" w:type="auto"/>
            <w:hideMark/>
          </w:tcPr>
          <w:p w14:paraId="2FF4490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0503</w:t>
            </w:r>
          </w:p>
        </w:tc>
        <w:tc>
          <w:tcPr>
            <w:tcW w:w="0" w:type="auto"/>
            <w:hideMark/>
          </w:tcPr>
          <w:p w14:paraId="49A18D4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15.3.2</w:t>
            </w:r>
          </w:p>
        </w:tc>
        <w:tc>
          <w:tcPr>
            <w:tcW w:w="0" w:type="auto"/>
            <w:hideMark/>
          </w:tcPr>
          <w:p w14:paraId="55B65F9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Poziții scurte de semn opus permise în ceea ce privește deținerile sintetice brute incluse mai sus</w:t>
            </w:r>
          </w:p>
        </w:tc>
        <w:tc>
          <w:tcPr>
            <w:tcW w:w="0" w:type="auto"/>
            <w:hideMark/>
          </w:tcPr>
          <w:p w14:paraId="507E32E5" w14:textId="540F67D1"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74B3C29" w14:textId="77777777" w:rsidTr="00260C32">
        <w:trPr>
          <w:tblCellSpacing w:w="0" w:type="dxa"/>
        </w:trPr>
        <w:tc>
          <w:tcPr>
            <w:tcW w:w="0" w:type="auto"/>
            <w:hideMark/>
          </w:tcPr>
          <w:p w14:paraId="2624D60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0504</w:t>
            </w:r>
          </w:p>
        </w:tc>
        <w:tc>
          <w:tcPr>
            <w:tcW w:w="0" w:type="auto"/>
            <w:hideMark/>
          </w:tcPr>
          <w:p w14:paraId="6E32B00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15A</w:t>
            </w:r>
          </w:p>
        </w:tc>
        <w:tc>
          <w:tcPr>
            <w:tcW w:w="0" w:type="auto"/>
            <w:hideMark/>
          </w:tcPr>
          <w:p w14:paraId="29985B02" w14:textId="437F8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Investiții în fonduri proprii de nivel 1 de bază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 - supuse unei ponderi de risc de 250 %</w:t>
            </w:r>
          </w:p>
        </w:tc>
        <w:tc>
          <w:tcPr>
            <w:tcW w:w="0" w:type="auto"/>
            <w:hideMark/>
          </w:tcPr>
          <w:p w14:paraId="54E81A71" w14:textId="6E0EA2F5"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7035B7D" w14:textId="77777777" w:rsidTr="00260C32">
        <w:trPr>
          <w:tblCellSpacing w:w="0" w:type="dxa"/>
        </w:trPr>
        <w:tc>
          <w:tcPr>
            <w:tcW w:w="0" w:type="auto"/>
            <w:hideMark/>
          </w:tcPr>
          <w:p w14:paraId="4C4FEC4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0510</w:t>
            </w:r>
          </w:p>
        </w:tc>
        <w:tc>
          <w:tcPr>
            <w:tcW w:w="0" w:type="auto"/>
            <w:hideMark/>
          </w:tcPr>
          <w:p w14:paraId="31292608"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9352B9">
              <w:rPr>
                <w:rFonts w:ascii="Times New Roman" w:eastAsia="Times New Roman" w:hAnsi="Times New Roman" w:cs="Times New Roman"/>
                <w:b/>
                <w:bCs/>
                <w:color w:val="000000"/>
                <w:kern w:val="0"/>
                <w:lang w:eastAsia="ro-MD"/>
                <w14:ligatures w14:val="none"/>
              </w:rPr>
              <w:t>16</w:t>
            </w:r>
          </w:p>
        </w:tc>
        <w:tc>
          <w:tcPr>
            <w:tcW w:w="0" w:type="auto"/>
            <w:hideMark/>
          </w:tcPr>
          <w:p w14:paraId="12A4D581" w14:textId="0E7CBA5F" w:rsidR="00260C32" w:rsidRPr="009352B9"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9352B9">
              <w:rPr>
                <w:rFonts w:ascii="Times New Roman" w:eastAsia="Times New Roman" w:hAnsi="Times New Roman" w:cs="Times New Roman"/>
                <w:b/>
                <w:bCs/>
                <w:color w:val="000000"/>
                <w:kern w:val="0"/>
                <w:lang w:eastAsia="ro-MD"/>
                <w14:ligatures w14:val="none"/>
              </w:rPr>
              <w:t xml:space="preserve">Dețineri de fonduri proprii de nivel 1 suplimentar ale entităților din sectorul financiar în care </w:t>
            </w:r>
            <w:r w:rsidR="00916018" w:rsidRPr="009352B9">
              <w:rPr>
                <w:rFonts w:ascii="Times New Roman" w:eastAsia="Times New Roman" w:hAnsi="Times New Roman" w:cs="Times New Roman"/>
                <w:b/>
                <w:bCs/>
                <w:color w:val="000000"/>
                <w:kern w:val="0"/>
                <w:lang w:eastAsia="ro-MD"/>
                <w14:ligatures w14:val="none"/>
              </w:rPr>
              <w:t>banca</w:t>
            </w:r>
            <w:r w:rsidRPr="009352B9">
              <w:rPr>
                <w:rFonts w:ascii="Times New Roman" w:eastAsia="Times New Roman" w:hAnsi="Times New Roman" w:cs="Times New Roman"/>
                <w:b/>
                <w:bCs/>
                <w:color w:val="000000"/>
                <w:kern w:val="0"/>
                <w:lang w:eastAsia="ro-MD"/>
                <w14:ligatures w14:val="none"/>
              </w:rPr>
              <w:t xml:space="preserve"> deține o investiție semnificativă, excluzând pozițiile scurte</w:t>
            </w:r>
          </w:p>
        </w:tc>
        <w:tc>
          <w:tcPr>
            <w:tcW w:w="0" w:type="auto"/>
            <w:hideMark/>
          </w:tcPr>
          <w:p w14:paraId="589F6C1C" w14:textId="428E81D9"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7CC279B" w14:textId="77777777" w:rsidTr="00260C32">
        <w:trPr>
          <w:tblCellSpacing w:w="0" w:type="dxa"/>
        </w:trPr>
        <w:tc>
          <w:tcPr>
            <w:tcW w:w="0" w:type="auto"/>
            <w:hideMark/>
          </w:tcPr>
          <w:p w14:paraId="56D9CB2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0520</w:t>
            </w:r>
          </w:p>
        </w:tc>
        <w:tc>
          <w:tcPr>
            <w:tcW w:w="0" w:type="auto"/>
            <w:hideMark/>
          </w:tcPr>
          <w:p w14:paraId="7C52D9F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16.1</w:t>
            </w:r>
          </w:p>
        </w:tc>
        <w:tc>
          <w:tcPr>
            <w:tcW w:w="0" w:type="auto"/>
            <w:hideMark/>
          </w:tcPr>
          <w:p w14:paraId="1180301F" w14:textId="620695B1"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directe de fonduri proprii de nivel 1 suplimentar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7DC2DE03" w14:textId="70182A96"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56CED2E" w14:textId="77777777" w:rsidTr="00260C32">
        <w:trPr>
          <w:tblCellSpacing w:w="0" w:type="dxa"/>
        </w:trPr>
        <w:tc>
          <w:tcPr>
            <w:tcW w:w="0" w:type="auto"/>
            <w:hideMark/>
          </w:tcPr>
          <w:p w14:paraId="2E182B5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0530</w:t>
            </w:r>
          </w:p>
        </w:tc>
        <w:tc>
          <w:tcPr>
            <w:tcW w:w="0" w:type="auto"/>
            <w:hideMark/>
          </w:tcPr>
          <w:p w14:paraId="7044889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16.1.1</w:t>
            </w:r>
          </w:p>
        </w:tc>
        <w:tc>
          <w:tcPr>
            <w:tcW w:w="0" w:type="auto"/>
            <w:hideMark/>
          </w:tcPr>
          <w:p w14:paraId="1039FC94" w14:textId="31A99692"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directe brute de fonduri proprii de nivel 1 suplimentar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1B9B71E4" w14:textId="6A26A4A4"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EFF9CE1" w14:textId="77777777" w:rsidTr="00260C32">
        <w:trPr>
          <w:tblCellSpacing w:w="0" w:type="dxa"/>
        </w:trPr>
        <w:tc>
          <w:tcPr>
            <w:tcW w:w="0" w:type="auto"/>
            <w:hideMark/>
          </w:tcPr>
          <w:p w14:paraId="2ED3BDC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0540</w:t>
            </w:r>
          </w:p>
        </w:tc>
        <w:tc>
          <w:tcPr>
            <w:tcW w:w="0" w:type="auto"/>
            <w:hideMark/>
          </w:tcPr>
          <w:p w14:paraId="0C243A6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16.1.2</w:t>
            </w:r>
          </w:p>
        </w:tc>
        <w:tc>
          <w:tcPr>
            <w:tcW w:w="0" w:type="auto"/>
            <w:hideMark/>
          </w:tcPr>
          <w:p w14:paraId="64E0993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Poziții scurte de semn opus permise în ceea ce privește deținerile directe brute incluse mai sus</w:t>
            </w:r>
          </w:p>
        </w:tc>
        <w:tc>
          <w:tcPr>
            <w:tcW w:w="0" w:type="auto"/>
            <w:hideMark/>
          </w:tcPr>
          <w:p w14:paraId="1761D39B" w14:textId="678713FF"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5FE88FB" w14:textId="77777777" w:rsidTr="00260C32">
        <w:trPr>
          <w:tblCellSpacing w:w="0" w:type="dxa"/>
        </w:trPr>
        <w:tc>
          <w:tcPr>
            <w:tcW w:w="0" w:type="auto"/>
            <w:hideMark/>
          </w:tcPr>
          <w:p w14:paraId="4F3226B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0550</w:t>
            </w:r>
          </w:p>
        </w:tc>
        <w:tc>
          <w:tcPr>
            <w:tcW w:w="0" w:type="auto"/>
            <w:hideMark/>
          </w:tcPr>
          <w:p w14:paraId="52046FE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16.2</w:t>
            </w:r>
          </w:p>
        </w:tc>
        <w:tc>
          <w:tcPr>
            <w:tcW w:w="0" w:type="auto"/>
            <w:hideMark/>
          </w:tcPr>
          <w:p w14:paraId="0F45016E" w14:textId="276D4ACC"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indirecte de fonduri proprii de nivel 1 suplimentar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655481A5" w14:textId="44171778"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0FFF925" w14:textId="77777777" w:rsidTr="00260C32">
        <w:trPr>
          <w:tblCellSpacing w:w="0" w:type="dxa"/>
        </w:trPr>
        <w:tc>
          <w:tcPr>
            <w:tcW w:w="0" w:type="auto"/>
            <w:hideMark/>
          </w:tcPr>
          <w:p w14:paraId="40D9F08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lastRenderedPageBreak/>
              <w:t>0560</w:t>
            </w:r>
          </w:p>
        </w:tc>
        <w:tc>
          <w:tcPr>
            <w:tcW w:w="0" w:type="auto"/>
            <w:hideMark/>
          </w:tcPr>
          <w:p w14:paraId="03EE5CA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16.2.1</w:t>
            </w:r>
          </w:p>
        </w:tc>
        <w:tc>
          <w:tcPr>
            <w:tcW w:w="0" w:type="auto"/>
            <w:hideMark/>
          </w:tcPr>
          <w:p w14:paraId="6A65C0DE" w14:textId="685E0D25"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indirecte brute de fonduri proprii de nivel 1 suplimentar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5CA5000E" w14:textId="44EC3DC5"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3F67798" w14:textId="77777777" w:rsidTr="00260C32">
        <w:trPr>
          <w:tblCellSpacing w:w="0" w:type="dxa"/>
        </w:trPr>
        <w:tc>
          <w:tcPr>
            <w:tcW w:w="0" w:type="auto"/>
            <w:hideMark/>
          </w:tcPr>
          <w:p w14:paraId="3705D50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0570</w:t>
            </w:r>
          </w:p>
        </w:tc>
        <w:tc>
          <w:tcPr>
            <w:tcW w:w="0" w:type="auto"/>
            <w:hideMark/>
          </w:tcPr>
          <w:p w14:paraId="75CA96E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16.2.2</w:t>
            </w:r>
          </w:p>
        </w:tc>
        <w:tc>
          <w:tcPr>
            <w:tcW w:w="0" w:type="auto"/>
            <w:hideMark/>
          </w:tcPr>
          <w:p w14:paraId="780B230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Poziții scurte de semn opus permise în ceea ce privește deținerile indirecte brute incluse mai sus</w:t>
            </w:r>
          </w:p>
        </w:tc>
        <w:tc>
          <w:tcPr>
            <w:tcW w:w="0" w:type="auto"/>
            <w:hideMark/>
          </w:tcPr>
          <w:p w14:paraId="5E4CD0E3" w14:textId="360A8CFA"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A0DC39E" w14:textId="77777777" w:rsidTr="00260C32">
        <w:trPr>
          <w:tblCellSpacing w:w="0" w:type="dxa"/>
        </w:trPr>
        <w:tc>
          <w:tcPr>
            <w:tcW w:w="0" w:type="auto"/>
            <w:hideMark/>
          </w:tcPr>
          <w:p w14:paraId="6156E7F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0571</w:t>
            </w:r>
          </w:p>
        </w:tc>
        <w:tc>
          <w:tcPr>
            <w:tcW w:w="0" w:type="auto"/>
            <w:hideMark/>
          </w:tcPr>
          <w:p w14:paraId="5E0E088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16.3</w:t>
            </w:r>
          </w:p>
        </w:tc>
        <w:tc>
          <w:tcPr>
            <w:tcW w:w="0" w:type="auto"/>
            <w:hideMark/>
          </w:tcPr>
          <w:p w14:paraId="5B6B2C44" w14:textId="1883FC1F"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sintetice de fonduri proprii de nivel 1 suplimentar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398E1022" w14:textId="4DCF2790"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49C8F76" w14:textId="77777777" w:rsidTr="00260C32">
        <w:trPr>
          <w:tblCellSpacing w:w="0" w:type="dxa"/>
        </w:trPr>
        <w:tc>
          <w:tcPr>
            <w:tcW w:w="0" w:type="auto"/>
            <w:hideMark/>
          </w:tcPr>
          <w:p w14:paraId="1D16410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0572</w:t>
            </w:r>
          </w:p>
        </w:tc>
        <w:tc>
          <w:tcPr>
            <w:tcW w:w="0" w:type="auto"/>
            <w:hideMark/>
          </w:tcPr>
          <w:p w14:paraId="79C90E4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16.3.1</w:t>
            </w:r>
          </w:p>
        </w:tc>
        <w:tc>
          <w:tcPr>
            <w:tcW w:w="0" w:type="auto"/>
            <w:hideMark/>
          </w:tcPr>
          <w:p w14:paraId="31354269" w14:textId="659B0190"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sintetice brute de fonduri proprii de nivel 1 suplimentar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63418BC9" w14:textId="1F2DA9DD"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398CF34" w14:textId="77777777" w:rsidTr="00260C32">
        <w:trPr>
          <w:tblCellSpacing w:w="0" w:type="dxa"/>
        </w:trPr>
        <w:tc>
          <w:tcPr>
            <w:tcW w:w="0" w:type="auto"/>
            <w:hideMark/>
          </w:tcPr>
          <w:p w14:paraId="65387BDB"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0573</w:t>
            </w:r>
          </w:p>
        </w:tc>
        <w:tc>
          <w:tcPr>
            <w:tcW w:w="0" w:type="auto"/>
            <w:hideMark/>
          </w:tcPr>
          <w:p w14:paraId="42F4602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16.3.2</w:t>
            </w:r>
          </w:p>
        </w:tc>
        <w:tc>
          <w:tcPr>
            <w:tcW w:w="0" w:type="auto"/>
            <w:hideMark/>
          </w:tcPr>
          <w:p w14:paraId="341A22C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Poziții scurte de semn opus permise în ceea ce privește deținerile sintetice brute incluse mai sus</w:t>
            </w:r>
          </w:p>
        </w:tc>
        <w:tc>
          <w:tcPr>
            <w:tcW w:w="0" w:type="auto"/>
            <w:hideMark/>
          </w:tcPr>
          <w:p w14:paraId="69B4AE8A" w14:textId="35DA4200"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164CD01" w14:textId="77777777" w:rsidTr="00260C32">
        <w:trPr>
          <w:tblCellSpacing w:w="0" w:type="dxa"/>
        </w:trPr>
        <w:tc>
          <w:tcPr>
            <w:tcW w:w="0" w:type="auto"/>
            <w:hideMark/>
          </w:tcPr>
          <w:p w14:paraId="2851ED63"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0580</w:t>
            </w:r>
          </w:p>
        </w:tc>
        <w:tc>
          <w:tcPr>
            <w:tcW w:w="0" w:type="auto"/>
            <w:hideMark/>
          </w:tcPr>
          <w:p w14:paraId="6A0CAD3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17</w:t>
            </w:r>
          </w:p>
        </w:tc>
        <w:tc>
          <w:tcPr>
            <w:tcW w:w="0" w:type="auto"/>
            <w:hideMark/>
          </w:tcPr>
          <w:p w14:paraId="035E881B" w14:textId="092E626B"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Dețineri de fonduri proprii de nivel 2 ale entităților din sectorul financiar în care </w:t>
            </w:r>
            <w:r w:rsidR="00916018">
              <w:rPr>
                <w:rFonts w:ascii="Times New Roman" w:eastAsia="Times New Roman" w:hAnsi="Times New Roman" w:cs="Times New Roman"/>
                <w:b/>
                <w:bCs/>
                <w:color w:val="000000"/>
                <w:kern w:val="0"/>
                <w:lang w:eastAsia="ro-MD"/>
                <w14:ligatures w14:val="none"/>
              </w:rPr>
              <w:t>banca</w:t>
            </w:r>
            <w:r w:rsidRPr="00260C32">
              <w:rPr>
                <w:rFonts w:ascii="Times New Roman" w:eastAsia="Times New Roman" w:hAnsi="Times New Roman" w:cs="Times New Roman"/>
                <w:b/>
                <w:bCs/>
                <w:color w:val="000000"/>
                <w:kern w:val="0"/>
                <w:lang w:eastAsia="ro-MD"/>
                <w14:ligatures w14:val="none"/>
              </w:rPr>
              <w:t xml:space="preserve"> deține o investiție semnificativă, excluzând pozițiile scurte</w:t>
            </w:r>
          </w:p>
        </w:tc>
        <w:tc>
          <w:tcPr>
            <w:tcW w:w="0" w:type="auto"/>
            <w:hideMark/>
          </w:tcPr>
          <w:p w14:paraId="5C9814DA" w14:textId="1122D51E"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25968861" w14:textId="77777777" w:rsidTr="00260C32">
        <w:trPr>
          <w:tblCellSpacing w:w="0" w:type="dxa"/>
        </w:trPr>
        <w:tc>
          <w:tcPr>
            <w:tcW w:w="0" w:type="auto"/>
            <w:hideMark/>
          </w:tcPr>
          <w:p w14:paraId="2319891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0590</w:t>
            </w:r>
          </w:p>
        </w:tc>
        <w:tc>
          <w:tcPr>
            <w:tcW w:w="0" w:type="auto"/>
            <w:hideMark/>
          </w:tcPr>
          <w:p w14:paraId="25ACF62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17.1</w:t>
            </w:r>
          </w:p>
        </w:tc>
        <w:tc>
          <w:tcPr>
            <w:tcW w:w="0" w:type="auto"/>
            <w:hideMark/>
          </w:tcPr>
          <w:p w14:paraId="776BCB85" w14:textId="1E8D20DF"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directe de fonduri proprii de nivel 2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7D6BA499" w14:textId="00568E95"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5A678F39" w14:textId="77777777" w:rsidTr="00260C32">
        <w:trPr>
          <w:tblCellSpacing w:w="0" w:type="dxa"/>
        </w:trPr>
        <w:tc>
          <w:tcPr>
            <w:tcW w:w="0" w:type="auto"/>
            <w:hideMark/>
          </w:tcPr>
          <w:p w14:paraId="1AFAC26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0600</w:t>
            </w:r>
          </w:p>
        </w:tc>
        <w:tc>
          <w:tcPr>
            <w:tcW w:w="0" w:type="auto"/>
            <w:hideMark/>
          </w:tcPr>
          <w:p w14:paraId="21001EF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17.1.1</w:t>
            </w:r>
          </w:p>
        </w:tc>
        <w:tc>
          <w:tcPr>
            <w:tcW w:w="0" w:type="auto"/>
            <w:hideMark/>
          </w:tcPr>
          <w:p w14:paraId="1CAFC843" w14:textId="6A1C865E"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directe brute de fonduri proprii de nivel 2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1EA27B79" w14:textId="13A8A3D4"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06AB64C" w14:textId="77777777" w:rsidTr="00260C32">
        <w:trPr>
          <w:tblCellSpacing w:w="0" w:type="dxa"/>
        </w:trPr>
        <w:tc>
          <w:tcPr>
            <w:tcW w:w="0" w:type="auto"/>
            <w:hideMark/>
          </w:tcPr>
          <w:p w14:paraId="51EE555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0610</w:t>
            </w:r>
          </w:p>
        </w:tc>
        <w:tc>
          <w:tcPr>
            <w:tcW w:w="0" w:type="auto"/>
            <w:hideMark/>
          </w:tcPr>
          <w:p w14:paraId="3F4E0B4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17.1.2</w:t>
            </w:r>
          </w:p>
        </w:tc>
        <w:tc>
          <w:tcPr>
            <w:tcW w:w="0" w:type="auto"/>
            <w:hideMark/>
          </w:tcPr>
          <w:p w14:paraId="3013A6F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Poziții scurte de semn opus permise în ceea ce privește deținerile directe brute incluse mai sus</w:t>
            </w:r>
          </w:p>
        </w:tc>
        <w:tc>
          <w:tcPr>
            <w:tcW w:w="0" w:type="auto"/>
            <w:hideMark/>
          </w:tcPr>
          <w:p w14:paraId="7CF93B73" w14:textId="47A1AA3F"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8168702" w14:textId="77777777" w:rsidTr="00260C32">
        <w:trPr>
          <w:tblCellSpacing w:w="0" w:type="dxa"/>
        </w:trPr>
        <w:tc>
          <w:tcPr>
            <w:tcW w:w="0" w:type="auto"/>
            <w:hideMark/>
          </w:tcPr>
          <w:p w14:paraId="18E03D7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0620</w:t>
            </w:r>
          </w:p>
        </w:tc>
        <w:tc>
          <w:tcPr>
            <w:tcW w:w="0" w:type="auto"/>
            <w:hideMark/>
          </w:tcPr>
          <w:p w14:paraId="6DA3502E"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17.2</w:t>
            </w:r>
          </w:p>
        </w:tc>
        <w:tc>
          <w:tcPr>
            <w:tcW w:w="0" w:type="auto"/>
            <w:hideMark/>
          </w:tcPr>
          <w:p w14:paraId="2D47D868" w14:textId="4702665F"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indirecte de fonduri proprii de nivel 2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3845C800" w14:textId="200D1DDE"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C40F58A" w14:textId="77777777" w:rsidTr="00260C32">
        <w:trPr>
          <w:tblCellSpacing w:w="0" w:type="dxa"/>
        </w:trPr>
        <w:tc>
          <w:tcPr>
            <w:tcW w:w="0" w:type="auto"/>
            <w:hideMark/>
          </w:tcPr>
          <w:p w14:paraId="43463DD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0630</w:t>
            </w:r>
          </w:p>
        </w:tc>
        <w:tc>
          <w:tcPr>
            <w:tcW w:w="0" w:type="auto"/>
            <w:hideMark/>
          </w:tcPr>
          <w:p w14:paraId="78BFC42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17.2.1</w:t>
            </w:r>
          </w:p>
        </w:tc>
        <w:tc>
          <w:tcPr>
            <w:tcW w:w="0" w:type="auto"/>
            <w:hideMark/>
          </w:tcPr>
          <w:p w14:paraId="6FD45ACA" w14:textId="44421514"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indirecte brute de fonduri proprii de nivel 2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40ABDCC3" w14:textId="323F97AE"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0B8A19CE" w14:textId="77777777" w:rsidTr="00260C32">
        <w:trPr>
          <w:tblCellSpacing w:w="0" w:type="dxa"/>
        </w:trPr>
        <w:tc>
          <w:tcPr>
            <w:tcW w:w="0" w:type="auto"/>
            <w:hideMark/>
          </w:tcPr>
          <w:p w14:paraId="03187AA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0640</w:t>
            </w:r>
          </w:p>
        </w:tc>
        <w:tc>
          <w:tcPr>
            <w:tcW w:w="0" w:type="auto"/>
            <w:hideMark/>
          </w:tcPr>
          <w:p w14:paraId="5D2682D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17.2.2</w:t>
            </w:r>
          </w:p>
        </w:tc>
        <w:tc>
          <w:tcPr>
            <w:tcW w:w="0" w:type="auto"/>
            <w:hideMark/>
          </w:tcPr>
          <w:p w14:paraId="2975EC4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Poziții scurte de semn opus permise în ceea ce privește deținerile indirecte brute incluse mai sus</w:t>
            </w:r>
          </w:p>
        </w:tc>
        <w:tc>
          <w:tcPr>
            <w:tcW w:w="0" w:type="auto"/>
            <w:hideMark/>
          </w:tcPr>
          <w:p w14:paraId="2BF5B0BD" w14:textId="4CAAB35F"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29C4EEF3" w14:textId="77777777" w:rsidTr="00260C32">
        <w:trPr>
          <w:tblCellSpacing w:w="0" w:type="dxa"/>
        </w:trPr>
        <w:tc>
          <w:tcPr>
            <w:tcW w:w="0" w:type="auto"/>
            <w:hideMark/>
          </w:tcPr>
          <w:p w14:paraId="4C0CB0D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0641</w:t>
            </w:r>
          </w:p>
        </w:tc>
        <w:tc>
          <w:tcPr>
            <w:tcW w:w="0" w:type="auto"/>
            <w:hideMark/>
          </w:tcPr>
          <w:p w14:paraId="1DE8895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17.3</w:t>
            </w:r>
          </w:p>
        </w:tc>
        <w:tc>
          <w:tcPr>
            <w:tcW w:w="0" w:type="auto"/>
            <w:hideMark/>
          </w:tcPr>
          <w:p w14:paraId="7CE882CC" w14:textId="0851E118"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sintetice de fonduri proprii de nivel 2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7EEEC9E9" w14:textId="4BB01017"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6C972DB6" w14:textId="77777777" w:rsidTr="00260C32">
        <w:trPr>
          <w:tblCellSpacing w:w="0" w:type="dxa"/>
        </w:trPr>
        <w:tc>
          <w:tcPr>
            <w:tcW w:w="0" w:type="auto"/>
            <w:hideMark/>
          </w:tcPr>
          <w:p w14:paraId="030FAB2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0642</w:t>
            </w:r>
          </w:p>
        </w:tc>
        <w:tc>
          <w:tcPr>
            <w:tcW w:w="0" w:type="auto"/>
            <w:hideMark/>
          </w:tcPr>
          <w:p w14:paraId="0B24FC7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17.3.1</w:t>
            </w:r>
          </w:p>
        </w:tc>
        <w:tc>
          <w:tcPr>
            <w:tcW w:w="0" w:type="auto"/>
            <w:hideMark/>
          </w:tcPr>
          <w:p w14:paraId="24F51A4D" w14:textId="56A9C999"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sintetice brute de fonduri proprii de nivel 2 ale entităților din sectorul financiar în care </w:t>
            </w:r>
            <w:r w:rsidR="00916018">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w:t>
            </w:r>
          </w:p>
        </w:tc>
        <w:tc>
          <w:tcPr>
            <w:tcW w:w="0" w:type="auto"/>
            <w:hideMark/>
          </w:tcPr>
          <w:p w14:paraId="69FEBCA0" w14:textId="3C660E42"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2883BB95" w14:textId="77777777" w:rsidTr="00260C32">
        <w:trPr>
          <w:tblCellSpacing w:w="0" w:type="dxa"/>
        </w:trPr>
        <w:tc>
          <w:tcPr>
            <w:tcW w:w="0" w:type="auto"/>
            <w:hideMark/>
          </w:tcPr>
          <w:p w14:paraId="7EC190B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0643</w:t>
            </w:r>
          </w:p>
        </w:tc>
        <w:tc>
          <w:tcPr>
            <w:tcW w:w="0" w:type="auto"/>
            <w:hideMark/>
          </w:tcPr>
          <w:p w14:paraId="62D957A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17.3.2</w:t>
            </w:r>
          </w:p>
        </w:tc>
        <w:tc>
          <w:tcPr>
            <w:tcW w:w="0" w:type="auto"/>
            <w:hideMark/>
          </w:tcPr>
          <w:p w14:paraId="470585A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Poziții scurte de semn opus permise în ceea ce privește deținerile sintetice brute incluse mai sus</w:t>
            </w:r>
          </w:p>
        </w:tc>
        <w:tc>
          <w:tcPr>
            <w:tcW w:w="0" w:type="auto"/>
            <w:hideMark/>
          </w:tcPr>
          <w:p w14:paraId="39E53089" w14:textId="323DD3E4"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19AB081" w14:textId="77777777" w:rsidTr="008B2DD1">
        <w:trPr>
          <w:tblCellSpacing w:w="0" w:type="dxa"/>
        </w:trPr>
        <w:tc>
          <w:tcPr>
            <w:tcW w:w="0" w:type="auto"/>
            <w:gridSpan w:val="4"/>
            <w:shd w:val="clear" w:color="auto" w:fill="E7E6E6" w:themeFill="background2"/>
            <w:hideMark/>
          </w:tcPr>
          <w:p w14:paraId="60C0055D" w14:textId="77777777" w:rsidR="00260C32" w:rsidRPr="00260C32" w:rsidRDefault="00260C32" w:rsidP="00087A14">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Cuantumurile totale ale expunerilor la risc pentru deținerile care nu sunt deduse din categoria de capital corespunzătoare:</w:t>
            </w:r>
          </w:p>
        </w:tc>
      </w:tr>
      <w:tr w:rsidR="00260C32" w:rsidRPr="00260C32" w14:paraId="706EEBCF" w14:textId="77777777" w:rsidTr="00260C32">
        <w:trPr>
          <w:tblCellSpacing w:w="0" w:type="dxa"/>
        </w:trPr>
        <w:tc>
          <w:tcPr>
            <w:tcW w:w="0" w:type="auto"/>
            <w:hideMark/>
          </w:tcPr>
          <w:p w14:paraId="66721808"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0650</w:t>
            </w:r>
          </w:p>
        </w:tc>
        <w:tc>
          <w:tcPr>
            <w:tcW w:w="0" w:type="auto"/>
            <w:hideMark/>
          </w:tcPr>
          <w:p w14:paraId="4210DC9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18</w:t>
            </w:r>
          </w:p>
        </w:tc>
        <w:tc>
          <w:tcPr>
            <w:tcW w:w="0" w:type="auto"/>
            <w:hideMark/>
          </w:tcPr>
          <w:p w14:paraId="1BEABBEF" w14:textId="2937DD75"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Expunerile ponderate la risc ale deținerilor de fonduri proprii de nivel 1 de bază în entități din sectorul financiar, care nu sunt deduse din fondurile proprii de nivel 1 de bază ale </w:t>
            </w:r>
            <w:r w:rsidR="00B46497">
              <w:rPr>
                <w:rFonts w:ascii="Times New Roman" w:eastAsia="Times New Roman" w:hAnsi="Times New Roman" w:cs="Times New Roman"/>
                <w:b/>
                <w:bCs/>
                <w:color w:val="000000"/>
                <w:kern w:val="0"/>
                <w:lang w:eastAsia="ro-MD"/>
                <w14:ligatures w14:val="none"/>
              </w:rPr>
              <w:t>bănci</w:t>
            </w:r>
            <w:r w:rsidR="00B46497" w:rsidRPr="00260C32">
              <w:rPr>
                <w:rFonts w:ascii="Times New Roman" w:eastAsia="Times New Roman" w:hAnsi="Times New Roman" w:cs="Times New Roman"/>
                <w:b/>
                <w:bCs/>
                <w:color w:val="000000"/>
                <w:kern w:val="0"/>
                <w:lang w:eastAsia="ro-MD"/>
                <w14:ligatures w14:val="none"/>
              </w:rPr>
              <w:t>i</w:t>
            </w:r>
          </w:p>
        </w:tc>
        <w:tc>
          <w:tcPr>
            <w:tcW w:w="0" w:type="auto"/>
            <w:hideMark/>
          </w:tcPr>
          <w:p w14:paraId="17389313" w14:textId="08F6AA79"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6EB06C75" w14:textId="77777777" w:rsidTr="00260C32">
        <w:trPr>
          <w:tblCellSpacing w:w="0" w:type="dxa"/>
        </w:trPr>
        <w:tc>
          <w:tcPr>
            <w:tcW w:w="0" w:type="auto"/>
            <w:hideMark/>
          </w:tcPr>
          <w:p w14:paraId="6A594EF8"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0660</w:t>
            </w:r>
          </w:p>
        </w:tc>
        <w:tc>
          <w:tcPr>
            <w:tcW w:w="0" w:type="auto"/>
            <w:hideMark/>
          </w:tcPr>
          <w:p w14:paraId="7F377A26"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19</w:t>
            </w:r>
          </w:p>
        </w:tc>
        <w:tc>
          <w:tcPr>
            <w:tcW w:w="0" w:type="auto"/>
            <w:hideMark/>
          </w:tcPr>
          <w:p w14:paraId="0E55FFE4" w14:textId="57C440A5"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Expunerile ponderate la risc ale deținerilor de fonduri proprii de nivel 1 suplimentar în entități din sectorul financiar, care nu sunt deduse din fondurile proprii de nivel 1 suplimentar ale </w:t>
            </w:r>
            <w:r w:rsidR="00B46497">
              <w:rPr>
                <w:rFonts w:ascii="Times New Roman" w:eastAsia="Times New Roman" w:hAnsi="Times New Roman" w:cs="Times New Roman"/>
                <w:b/>
                <w:bCs/>
                <w:color w:val="000000"/>
                <w:kern w:val="0"/>
                <w:lang w:eastAsia="ro-MD"/>
                <w14:ligatures w14:val="none"/>
              </w:rPr>
              <w:t>bănci</w:t>
            </w:r>
            <w:r w:rsidR="00B46497" w:rsidRPr="00260C32">
              <w:rPr>
                <w:rFonts w:ascii="Times New Roman" w:eastAsia="Times New Roman" w:hAnsi="Times New Roman" w:cs="Times New Roman"/>
                <w:b/>
                <w:bCs/>
                <w:color w:val="000000"/>
                <w:kern w:val="0"/>
                <w:lang w:eastAsia="ro-MD"/>
                <w14:ligatures w14:val="none"/>
              </w:rPr>
              <w:t>i</w:t>
            </w:r>
          </w:p>
        </w:tc>
        <w:tc>
          <w:tcPr>
            <w:tcW w:w="0" w:type="auto"/>
            <w:hideMark/>
          </w:tcPr>
          <w:p w14:paraId="14467984" w14:textId="79F692DC"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49E28543" w14:textId="77777777" w:rsidTr="00260C32">
        <w:trPr>
          <w:tblCellSpacing w:w="0" w:type="dxa"/>
        </w:trPr>
        <w:tc>
          <w:tcPr>
            <w:tcW w:w="0" w:type="auto"/>
            <w:hideMark/>
          </w:tcPr>
          <w:p w14:paraId="013DA47E"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0670</w:t>
            </w:r>
          </w:p>
        </w:tc>
        <w:tc>
          <w:tcPr>
            <w:tcW w:w="0" w:type="auto"/>
            <w:hideMark/>
          </w:tcPr>
          <w:p w14:paraId="34DC1D1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20</w:t>
            </w:r>
          </w:p>
        </w:tc>
        <w:tc>
          <w:tcPr>
            <w:tcW w:w="0" w:type="auto"/>
            <w:hideMark/>
          </w:tcPr>
          <w:p w14:paraId="7B55A2DF" w14:textId="22883FAE"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Expunerile ponderate la risc ale deținerilor de fonduri proprii de nivel 2 în entități din sectorul financiar, care nu sunt deduse din fondurile proprii de nivel 2 ale </w:t>
            </w:r>
            <w:r w:rsidR="00B46497">
              <w:rPr>
                <w:rFonts w:ascii="Times New Roman" w:eastAsia="Times New Roman" w:hAnsi="Times New Roman" w:cs="Times New Roman"/>
                <w:b/>
                <w:bCs/>
                <w:color w:val="000000"/>
                <w:kern w:val="0"/>
                <w:lang w:eastAsia="ro-MD"/>
                <w14:ligatures w14:val="none"/>
              </w:rPr>
              <w:t>bănci</w:t>
            </w:r>
            <w:r w:rsidR="00B46497" w:rsidRPr="00260C32">
              <w:rPr>
                <w:rFonts w:ascii="Times New Roman" w:eastAsia="Times New Roman" w:hAnsi="Times New Roman" w:cs="Times New Roman"/>
                <w:b/>
                <w:bCs/>
                <w:color w:val="000000"/>
                <w:kern w:val="0"/>
                <w:lang w:eastAsia="ro-MD"/>
                <w14:ligatures w14:val="none"/>
              </w:rPr>
              <w:t>i</w:t>
            </w:r>
          </w:p>
        </w:tc>
        <w:tc>
          <w:tcPr>
            <w:tcW w:w="0" w:type="auto"/>
            <w:hideMark/>
          </w:tcPr>
          <w:p w14:paraId="1F563957" w14:textId="036CF6E4"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005911EC" w14:textId="77777777" w:rsidTr="00ED7539">
        <w:trPr>
          <w:tblCellSpacing w:w="0" w:type="dxa"/>
        </w:trPr>
        <w:tc>
          <w:tcPr>
            <w:tcW w:w="0" w:type="auto"/>
            <w:gridSpan w:val="3"/>
            <w:shd w:val="clear" w:color="auto" w:fill="E7E6E6" w:themeFill="background2"/>
            <w:hideMark/>
          </w:tcPr>
          <w:p w14:paraId="121F403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Derogare temporară de la deducerea din fondurile proprii</w:t>
            </w:r>
          </w:p>
        </w:tc>
        <w:tc>
          <w:tcPr>
            <w:tcW w:w="0" w:type="auto"/>
            <w:shd w:val="clear" w:color="auto" w:fill="E7E6E6" w:themeFill="background2"/>
            <w:hideMark/>
          </w:tcPr>
          <w:p w14:paraId="53EE845F" w14:textId="06482AC6"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3BB872E2" w14:textId="77777777" w:rsidTr="00260C32">
        <w:trPr>
          <w:tblCellSpacing w:w="0" w:type="dxa"/>
        </w:trPr>
        <w:tc>
          <w:tcPr>
            <w:tcW w:w="0" w:type="auto"/>
            <w:hideMark/>
          </w:tcPr>
          <w:p w14:paraId="7411434D"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0680</w:t>
            </w:r>
          </w:p>
        </w:tc>
        <w:tc>
          <w:tcPr>
            <w:tcW w:w="0" w:type="auto"/>
            <w:hideMark/>
          </w:tcPr>
          <w:p w14:paraId="554FE67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21</w:t>
            </w:r>
          </w:p>
        </w:tc>
        <w:tc>
          <w:tcPr>
            <w:tcW w:w="0" w:type="auto"/>
            <w:hideMark/>
          </w:tcPr>
          <w:p w14:paraId="754A7238" w14:textId="0E9BB7F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Dețineri de instrumente de fonduri proprii de nivel 1 de bază ale entităților din sectorul financiar în care </w:t>
            </w:r>
            <w:r w:rsidR="00916018">
              <w:rPr>
                <w:rFonts w:ascii="Times New Roman" w:eastAsia="Times New Roman" w:hAnsi="Times New Roman" w:cs="Times New Roman"/>
                <w:b/>
                <w:bCs/>
                <w:color w:val="000000"/>
                <w:kern w:val="0"/>
                <w:lang w:eastAsia="ro-MD"/>
                <w14:ligatures w14:val="none"/>
              </w:rPr>
              <w:t>banca</w:t>
            </w:r>
            <w:r w:rsidRPr="00260C32">
              <w:rPr>
                <w:rFonts w:ascii="Times New Roman" w:eastAsia="Times New Roman" w:hAnsi="Times New Roman" w:cs="Times New Roman"/>
                <w:b/>
                <w:bCs/>
                <w:color w:val="000000"/>
                <w:kern w:val="0"/>
                <w:lang w:eastAsia="ro-MD"/>
                <w14:ligatures w14:val="none"/>
              </w:rPr>
              <w:t xml:space="preserve"> nu deține o investiție semnificativă, care fac obiectul unei derogări temporare</w:t>
            </w:r>
          </w:p>
        </w:tc>
        <w:tc>
          <w:tcPr>
            <w:tcW w:w="0" w:type="auto"/>
            <w:hideMark/>
          </w:tcPr>
          <w:p w14:paraId="440CD79D" w14:textId="199DAC46"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446FC69B" w14:textId="77777777" w:rsidTr="00260C32">
        <w:trPr>
          <w:tblCellSpacing w:w="0" w:type="dxa"/>
        </w:trPr>
        <w:tc>
          <w:tcPr>
            <w:tcW w:w="0" w:type="auto"/>
            <w:hideMark/>
          </w:tcPr>
          <w:p w14:paraId="2E1C2191"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0690</w:t>
            </w:r>
          </w:p>
        </w:tc>
        <w:tc>
          <w:tcPr>
            <w:tcW w:w="0" w:type="auto"/>
            <w:hideMark/>
          </w:tcPr>
          <w:p w14:paraId="08408CD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22</w:t>
            </w:r>
          </w:p>
        </w:tc>
        <w:tc>
          <w:tcPr>
            <w:tcW w:w="0" w:type="auto"/>
            <w:hideMark/>
          </w:tcPr>
          <w:p w14:paraId="2F690EA5" w14:textId="4039EEB0"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Dețineri de instrumente de fonduri proprii de nivel 1 de bază ale entităților din sectorul financiar în care </w:t>
            </w:r>
            <w:r w:rsidR="00916018">
              <w:rPr>
                <w:rFonts w:ascii="Times New Roman" w:eastAsia="Times New Roman" w:hAnsi="Times New Roman" w:cs="Times New Roman"/>
                <w:b/>
                <w:bCs/>
                <w:color w:val="000000"/>
                <w:kern w:val="0"/>
                <w:lang w:eastAsia="ro-MD"/>
                <w14:ligatures w14:val="none"/>
              </w:rPr>
              <w:t>banca</w:t>
            </w:r>
            <w:r w:rsidRPr="00260C32">
              <w:rPr>
                <w:rFonts w:ascii="Times New Roman" w:eastAsia="Times New Roman" w:hAnsi="Times New Roman" w:cs="Times New Roman"/>
                <w:b/>
                <w:bCs/>
                <w:color w:val="000000"/>
                <w:kern w:val="0"/>
                <w:lang w:eastAsia="ro-MD"/>
                <w14:ligatures w14:val="none"/>
              </w:rPr>
              <w:t xml:space="preserve"> deține o investiție semnificativă, care fac obiectul unei derogări temporare</w:t>
            </w:r>
          </w:p>
        </w:tc>
        <w:tc>
          <w:tcPr>
            <w:tcW w:w="0" w:type="auto"/>
            <w:hideMark/>
          </w:tcPr>
          <w:p w14:paraId="6C639C4A" w14:textId="50E6B1B3"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5313AFB6" w14:textId="77777777" w:rsidTr="00260C32">
        <w:trPr>
          <w:tblCellSpacing w:w="0" w:type="dxa"/>
        </w:trPr>
        <w:tc>
          <w:tcPr>
            <w:tcW w:w="0" w:type="auto"/>
            <w:hideMark/>
          </w:tcPr>
          <w:p w14:paraId="0F230EBD"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0700</w:t>
            </w:r>
          </w:p>
        </w:tc>
        <w:tc>
          <w:tcPr>
            <w:tcW w:w="0" w:type="auto"/>
            <w:hideMark/>
          </w:tcPr>
          <w:p w14:paraId="4EF927C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23</w:t>
            </w:r>
          </w:p>
        </w:tc>
        <w:tc>
          <w:tcPr>
            <w:tcW w:w="0" w:type="auto"/>
            <w:hideMark/>
          </w:tcPr>
          <w:p w14:paraId="4776C857" w14:textId="0986AA16"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Dețineri de instrumente de fonduri proprii de nivel 1 suplimentar ale entităților din sectorul financiar în care </w:t>
            </w:r>
            <w:r w:rsidR="00916018">
              <w:rPr>
                <w:rFonts w:ascii="Times New Roman" w:eastAsia="Times New Roman" w:hAnsi="Times New Roman" w:cs="Times New Roman"/>
                <w:b/>
                <w:bCs/>
                <w:color w:val="000000"/>
                <w:kern w:val="0"/>
                <w:lang w:eastAsia="ro-MD"/>
                <w14:ligatures w14:val="none"/>
              </w:rPr>
              <w:t>banca</w:t>
            </w:r>
            <w:r w:rsidRPr="00260C32">
              <w:rPr>
                <w:rFonts w:ascii="Times New Roman" w:eastAsia="Times New Roman" w:hAnsi="Times New Roman" w:cs="Times New Roman"/>
                <w:b/>
                <w:bCs/>
                <w:color w:val="000000"/>
                <w:kern w:val="0"/>
                <w:lang w:eastAsia="ro-MD"/>
                <w14:ligatures w14:val="none"/>
              </w:rPr>
              <w:t xml:space="preserve"> nu deține o investiție semnificativă, care fac obiectul unei derogări temporare</w:t>
            </w:r>
          </w:p>
        </w:tc>
        <w:tc>
          <w:tcPr>
            <w:tcW w:w="0" w:type="auto"/>
            <w:hideMark/>
          </w:tcPr>
          <w:p w14:paraId="32F09869" w14:textId="3D3C09AD"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0DDD211A" w14:textId="77777777" w:rsidTr="00260C32">
        <w:trPr>
          <w:tblCellSpacing w:w="0" w:type="dxa"/>
        </w:trPr>
        <w:tc>
          <w:tcPr>
            <w:tcW w:w="0" w:type="auto"/>
            <w:hideMark/>
          </w:tcPr>
          <w:p w14:paraId="3548C278"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0710</w:t>
            </w:r>
          </w:p>
        </w:tc>
        <w:tc>
          <w:tcPr>
            <w:tcW w:w="0" w:type="auto"/>
            <w:hideMark/>
          </w:tcPr>
          <w:p w14:paraId="435937E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24</w:t>
            </w:r>
          </w:p>
        </w:tc>
        <w:tc>
          <w:tcPr>
            <w:tcW w:w="0" w:type="auto"/>
            <w:hideMark/>
          </w:tcPr>
          <w:p w14:paraId="50C28F9B" w14:textId="777E8D46"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Dețineri de instrumente de fonduri proprii de nivel 1 suplimentar ale entităților din sectorul financiar în care </w:t>
            </w:r>
            <w:r w:rsidR="00916018">
              <w:rPr>
                <w:rFonts w:ascii="Times New Roman" w:eastAsia="Times New Roman" w:hAnsi="Times New Roman" w:cs="Times New Roman"/>
                <w:b/>
                <w:bCs/>
                <w:color w:val="000000"/>
                <w:kern w:val="0"/>
                <w:lang w:eastAsia="ro-MD"/>
                <w14:ligatures w14:val="none"/>
              </w:rPr>
              <w:t>banca</w:t>
            </w:r>
            <w:r w:rsidRPr="00260C32">
              <w:rPr>
                <w:rFonts w:ascii="Times New Roman" w:eastAsia="Times New Roman" w:hAnsi="Times New Roman" w:cs="Times New Roman"/>
                <w:b/>
                <w:bCs/>
                <w:color w:val="000000"/>
                <w:kern w:val="0"/>
                <w:lang w:eastAsia="ro-MD"/>
                <w14:ligatures w14:val="none"/>
              </w:rPr>
              <w:t xml:space="preserve"> deține o investiție semnificativă, care fac obiectul unei derogări temporare</w:t>
            </w:r>
          </w:p>
        </w:tc>
        <w:tc>
          <w:tcPr>
            <w:tcW w:w="0" w:type="auto"/>
            <w:hideMark/>
          </w:tcPr>
          <w:p w14:paraId="530BFC5B" w14:textId="434C1008"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50E084B7" w14:textId="77777777" w:rsidTr="00260C32">
        <w:trPr>
          <w:tblCellSpacing w:w="0" w:type="dxa"/>
        </w:trPr>
        <w:tc>
          <w:tcPr>
            <w:tcW w:w="0" w:type="auto"/>
            <w:hideMark/>
          </w:tcPr>
          <w:p w14:paraId="774BA774"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lastRenderedPageBreak/>
              <w:t>0720</w:t>
            </w:r>
          </w:p>
        </w:tc>
        <w:tc>
          <w:tcPr>
            <w:tcW w:w="0" w:type="auto"/>
            <w:hideMark/>
          </w:tcPr>
          <w:p w14:paraId="2C63F22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25</w:t>
            </w:r>
          </w:p>
        </w:tc>
        <w:tc>
          <w:tcPr>
            <w:tcW w:w="0" w:type="auto"/>
            <w:hideMark/>
          </w:tcPr>
          <w:p w14:paraId="114D4997" w14:textId="4DA1F81C"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Dețineri de instrumente de fonduri proprii de nivel 2 ale entităților din sectorul financiar în care </w:t>
            </w:r>
            <w:r w:rsidR="00916018">
              <w:rPr>
                <w:rFonts w:ascii="Times New Roman" w:eastAsia="Times New Roman" w:hAnsi="Times New Roman" w:cs="Times New Roman"/>
                <w:b/>
                <w:bCs/>
                <w:color w:val="000000"/>
                <w:kern w:val="0"/>
                <w:lang w:eastAsia="ro-MD"/>
                <w14:ligatures w14:val="none"/>
              </w:rPr>
              <w:t>banca</w:t>
            </w:r>
            <w:r w:rsidRPr="00260C32">
              <w:rPr>
                <w:rFonts w:ascii="Times New Roman" w:eastAsia="Times New Roman" w:hAnsi="Times New Roman" w:cs="Times New Roman"/>
                <w:b/>
                <w:bCs/>
                <w:color w:val="000000"/>
                <w:kern w:val="0"/>
                <w:lang w:eastAsia="ro-MD"/>
                <w14:ligatures w14:val="none"/>
              </w:rPr>
              <w:t xml:space="preserve"> nu deține o investiție semnificativă, care fac obiectul unei derogări temporare</w:t>
            </w:r>
          </w:p>
        </w:tc>
        <w:tc>
          <w:tcPr>
            <w:tcW w:w="0" w:type="auto"/>
            <w:hideMark/>
          </w:tcPr>
          <w:p w14:paraId="5D0CD8A8" w14:textId="580FE91B"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04179029" w14:textId="77777777" w:rsidTr="00260C32">
        <w:trPr>
          <w:tblCellSpacing w:w="0" w:type="dxa"/>
        </w:trPr>
        <w:tc>
          <w:tcPr>
            <w:tcW w:w="0" w:type="auto"/>
            <w:hideMark/>
          </w:tcPr>
          <w:p w14:paraId="50503898"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0730</w:t>
            </w:r>
          </w:p>
        </w:tc>
        <w:tc>
          <w:tcPr>
            <w:tcW w:w="0" w:type="auto"/>
            <w:hideMark/>
          </w:tcPr>
          <w:p w14:paraId="30981070"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26</w:t>
            </w:r>
          </w:p>
        </w:tc>
        <w:tc>
          <w:tcPr>
            <w:tcW w:w="0" w:type="auto"/>
            <w:hideMark/>
          </w:tcPr>
          <w:p w14:paraId="54BB5DC5" w14:textId="35661133"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 xml:space="preserve">Dețineri de instrumente de fonduri proprii de nivel 2 ale entităților din sectorul financiar în care </w:t>
            </w:r>
            <w:r w:rsidR="00916018">
              <w:rPr>
                <w:rFonts w:ascii="Times New Roman" w:eastAsia="Times New Roman" w:hAnsi="Times New Roman" w:cs="Times New Roman"/>
                <w:b/>
                <w:bCs/>
                <w:color w:val="000000"/>
                <w:kern w:val="0"/>
                <w:lang w:eastAsia="ro-MD"/>
                <w14:ligatures w14:val="none"/>
              </w:rPr>
              <w:t>banca</w:t>
            </w:r>
            <w:r w:rsidRPr="00260C32">
              <w:rPr>
                <w:rFonts w:ascii="Times New Roman" w:eastAsia="Times New Roman" w:hAnsi="Times New Roman" w:cs="Times New Roman"/>
                <w:b/>
                <w:bCs/>
                <w:color w:val="000000"/>
                <w:kern w:val="0"/>
                <w:lang w:eastAsia="ro-MD"/>
                <w14:ligatures w14:val="none"/>
              </w:rPr>
              <w:t xml:space="preserve"> deține o investiție semnificativă, care fac obiectul unei derogări temporare</w:t>
            </w:r>
          </w:p>
        </w:tc>
        <w:tc>
          <w:tcPr>
            <w:tcW w:w="0" w:type="auto"/>
            <w:hideMark/>
          </w:tcPr>
          <w:p w14:paraId="33093A8A" w14:textId="756EA7B8"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48C816B3" w14:textId="77777777" w:rsidTr="00ED7539">
        <w:trPr>
          <w:tblCellSpacing w:w="0" w:type="dxa"/>
        </w:trPr>
        <w:tc>
          <w:tcPr>
            <w:tcW w:w="0" w:type="auto"/>
            <w:gridSpan w:val="4"/>
            <w:shd w:val="clear" w:color="auto" w:fill="E7E6E6" w:themeFill="background2"/>
            <w:hideMark/>
          </w:tcPr>
          <w:p w14:paraId="17022813" w14:textId="77777777" w:rsidR="00260C32" w:rsidRPr="00260C32" w:rsidRDefault="00260C32" w:rsidP="00087A14">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Amortizoare de capital</w:t>
            </w:r>
          </w:p>
        </w:tc>
      </w:tr>
      <w:tr w:rsidR="00260C32" w:rsidRPr="00260C32" w14:paraId="6CDE28E7" w14:textId="77777777" w:rsidTr="00260C32">
        <w:trPr>
          <w:tblCellSpacing w:w="0" w:type="dxa"/>
        </w:trPr>
        <w:tc>
          <w:tcPr>
            <w:tcW w:w="0" w:type="auto"/>
            <w:hideMark/>
          </w:tcPr>
          <w:p w14:paraId="3F1BBAE7"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9352B9">
              <w:rPr>
                <w:rFonts w:ascii="Times New Roman" w:eastAsia="Times New Roman" w:hAnsi="Times New Roman" w:cs="Times New Roman"/>
                <w:color w:val="000000"/>
                <w:kern w:val="0"/>
                <w:lang w:eastAsia="ro-MD"/>
                <w14:ligatures w14:val="none"/>
              </w:rPr>
              <w:t>0740</w:t>
            </w:r>
          </w:p>
        </w:tc>
        <w:tc>
          <w:tcPr>
            <w:tcW w:w="0" w:type="auto"/>
            <w:hideMark/>
          </w:tcPr>
          <w:p w14:paraId="25DDFCA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27</w:t>
            </w:r>
          </w:p>
        </w:tc>
        <w:tc>
          <w:tcPr>
            <w:tcW w:w="0" w:type="auto"/>
            <w:hideMark/>
          </w:tcPr>
          <w:p w14:paraId="50321FC8"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Cerința de amortizor combinat</w:t>
            </w:r>
          </w:p>
        </w:tc>
        <w:tc>
          <w:tcPr>
            <w:tcW w:w="0" w:type="auto"/>
            <w:hideMark/>
          </w:tcPr>
          <w:p w14:paraId="2DFA0D54" w14:textId="312521CD"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b/>
                <w:bCs/>
                <w:color w:val="000000"/>
                <w:kern w:val="0"/>
                <w:lang w:eastAsia="ro-MD"/>
                <w14:ligatures w14:val="none"/>
              </w:rPr>
            </w:pPr>
          </w:p>
        </w:tc>
      </w:tr>
      <w:tr w:rsidR="00260C32" w:rsidRPr="00260C32" w14:paraId="51DB80D0" w14:textId="77777777" w:rsidTr="00260C32">
        <w:trPr>
          <w:tblCellSpacing w:w="0" w:type="dxa"/>
        </w:trPr>
        <w:tc>
          <w:tcPr>
            <w:tcW w:w="0" w:type="auto"/>
            <w:hideMark/>
          </w:tcPr>
          <w:p w14:paraId="21D41A82"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0750</w:t>
            </w:r>
          </w:p>
        </w:tc>
        <w:tc>
          <w:tcPr>
            <w:tcW w:w="0" w:type="auto"/>
            <w:hideMark/>
          </w:tcPr>
          <w:p w14:paraId="6109B8FA"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w:t>
            </w:r>
          </w:p>
        </w:tc>
        <w:tc>
          <w:tcPr>
            <w:tcW w:w="0" w:type="auto"/>
            <w:hideMark/>
          </w:tcPr>
          <w:p w14:paraId="4D0A412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Amortizorul de conservare a capitalului</w:t>
            </w:r>
          </w:p>
        </w:tc>
        <w:tc>
          <w:tcPr>
            <w:tcW w:w="0" w:type="auto"/>
            <w:hideMark/>
          </w:tcPr>
          <w:p w14:paraId="1D72A2C7" w14:textId="788E74EF" w:rsidR="00260C32" w:rsidRPr="00260C32" w:rsidRDefault="00260C32" w:rsidP="008860A6">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1645FE7" w14:textId="77777777" w:rsidTr="00260C32">
        <w:trPr>
          <w:tblCellSpacing w:w="0" w:type="dxa"/>
        </w:trPr>
        <w:tc>
          <w:tcPr>
            <w:tcW w:w="0" w:type="auto"/>
            <w:hideMark/>
          </w:tcPr>
          <w:p w14:paraId="6CE98134"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0760</w:t>
            </w:r>
          </w:p>
        </w:tc>
        <w:tc>
          <w:tcPr>
            <w:tcW w:w="0" w:type="auto"/>
            <w:hideMark/>
          </w:tcPr>
          <w:p w14:paraId="550E995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w:t>
            </w:r>
          </w:p>
        </w:tc>
        <w:tc>
          <w:tcPr>
            <w:tcW w:w="0" w:type="auto"/>
            <w:hideMark/>
          </w:tcPr>
          <w:p w14:paraId="2C1D2C0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Amortizorul de conservare aferent riscului </w:t>
            </w:r>
            <w:proofErr w:type="spellStart"/>
            <w:r w:rsidRPr="00260C32">
              <w:rPr>
                <w:rFonts w:ascii="Times New Roman" w:eastAsia="Times New Roman" w:hAnsi="Times New Roman" w:cs="Times New Roman"/>
                <w:color w:val="000000"/>
                <w:kern w:val="0"/>
                <w:lang w:eastAsia="ro-MD"/>
                <w14:ligatures w14:val="none"/>
              </w:rPr>
              <w:t>macroprudențial</w:t>
            </w:r>
            <w:proofErr w:type="spellEnd"/>
            <w:r w:rsidRPr="00260C32">
              <w:rPr>
                <w:rFonts w:ascii="Times New Roman" w:eastAsia="Times New Roman" w:hAnsi="Times New Roman" w:cs="Times New Roman"/>
                <w:color w:val="000000"/>
                <w:kern w:val="0"/>
                <w:lang w:eastAsia="ro-MD"/>
                <w14:ligatures w14:val="none"/>
              </w:rPr>
              <w:t xml:space="preserve"> sau sistemic identificat la nivelul unui stat membru</w:t>
            </w:r>
          </w:p>
        </w:tc>
        <w:tc>
          <w:tcPr>
            <w:tcW w:w="0" w:type="auto"/>
            <w:hideMark/>
          </w:tcPr>
          <w:p w14:paraId="762E82FF" w14:textId="57B0C9B3" w:rsidR="00260C32" w:rsidRPr="00260C32" w:rsidRDefault="00097268" w:rsidP="00087A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x</w:t>
            </w:r>
          </w:p>
        </w:tc>
      </w:tr>
      <w:tr w:rsidR="00260C32" w:rsidRPr="00260C32" w14:paraId="02FE66C5" w14:textId="77777777" w:rsidTr="00260C32">
        <w:trPr>
          <w:tblCellSpacing w:w="0" w:type="dxa"/>
        </w:trPr>
        <w:tc>
          <w:tcPr>
            <w:tcW w:w="0" w:type="auto"/>
            <w:hideMark/>
          </w:tcPr>
          <w:p w14:paraId="32C01715"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0770</w:t>
            </w:r>
          </w:p>
        </w:tc>
        <w:tc>
          <w:tcPr>
            <w:tcW w:w="0" w:type="auto"/>
            <w:hideMark/>
          </w:tcPr>
          <w:p w14:paraId="0E424557"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w:t>
            </w:r>
          </w:p>
        </w:tc>
        <w:tc>
          <w:tcPr>
            <w:tcW w:w="0" w:type="auto"/>
            <w:hideMark/>
          </w:tcPr>
          <w:p w14:paraId="1F6AE3BD" w14:textId="54496E75"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Amortizorul </w:t>
            </w:r>
            <w:proofErr w:type="spellStart"/>
            <w:r w:rsidRPr="00260C32">
              <w:rPr>
                <w:rFonts w:ascii="Times New Roman" w:eastAsia="Times New Roman" w:hAnsi="Times New Roman" w:cs="Times New Roman"/>
                <w:color w:val="000000"/>
                <w:kern w:val="0"/>
                <w:lang w:eastAsia="ro-MD"/>
                <w14:ligatures w14:val="none"/>
              </w:rPr>
              <w:t>anticiclic</w:t>
            </w:r>
            <w:proofErr w:type="spellEnd"/>
            <w:r w:rsidRPr="00260C32">
              <w:rPr>
                <w:rFonts w:ascii="Times New Roman" w:eastAsia="Times New Roman" w:hAnsi="Times New Roman" w:cs="Times New Roman"/>
                <w:color w:val="000000"/>
                <w:kern w:val="0"/>
                <w:lang w:eastAsia="ro-MD"/>
                <w14:ligatures w14:val="none"/>
              </w:rPr>
              <w:t xml:space="preserve"> de capital specific </w:t>
            </w:r>
            <w:r w:rsidR="00B46497">
              <w:rPr>
                <w:rFonts w:ascii="Times New Roman" w:eastAsia="Times New Roman" w:hAnsi="Times New Roman" w:cs="Times New Roman"/>
                <w:color w:val="000000"/>
                <w:kern w:val="0"/>
                <w:lang w:eastAsia="ro-MD"/>
                <w14:ligatures w14:val="none"/>
              </w:rPr>
              <w:t>bănci</w:t>
            </w:r>
            <w:r w:rsidR="00B46497" w:rsidRPr="00260C32">
              <w:rPr>
                <w:rFonts w:ascii="Times New Roman" w:eastAsia="Times New Roman" w:hAnsi="Times New Roman" w:cs="Times New Roman"/>
                <w:color w:val="000000"/>
                <w:kern w:val="0"/>
                <w:lang w:eastAsia="ro-MD"/>
                <w14:ligatures w14:val="none"/>
              </w:rPr>
              <w:t>i</w:t>
            </w:r>
          </w:p>
        </w:tc>
        <w:tc>
          <w:tcPr>
            <w:tcW w:w="0" w:type="auto"/>
            <w:hideMark/>
          </w:tcPr>
          <w:p w14:paraId="62AF87EC" w14:textId="196F8953" w:rsidR="00260C32" w:rsidRPr="00260C32" w:rsidRDefault="00260C32" w:rsidP="00087A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34353B9A" w14:textId="77777777" w:rsidTr="00260C32">
        <w:trPr>
          <w:tblCellSpacing w:w="0" w:type="dxa"/>
        </w:trPr>
        <w:tc>
          <w:tcPr>
            <w:tcW w:w="0" w:type="auto"/>
            <w:hideMark/>
          </w:tcPr>
          <w:p w14:paraId="74B9349B"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0780</w:t>
            </w:r>
          </w:p>
        </w:tc>
        <w:tc>
          <w:tcPr>
            <w:tcW w:w="0" w:type="auto"/>
            <w:hideMark/>
          </w:tcPr>
          <w:p w14:paraId="0024227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w:t>
            </w:r>
          </w:p>
        </w:tc>
        <w:tc>
          <w:tcPr>
            <w:tcW w:w="0" w:type="auto"/>
            <w:hideMark/>
          </w:tcPr>
          <w:p w14:paraId="054BC97D"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Amortizorul de risc sistemic</w:t>
            </w:r>
          </w:p>
        </w:tc>
        <w:tc>
          <w:tcPr>
            <w:tcW w:w="0" w:type="auto"/>
            <w:hideMark/>
          </w:tcPr>
          <w:p w14:paraId="477D7D1A" w14:textId="66F40087" w:rsidR="00260C32" w:rsidRPr="00260C32" w:rsidRDefault="00260C32" w:rsidP="00087A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FB54FE8" w14:textId="77777777" w:rsidTr="00260C32">
        <w:trPr>
          <w:tblCellSpacing w:w="0" w:type="dxa"/>
        </w:trPr>
        <w:tc>
          <w:tcPr>
            <w:tcW w:w="0" w:type="auto"/>
            <w:hideMark/>
          </w:tcPr>
          <w:p w14:paraId="793C5EE1"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0800</w:t>
            </w:r>
          </w:p>
        </w:tc>
        <w:tc>
          <w:tcPr>
            <w:tcW w:w="0" w:type="auto"/>
            <w:hideMark/>
          </w:tcPr>
          <w:p w14:paraId="1C10D913"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w:t>
            </w:r>
          </w:p>
        </w:tc>
        <w:tc>
          <w:tcPr>
            <w:tcW w:w="0" w:type="auto"/>
            <w:hideMark/>
          </w:tcPr>
          <w:p w14:paraId="4D6460C7" w14:textId="397DCD5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0274C8">
              <w:rPr>
                <w:rFonts w:ascii="Times New Roman" w:eastAsia="Times New Roman" w:hAnsi="Times New Roman" w:cs="Times New Roman"/>
                <w:color w:val="000000"/>
                <w:kern w:val="0"/>
                <w:lang w:eastAsia="ro-MD"/>
                <w14:ligatures w14:val="none"/>
              </w:rPr>
              <w:t xml:space="preserve">Amortizorul </w:t>
            </w:r>
            <w:r w:rsidR="00E81DF0" w:rsidRPr="000274C8">
              <w:rPr>
                <w:rFonts w:ascii="Times New Roman" w:eastAsia="Times New Roman" w:hAnsi="Times New Roman" w:cs="Times New Roman"/>
                <w:color w:val="000000"/>
                <w:kern w:val="0"/>
                <w:lang w:eastAsia="ro-MD"/>
                <w14:ligatures w14:val="none"/>
              </w:rPr>
              <w:t>instituțiilor</w:t>
            </w:r>
            <w:r w:rsidRPr="000274C8">
              <w:rPr>
                <w:rFonts w:ascii="Times New Roman" w:eastAsia="Times New Roman" w:hAnsi="Times New Roman" w:cs="Times New Roman"/>
                <w:color w:val="000000"/>
                <w:kern w:val="0"/>
                <w:lang w:eastAsia="ro-MD"/>
                <w14:ligatures w14:val="none"/>
              </w:rPr>
              <w:t xml:space="preserve"> globale de importanță sistemică</w:t>
            </w:r>
          </w:p>
        </w:tc>
        <w:tc>
          <w:tcPr>
            <w:tcW w:w="0" w:type="auto"/>
            <w:hideMark/>
          </w:tcPr>
          <w:p w14:paraId="1EE198F2" w14:textId="15AB78C5" w:rsidR="00260C32" w:rsidRPr="00260C32" w:rsidRDefault="00260C32" w:rsidP="00087A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7C84FBBC" w14:textId="77777777" w:rsidTr="00260C32">
        <w:trPr>
          <w:tblCellSpacing w:w="0" w:type="dxa"/>
        </w:trPr>
        <w:tc>
          <w:tcPr>
            <w:tcW w:w="0" w:type="auto"/>
            <w:hideMark/>
          </w:tcPr>
          <w:p w14:paraId="79C768D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0810</w:t>
            </w:r>
          </w:p>
        </w:tc>
        <w:tc>
          <w:tcPr>
            <w:tcW w:w="0" w:type="auto"/>
            <w:hideMark/>
          </w:tcPr>
          <w:p w14:paraId="720F1AEF"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w:t>
            </w:r>
          </w:p>
        </w:tc>
        <w:tc>
          <w:tcPr>
            <w:tcW w:w="0" w:type="auto"/>
            <w:hideMark/>
          </w:tcPr>
          <w:p w14:paraId="488940A1" w14:textId="347C429B"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Amortizorul altor </w:t>
            </w:r>
            <w:r w:rsidR="00DB7D3B">
              <w:rPr>
                <w:rFonts w:ascii="Times New Roman" w:eastAsia="Times New Roman" w:hAnsi="Times New Roman" w:cs="Times New Roman"/>
                <w:color w:val="000000"/>
                <w:kern w:val="0"/>
                <w:lang w:eastAsia="ro-MD"/>
                <w14:ligatures w14:val="none"/>
              </w:rPr>
              <w:t>societăți</w:t>
            </w:r>
            <w:r w:rsidR="00DB7D3B" w:rsidRPr="00260C32">
              <w:rPr>
                <w:rFonts w:ascii="Times New Roman" w:eastAsia="Times New Roman" w:hAnsi="Times New Roman" w:cs="Times New Roman"/>
                <w:color w:val="000000"/>
                <w:kern w:val="0"/>
                <w:lang w:eastAsia="ro-MD"/>
                <w14:ligatures w14:val="none"/>
              </w:rPr>
              <w:t xml:space="preserve"> </w:t>
            </w:r>
            <w:r w:rsidRPr="00260C32">
              <w:rPr>
                <w:rFonts w:ascii="Times New Roman" w:eastAsia="Times New Roman" w:hAnsi="Times New Roman" w:cs="Times New Roman"/>
                <w:color w:val="000000"/>
                <w:kern w:val="0"/>
                <w:lang w:eastAsia="ro-MD"/>
                <w14:ligatures w14:val="none"/>
              </w:rPr>
              <w:t>de importanță sistemică</w:t>
            </w:r>
          </w:p>
        </w:tc>
        <w:tc>
          <w:tcPr>
            <w:tcW w:w="0" w:type="auto"/>
            <w:hideMark/>
          </w:tcPr>
          <w:p w14:paraId="5481396D" w14:textId="5CF20367" w:rsidR="00260C32" w:rsidRPr="00260C32" w:rsidRDefault="00260C32" w:rsidP="00087A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4DED3CE2" w14:textId="77777777" w:rsidTr="00ED7539">
        <w:trPr>
          <w:tblCellSpacing w:w="0" w:type="dxa"/>
        </w:trPr>
        <w:tc>
          <w:tcPr>
            <w:tcW w:w="0" w:type="auto"/>
            <w:gridSpan w:val="4"/>
            <w:shd w:val="clear" w:color="auto" w:fill="E7E6E6" w:themeFill="background2"/>
            <w:hideMark/>
          </w:tcPr>
          <w:p w14:paraId="14BA6624" w14:textId="77777777" w:rsidR="00260C32" w:rsidRPr="00260C32" w:rsidRDefault="00260C32" w:rsidP="00087A14">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Cerințe prevăzute de pilonul II</w:t>
            </w:r>
          </w:p>
        </w:tc>
      </w:tr>
      <w:tr w:rsidR="00260C32" w:rsidRPr="00260C32" w14:paraId="33C6E797" w14:textId="77777777" w:rsidTr="00260C32">
        <w:trPr>
          <w:tblCellSpacing w:w="0" w:type="dxa"/>
        </w:trPr>
        <w:tc>
          <w:tcPr>
            <w:tcW w:w="0" w:type="auto"/>
            <w:hideMark/>
          </w:tcPr>
          <w:p w14:paraId="214580B9" w14:textId="77777777"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0820</w:t>
            </w:r>
          </w:p>
        </w:tc>
        <w:tc>
          <w:tcPr>
            <w:tcW w:w="0" w:type="auto"/>
            <w:hideMark/>
          </w:tcPr>
          <w:p w14:paraId="0267EBCA"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9352B9">
              <w:rPr>
                <w:rFonts w:ascii="Times New Roman" w:eastAsia="Times New Roman" w:hAnsi="Times New Roman" w:cs="Times New Roman"/>
                <w:b/>
                <w:bCs/>
                <w:color w:val="000000"/>
                <w:kern w:val="0"/>
                <w:lang w:eastAsia="ro-MD"/>
                <w14:ligatures w14:val="none"/>
              </w:rPr>
              <w:t>28</w:t>
            </w:r>
          </w:p>
        </w:tc>
        <w:tc>
          <w:tcPr>
            <w:tcW w:w="0" w:type="auto"/>
            <w:hideMark/>
          </w:tcPr>
          <w:p w14:paraId="67CD48CC" w14:textId="77777777" w:rsidR="00260C32" w:rsidRPr="009352B9"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9352B9">
              <w:rPr>
                <w:rFonts w:ascii="Times New Roman" w:eastAsia="Times New Roman" w:hAnsi="Times New Roman" w:cs="Times New Roman"/>
                <w:b/>
                <w:bCs/>
                <w:color w:val="000000"/>
                <w:kern w:val="0"/>
                <w:lang w:eastAsia="ro-MD"/>
                <w14:ligatures w14:val="none"/>
              </w:rPr>
              <w:t>Cerințele de fonduri proprii aferente ajustărilor prevăzute de pilonul II</w:t>
            </w:r>
          </w:p>
        </w:tc>
        <w:tc>
          <w:tcPr>
            <w:tcW w:w="0" w:type="auto"/>
            <w:hideMark/>
          </w:tcPr>
          <w:p w14:paraId="496E9E97" w14:textId="4B797F6D" w:rsidR="00260C32" w:rsidRPr="00260C32" w:rsidRDefault="00260C32" w:rsidP="00087A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260C32" w:rsidRPr="00260C32" w14:paraId="10FA7093" w14:textId="77777777" w:rsidTr="00ED7539">
        <w:trPr>
          <w:tblCellSpacing w:w="0" w:type="dxa"/>
        </w:trPr>
        <w:tc>
          <w:tcPr>
            <w:tcW w:w="0" w:type="auto"/>
            <w:gridSpan w:val="4"/>
            <w:shd w:val="clear" w:color="auto" w:fill="E7E6E6" w:themeFill="background2"/>
            <w:hideMark/>
          </w:tcPr>
          <w:p w14:paraId="70AF526F" w14:textId="77777777" w:rsidR="00260C32" w:rsidRPr="00260C32" w:rsidRDefault="00260C32" w:rsidP="00087A14">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260C32">
              <w:rPr>
                <w:rFonts w:ascii="Times New Roman" w:eastAsia="Times New Roman" w:hAnsi="Times New Roman" w:cs="Times New Roman"/>
                <w:b/>
                <w:bCs/>
                <w:color w:val="000000"/>
                <w:kern w:val="0"/>
                <w:lang w:eastAsia="ro-MD"/>
                <w14:ligatures w14:val="none"/>
              </w:rPr>
              <w:t>Informații suplimentare pentru firmele de investiții</w:t>
            </w:r>
          </w:p>
        </w:tc>
      </w:tr>
      <w:tr w:rsidR="00260C32" w:rsidRPr="005A370D" w14:paraId="53DD662C" w14:textId="77777777" w:rsidTr="00260C32">
        <w:trPr>
          <w:tblCellSpacing w:w="0" w:type="dxa"/>
        </w:trPr>
        <w:tc>
          <w:tcPr>
            <w:tcW w:w="0" w:type="auto"/>
            <w:hideMark/>
          </w:tcPr>
          <w:p w14:paraId="72BD81CE" w14:textId="77777777" w:rsidR="00260C32" w:rsidRPr="00B74513"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B74513">
              <w:rPr>
                <w:rFonts w:ascii="Times New Roman" w:eastAsia="Times New Roman" w:hAnsi="Times New Roman" w:cs="Times New Roman"/>
                <w:color w:val="000000"/>
                <w:kern w:val="0"/>
                <w:lang w:eastAsia="ro-MD"/>
                <w14:ligatures w14:val="none"/>
              </w:rPr>
              <w:t>0830</w:t>
            </w:r>
          </w:p>
        </w:tc>
        <w:tc>
          <w:tcPr>
            <w:tcW w:w="0" w:type="auto"/>
            <w:hideMark/>
          </w:tcPr>
          <w:p w14:paraId="6B29A3D6" w14:textId="77777777" w:rsidR="00260C32" w:rsidRPr="00B74513"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29</w:t>
            </w:r>
          </w:p>
        </w:tc>
        <w:tc>
          <w:tcPr>
            <w:tcW w:w="0" w:type="auto"/>
            <w:hideMark/>
          </w:tcPr>
          <w:p w14:paraId="377F2714" w14:textId="77777777" w:rsidR="00260C32" w:rsidRPr="00B74513"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Capital inițial</w:t>
            </w:r>
          </w:p>
        </w:tc>
        <w:tc>
          <w:tcPr>
            <w:tcW w:w="0" w:type="auto"/>
            <w:hideMark/>
          </w:tcPr>
          <w:p w14:paraId="240AF81E" w14:textId="12C04F9B" w:rsidR="00260C32" w:rsidRPr="00B74513" w:rsidRDefault="00B74513" w:rsidP="00B74513">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B74513">
              <w:rPr>
                <w:rFonts w:ascii="Times New Roman" w:eastAsia="Times New Roman" w:hAnsi="Times New Roman" w:cs="Times New Roman"/>
                <w:color w:val="000000"/>
                <w:kern w:val="0"/>
                <w:lang w:eastAsia="ro-MD"/>
                <w14:ligatures w14:val="none"/>
              </w:rPr>
              <w:t>x</w:t>
            </w:r>
          </w:p>
        </w:tc>
      </w:tr>
      <w:tr w:rsidR="00260C32" w:rsidRPr="005A370D" w14:paraId="5D4B4651" w14:textId="77777777" w:rsidTr="00260C32">
        <w:trPr>
          <w:tblCellSpacing w:w="0" w:type="dxa"/>
        </w:trPr>
        <w:tc>
          <w:tcPr>
            <w:tcW w:w="0" w:type="auto"/>
            <w:hideMark/>
          </w:tcPr>
          <w:p w14:paraId="6FA58690" w14:textId="77777777" w:rsidR="00260C32" w:rsidRPr="00B74513"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B74513">
              <w:rPr>
                <w:rFonts w:ascii="Times New Roman" w:eastAsia="Times New Roman" w:hAnsi="Times New Roman" w:cs="Times New Roman"/>
                <w:color w:val="000000"/>
                <w:kern w:val="0"/>
                <w:lang w:eastAsia="ro-MD"/>
                <w14:ligatures w14:val="none"/>
              </w:rPr>
              <w:t>0840</w:t>
            </w:r>
          </w:p>
        </w:tc>
        <w:tc>
          <w:tcPr>
            <w:tcW w:w="0" w:type="auto"/>
            <w:hideMark/>
          </w:tcPr>
          <w:p w14:paraId="3C2847AF" w14:textId="77777777" w:rsidR="00260C32" w:rsidRPr="00B74513"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30</w:t>
            </w:r>
          </w:p>
        </w:tc>
        <w:tc>
          <w:tcPr>
            <w:tcW w:w="0" w:type="auto"/>
            <w:hideMark/>
          </w:tcPr>
          <w:p w14:paraId="7052EAB3" w14:textId="77777777" w:rsidR="00260C32" w:rsidRPr="00B74513"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Fonduri proprii bazate pe cheltuieli generale fixe</w:t>
            </w:r>
          </w:p>
        </w:tc>
        <w:tc>
          <w:tcPr>
            <w:tcW w:w="0" w:type="auto"/>
            <w:hideMark/>
          </w:tcPr>
          <w:p w14:paraId="3802C4F9" w14:textId="76BABB75" w:rsidR="00260C32" w:rsidRPr="00B74513" w:rsidRDefault="00B74513" w:rsidP="00087A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B74513">
              <w:rPr>
                <w:rFonts w:ascii="Times New Roman" w:eastAsia="Times New Roman" w:hAnsi="Times New Roman" w:cs="Times New Roman"/>
                <w:color w:val="000000"/>
                <w:kern w:val="0"/>
                <w:lang w:eastAsia="ro-MD"/>
                <w14:ligatures w14:val="none"/>
              </w:rPr>
              <w:t>x</w:t>
            </w:r>
          </w:p>
        </w:tc>
      </w:tr>
      <w:tr w:rsidR="00260C32" w:rsidRPr="00B74513" w14:paraId="394F5589" w14:textId="77777777" w:rsidTr="00ED7539">
        <w:trPr>
          <w:tblCellSpacing w:w="0" w:type="dxa"/>
        </w:trPr>
        <w:tc>
          <w:tcPr>
            <w:tcW w:w="0" w:type="auto"/>
            <w:gridSpan w:val="4"/>
            <w:shd w:val="clear" w:color="auto" w:fill="E7E6E6" w:themeFill="background2"/>
            <w:hideMark/>
          </w:tcPr>
          <w:p w14:paraId="2BD584AB" w14:textId="77777777" w:rsidR="00260C32" w:rsidRPr="00B74513" w:rsidRDefault="00260C32" w:rsidP="00087A14">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Informații suplimentare pentru calculul pragurilor de raportare</w:t>
            </w:r>
          </w:p>
        </w:tc>
      </w:tr>
      <w:tr w:rsidR="00260C32" w:rsidRPr="005A370D" w14:paraId="41A03653" w14:textId="77777777" w:rsidTr="00260C32">
        <w:trPr>
          <w:tblCellSpacing w:w="0" w:type="dxa"/>
        </w:trPr>
        <w:tc>
          <w:tcPr>
            <w:tcW w:w="0" w:type="auto"/>
            <w:hideMark/>
          </w:tcPr>
          <w:p w14:paraId="33913233" w14:textId="77777777" w:rsidR="00260C32" w:rsidRPr="00B74513"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B74513">
              <w:rPr>
                <w:rFonts w:ascii="Times New Roman" w:eastAsia="Times New Roman" w:hAnsi="Times New Roman" w:cs="Times New Roman"/>
                <w:color w:val="000000"/>
                <w:kern w:val="0"/>
                <w:lang w:eastAsia="ro-MD"/>
                <w14:ligatures w14:val="none"/>
              </w:rPr>
              <w:t>0850</w:t>
            </w:r>
          </w:p>
        </w:tc>
        <w:tc>
          <w:tcPr>
            <w:tcW w:w="0" w:type="auto"/>
            <w:hideMark/>
          </w:tcPr>
          <w:p w14:paraId="643FA8AA" w14:textId="77777777" w:rsidR="00260C32" w:rsidRPr="00B74513"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31</w:t>
            </w:r>
          </w:p>
        </w:tc>
        <w:tc>
          <w:tcPr>
            <w:tcW w:w="0" w:type="auto"/>
            <w:hideMark/>
          </w:tcPr>
          <w:p w14:paraId="79366F4D" w14:textId="77777777" w:rsidR="00260C32" w:rsidRPr="00B74513"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Expuneri inițiale, altele decât cele interne</w:t>
            </w:r>
          </w:p>
        </w:tc>
        <w:tc>
          <w:tcPr>
            <w:tcW w:w="0" w:type="auto"/>
            <w:hideMark/>
          </w:tcPr>
          <w:p w14:paraId="3858CC3E" w14:textId="45EB0E9D" w:rsidR="00260C32" w:rsidRPr="00B74513" w:rsidRDefault="00B74513" w:rsidP="00087A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B74513">
              <w:rPr>
                <w:rFonts w:ascii="Times New Roman" w:eastAsia="Times New Roman" w:hAnsi="Times New Roman" w:cs="Times New Roman"/>
                <w:color w:val="000000"/>
                <w:kern w:val="0"/>
                <w:lang w:eastAsia="ro-MD"/>
                <w14:ligatures w14:val="none"/>
              </w:rPr>
              <w:t>x</w:t>
            </w:r>
          </w:p>
        </w:tc>
      </w:tr>
      <w:tr w:rsidR="00260C32" w:rsidRPr="005A370D" w14:paraId="44AAD1B7" w14:textId="77777777" w:rsidTr="00260C32">
        <w:trPr>
          <w:tblCellSpacing w:w="0" w:type="dxa"/>
        </w:trPr>
        <w:tc>
          <w:tcPr>
            <w:tcW w:w="0" w:type="auto"/>
            <w:hideMark/>
          </w:tcPr>
          <w:p w14:paraId="3A50D2CA" w14:textId="77777777" w:rsidR="00260C32" w:rsidRPr="00B74513"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B74513">
              <w:rPr>
                <w:rFonts w:ascii="Times New Roman" w:eastAsia="Times New Roman" w:hAnsi="Times New Roman" w:cs="Times New Roman"/>
                <w:color w:val="000000"/>
                <w:kern w:val="0"/>
                <w:lang w:eastAsia="ro-MD"/>
                <w14:ligatures w14:val="none"/>
              </w:rPr>
              <w:t>0860</w:t>
            </w:r>
          </w:p>
        </w:tc>
        <w:tc>
          <w:tcPr>
            <w:tcW w:w="0" w:type="auto"/>
            <w:hideMark/>
          </w:tcPr>
          <w:p w14:paraId="49B3518B" w14:textId="77777777" w:rsidR="00260C32" w:rsidRPr="00B74513"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32</w:t>
            </w:r>
          </w:p>
        </w:tc>
        <w:tc>
          <w:tcPr>
            <w:tcW w:w="0" w:type="auto"/>
            <w:hideMark/>
          </w:tcPr>
          <w:p w14:paraId="7F4C2A3E" w14:textId="77777777" w:rsidR="00260C32" w:rsidRPr="00B74513" w:rsidRDefault="00260C32"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Total expuneri inițiale</w:t>
            </w:r>
          </w:p>
        </w:tc>
        <w:tc>
          <w:tcPr>
            <w:tcW w:w="0" w:type="auto"/>
            <w:hideMark/>
          </w:tcPr>
          <w:p w14:paraId="27FD8A2E" w14:textId="659C7D2B" w:rsidR="00260C32" w:rsidRPr="00B74513" w:rsidRDefault="00B74513" w:rsidP="00087A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B74513">
              <w:rPr>
                <w:rFonts w:ascii="Times New Roman" w:eastAsia="Times New Roman" w:hAnsi="Times New Roman" w:cs="Times New Roman"/>
                <w:color w:val="000000"/>
                <w:kern w:val="0"/>
                <w:lang w:eastAsia="ro-MD"/>
                <w14:ligatures w14:val="none"/>
              </w:rPr>
              <w:t>x</w:t>
            </w:r>
          </w:p>
        </w:tc>
      </w:tr>
      <w:tr w:rsidR="00782F41" w:rsidRPr="00B74513" w14:paraId="13859254" w14:textId="77777777" w:rsidTr="00782F41">
        <w:trPr>
          <w:tblCellSpacing w:w="0" w:type="dxa"/>
        </w:trPr>
        <w:tc>
          <w:tcPr>
            <w:tcW w:w="0" w:type="auto"/>
            <w:gridSpan w:val="4"/>
            <w:shd w:val="clear" w:color="auto" w:fill="E7E6E6" w:themeFill="background2"/>
          </w:tcPr>
          <w:p w14:paraId="6CAF1355" w14:textId="5D2E586D" w:rsidR="00782F41" w:rsidRPr="00B74513" w:rsidRDefault="00782F41" w:rsidP="00087A14">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Pragul minim privind cerințele de capital</w:t>
            </w:r>
          </w:p>
        </w:tc>
      </w:tr>
      <w:tr w:rsidR="00782F41" w:rsidRPr="005A370D" w14:paraId="350A3EF5" w14:textId="77777777" w:rsidTr="00260C32">
        <w:trPr>
          <w:tblCellSpacing w:w="0" w:type="dxa"/>
        </w:trPr>
        <w:tc>
          <w:tcPr>
            <w:tcW w:w="0" w:type="auto"/>
          </w:tcPr>
          <w:p w14:paraId="549E8891" w14:textId="0AEF4F08" w:rsidR="00782F41" w:rsidRPr="00B74513" w:rsidRDefault="00782F41"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B74513">
              <w:rPr>
                <w:rFonts w:ascii="Times New Roman" w:eastAsia="Times New Roman" w:hAnsi="Times New Roman" w:cs="Times New Roman"/>
                <w:color w:val="000000"/>
                <w:kern w:val="0"/>
                <w:lang w:eastAsia="ro-MD"/>
                <w14:ligatures w14:val="none"/>
              </w:rPr>
              <w:t>0870</w:t>
            </w:r>
          </w:p>
        </w:tc>
        <w:tc>
          <w:tcPr>
            <w:tcW w:w="0" w:type="auto"/>
          </w:tcPr>
          <w:p w14:paraId="60EA0BF3" w14:textId="719B9556" w:rsidR="00782F41" w:rsidRPr="00B74513" w:rsidRDefault="00782F41"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33</w:t>
            </w:r>
          </w:p>
        </w:tc>
        <w:tc>
          <w:tcPr>
            <w:tcW w:w="0" w:type="auto"/>
          </w:tcPr>
          <w:p w14:paraId="0DD95960" w14:textId="4F0ABE58" w:rsidR="00782F41" w:rsidRPr="00B74513" w:rsidRDefault="007A7826"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Ajustarea la pragul minim înainte de aplicarea plafonului tranzitoriu</w:t>
            </w:r>
          </w:p>
        </w:tc>
        <w:tc>
          <w:tcPr>
            <w:tcW w:w="0" w:type="auto"/>
          </w:tcPr>
          <w:p w14:paraId="66466129" w14:textId="18251ADA" w:rsidR="00782F41" w:rsidRPr="00B74513" w:rsidRDefault="00B74513" w:rsidP="00087A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B74513">
              <w:rPr>
                <w:rFonts w:ascii="Times New Roman" w:eastAsia="Times New Roman" w:hAnsi="Times New Roman" w:cs="Times New Roman"/>
                <w:color w:val="000000"/>
                <w:kern w:val="0"/>
                <w:lang w:eastAsia="ro-MD"/>
                <w14:ligatures w14:val="none"/>
              </w:rPr>
              <w:t>x</w:t>
            </w:r>
          </w:p>
        </w:tc>
      </w:tr>
      <w:tr w:rsidR="00782F41" w:rsidRPr="005A370D" w14:paraId="29D09802" w14:textId="77777777" w:rsidTr="00260C32">
        <w:trPr>
          <w:tblCellSpacing w:w="0" w:type="dxa"/>
        </w:trPr>
        <w:tc>
          <w:tcPr>
            <w:tcW w:w="0" w:type="auto"/>
          </w:tcPr>
          <w:p w14:paraId="2E7298FA" w14:textId="79CA9D2A" w:rsidR="00782F41" w:rsidRPr="00B74513" w:rsidRDefault="00782F41"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B74513">
              <w:rPr>
                <w:rFonts w:ascii="Times New Roman" w:eastAsia="Times New Roman" w:hAnsi="Times New Roman" w:cs="Times New Roman"/>
                <w:color w:val="000000"/>
                <w:kern w:val="0"/>
                <w:lang w:eastAsia="ro-MD"/>
                <w14:ligatures w14:val="none"/>
              </w:rPr>
              <w:t>0880</w:t>
            </w:r>
          </w:p>
        </w:tc>
        <w:tc>
          <w:tcPr>
            <w:tcW w:w="0" w:type="auto"/>
          </w:tcPr>
          <w:p w14:paraId="7D638044" w14:textId="06D915BC" w:rsidR="00782F41" w:rsidRPr="00B74513" w:rsidRDefault="00782F41"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34</w:t>
            </w:r>
          </w:p>
        </w:tc>
        <w:tc>
          <w:tcPr>
            <w:tcW w:w="0" w:type="auto"/>
          </w:tcPr>
          <w:p w14:paraId="6D3C9B8C" w14:textId="10788C34" w:rsidR="00782F41" w:rsidRPr="00B74513" w:rsidRDefault="007A7826"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Ajustarea la pragul minim după aplicarea plafonului tranzitoriu</w:t>
            </w:r>
          </w:p>
        </w:tc>
        <w:tc>
          <w:tcPr>
            <w:tcW w:w="0" w:type="auto"/>
          </w:tcPr>
          <w:p w14:paraId="49284AF6" w14:textId="6283D71D" w:rsidR="00782F41" w:rsidRPr="00B74513" w:rsidRDefault="00B74513" w:rsidP="00087A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B74513">
              <w:rPr>
                <w:rFonts w:ascii="Times New Roman" w:eastAsia="Times New Roman" w:hAnsi="Times New Roman" w:cs="Times New Roman"/>
                <w:color w:val="000000"/>
                <w:kern w:val="0"/>
                <w:lang w:eastAsia="ro-MD"/>
                <w14:ligatures w14:val="none"/>
              </w:rPr>
              <w:t>x</w:t>
            </w:r>
          </w:p>
        </w:tc>
      </w:tr>
      <w:tr w:rsidR="00782F41" w:rsidRPr="005A370D" w14:paraId="2FBF7A61" w14:textId="77777777" w:rsidTr="00260C32">
        <w:trPr>
          <w:tblCellSpacing w:w="0" w:type="dxa"/>
        </w:trPr>
        <w:tc>
          <w:tcPr>
            <w:tcW w:w="0" w:type="auto"/>
          </w:tcPr>
          <w:p w14:paraId="75388352" w14:textId="69406F21" w:rsidR="00782F41" w:rsidRPr="00B74513" w:rsidRDefault="00782F41"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B74513">
              <w:rPr>
                <w:rFonts w:ascii="Times New Roman" w:eastAsia="Times New Roman" w:hAnsi="Times New Roman" w:cs="Times New Roman"/>
                <w:color w:val="000000"/>
                <w:kern w:val="0"/>
                <w:lang w:eastAsia="ro-MD"/>
                <w14:ligatures w14:val="none"/>
              </w:rPr>
              <w:t>0890</w:t>
            </w:r>
          </w:p>
        </w:tc>
        <w:tc>
          <w:tcPr>
            <w:tcW w:w="0" w:type="auto"/>
          </w:tcPr>
          <w:p w14:paraId="1412C951" w14:textId="581BD41A" w:rsidR="00782F41" w:rsidRPr="00B74513" w:rsidRDefault="00782F41"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35</w:t>
            </w:r>
          </w:p>
        </w:tc>
        <w:tc>
          <w:tcPr>
            <w:tcW w:w="0" w:type="auto"/>
          </w:tcPr>
          <w:p w14:paraId="2FC1EAE3" w14:textId="5DCF9EFE" w:rsidR="00782F41" w:rsidRPr="00B74513" w:rsidRDefault="007A7826"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Ajustarea la pragul minim „</w:t>
            </w:r>
            <w:proofErr w:type="spellStart"/>
            <w:r w:rsidRPr="00B74513">
              <w:rPr>
                <w:rFonts w:ascii="Times New Roman" w:eastAsia="Times New Roman" w:hAnsi="Times New Roman" w:cs="Times New Roman"/>
                <w:b/>
                <w:bCs/>
                <w:color w:val="000000"/>
                <w:kern w:val="0"/>
                <w:lang w:eastAsia="ro-MD"/>
                <w14:ligatures w14:val="none"/>
              </w:rPr>
              <w:t>fully</w:t>
            </w:r>
            <w:proofErr w:type="spellEnd"/>
            <w:r w:rsidRPr="00B74513">
              <w:rPr>
                <w:rFonts w:ascii="Times New Roman" w:eastAsia="Times New Roman" w:hAnsi="Times New Roman" w:cs="Times New Roman"/>
                <w:b/>
                <w:bCs/>
                <w:color w:val="000000"/>
                <w:kern w:val="0"/>
                <w:lang w:eastAsia="ro-MD"/>
                <w14:ligatures w14:val="none"/>
              </w:rPr>
              <w:t xml:space="preserve"> </w:t>
            </w:r>
            <w:proofErr w:type="spellStart"/>
            <w:r w:rsidRPr="00B74513">
              <w:rPr>
                <w:rFonts w:ascii="Times New Roman" w:eastAsia="Times New Roman" w:hAnsi="Times New Roman" w:cs="Times New Roman"/>
                <w:b/>
                <w:bCs/>
                <w:color w:val="000000"/>
                <w:kern w:val="0"/>
                <w:lang w:eastAsia="ro-MD"/>
                <w14:ligatures w14:val="none"/>
              </w:rPr>
              <w:t>loaded</w:t>
            </w:r>
            <w:proofErr w:type="spellEnd"/>
            <w:r w:rsidRPr="00B74513">
              <w:rPr>
                <w:rFonts w:ascii="Times New Roman" w:eastAsia="Times New Roman" w:hAnsi="Times New Roman" w:cs="Times New Roman"/>
                <w:b/>
                <w:bCs/>
                <w:color w:val="000000"/>
                <w:kern w:val="0"/>
                <w:lang w:eastAsia="ro-MD"/>
                <w14:ligatures w14:val="none"/>
              </w:rPr>
              <w:t>”</w:t>
            </w:r>
          </w:p>
        </w:tc>
        <w:tc>
          <w:tcPr>
            <w:tcW w:w="0" w:type="auto"/>
          </w:tcPr>
          <w:p w14:paraId="3D5CE4BA" w14:textId="1CAD559C" w:rsidR="00782F41" w:rsidRPr="00B74513" w:rsidRDefault="00782F41" w:rsidP="00087A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782F41" w:rsidRPr="00260C32" w14:paraId="343D3DA3" w14:textId="77777777" w:rsidTr="00260C32">
        <w:trPr>
          <w:tblCellSpacing w:w="0" w:type="dxa"/>
        </w:trPr>
        <w:tc>
          <w:tcPr>
            <w:tcW w:w="0" w:type="auto"/>
          </w:tcPr>
          <w:p w14:paraId="7670065B" w14:textId="330F60C4" w:rsidR="00782F41" w:rsidRPr="00B74513" w:rsidRDefault="00782F41"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B74513">
              <w:rPr>
                <w:rFonts w:ascii="Times New Roman" w:eastAsia="Times New Roman" w:hAnsi="Times New Roman" w:cs="Times New Roman"/>
                <w:color w:val="000000"/>
                <w:kern w:val="0"/>
                <w:lang w:eastAsia="ro-MD"/>
                <w14:ligatures w14:val="none"/>
              </w:rPr>
              <w:t>0900</w:t>
            </w:r>
          </w:p>
        </w:tc>
        <w:tc>
          <w:tcPr>
            <w:tcW w:w="0" w:type="auto"/>
          </w:tcPr>
          <w:p w14:paraId="42B0BF81" w14:textId="55CCEC2F" w:rsidR="00782F41" w:rsidRPr="00B74513" w:rsidRDefault="00782F41"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36</w:t>
            </w:r>
          </w:p>
        </w:tc>
        <w:tc>
          <w:tcPr>
            <w:tcW w:w="0" w:type="auto"/>
          </w:tcPr>
          <w:p w14:paraId="11AF87D1" w14:textId="3211DC51" w:rsidR="00782F41" w:rsidRPr="00B74513" w:rsidRDefault="00782F41" w:rsidP="00260C32">
            <w:pPr>
              <w:spacing w:before="100" w:beforeAutospacing="1" w:after="100" w:afterAutospacing="1" w:line="240" w:lineRule="auto"/>
              <w:rPr>
                <w:rFonts w:ascii="Times New Roman" w:eastAsia="Times New Roman" w:hAnsi="Times New Roman" w:cs="Times New Roman"/>
                <w:b/>
                <w:bCs/>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Pragul minim privind cerințele de capital aplicat (%)</w:t>
            </w:r>
          </w:p>
        </w:tc>
        <w:tc>
          <w:tcPr>
            <w:tcW w:w="0" w:type="auto"/>
          </w:tcPr>
          <w:p w14:paraId="15FA0923" w14:textId="40B9FDC4" w:rsidR="00782F41" w:rsidRPr="00260C32" w:rsidRDefault="00782F41" w:rsidP="00087A14">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bl>
    <w:p w14:paraId="3F84AFCC" w14:textId="77777777" w:rsidR="009B36CC" w:rsidRDefault="00260C32" w:rsidP="00782F41">
      <w:pPr>
        <w:spacing w:after="0" w:line="240" w:lineRule="auto"/>
        <w:jc w:val="center"/>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w:t>
      </w:r>
    </w:p>
    <w:p w14:paraId="50BB07A4" w14:textId="77777777" w:rsidR="009B36CC" w:rsidRDefault="009B36CC" w:rsidP="00782F41">
      <w:pPr>
        <w:spacing w:after="0" w:line="240" w:lineRule="auto"/>
        <w:jc w:val="center"/>
        <w:rPr>
          <w:rFonts w:ascii="Times New Roman" w:eastAsia="Times New Roman" w:hAnsi="Times New Roman" w:cs="Times New Roman"/>
          <w:color w:val="000000"/>
          <w:kern w:val="0"/>
          <w:lang w:eastAsia="ro-MD"/>
          <w14:ligatures w14:val="none"/>
        </w:rPr>
      </w:pPr>
    </w:p>
    <w:p w14:paraId="3443456D" w14:textId="77777777" w:rsidR="009B36CC" w:rsidRDefault="009B36CC" w:rsidP="00782F41">
      <w:pPr>
        <w:spacing w:after="0" w:line="240" w:lineRule="auto"/>
        <w:jc w:val="center"/>
        <w:rPr>
          <w:rFonts w:ascii="Times New Roman" w:eastAsia="Times New Roman" w:hAnsi="Times New Roman" w:cs="Times New Roman"/>
          <w:color w:val="000000"/>
          <w:kern w:val="0"/>
          <w:lang w:eastAsia="ro-MD"/>
          <w14:ligatures w14:val="none"/>
        </w:rPr>
      </w:pPr>
    </w:p>
    <w:p w14:paraId="7590F015" w14:textId="77777777" w:rsidR="009B36CC" w:rsidRPr="00232DE0" w:rsidRDefault="009B36CC" w:rsidP="00232DE0">
      <w:pPr>
        <w:jc w:val="center"/>
        <w:rPr>
          <w:rFonts w:ascii="Times New Roman" w:hAnsi="Times New Roman" w:cs="Times New Roman"/>
          <w:b/>
          <w:bCs/>
          <w:lang w:eastAsia="ro-MD"/>
        </w:rPr>
      </w:pPr>
    </w:p>
    <w:p w14:paraId="0FE2A9A0" w14:textId="77777777" w:rsidR="009B36CC" w:rsidRPr="00232DE0" w:rsidRDefault="00782F41" w:rsidP="00232DE0">
      <w:pPr>
        <w:jc w:val="center"/>
        <w:rPr>
          <w:rFonts w:ascii="Times New Roman" w:hAnsi="Times New Roman" w:cs="Times New Roman"/>
          <w:b/>
          <w:bCs/>
          <w:sz w:val="24"/>
          <w:szCs w:val="24"/>
          <w:lang w:eastAsia="ro-MD"/>
        </w:rPr>
      </w:pPr>
      <w:r w:rsidRPr="00232DE0">
        <w:rPr>
          <w:rFonts w:ascii="Times New Roman" w:hAnsi="Times New Roman" w:cs="Times New Roman"/>
          <w:b/>
          <w:bCs/>
          <w:sz w:val="24"/>
          <w:szCs w:val="24"/>
          <w:lang w:eastAsia="ro-MD"/>
        </w:rPr>
        <w:t>Modul de completare a raportului</w:t>
      </w:r>
    </w:p>
    <w:p w14:paraId="0B577A57" w14:textId="1ED942C1" w:rsidR="00260C32" w:rsidRPr="00232DE0" w:rsidRDefault="00260C32" w:rsidP="00232DE0">
      <w:pPr>
        <w:jc w:val="center"/>
        <w:rPr>
          <w:rFonts w:ascii="Times New Roman" w:hAnsi="Times New Roman" w:cs="Times New Roman"/>
          <w:b/>
          <w:bCs/>
          <w:sz w:val="24"/>
          <w:szCs w:val="24"/>
          <w:lang w:eastAsia="ro-MD"/>
        </w:rPr>
      </w:pPr>
      <w:r w:rsidRPr="00232DE0">
        <w:rPr>
          <w:rFonts w:ascii="Times New Roman" w:hAnsi="Times New Roman" w:cs="Times New Roman"/>
          <w:b/>
          <w:bCs/>
          <w:sz w:val="24"/>
          <w:szCs w:val="24"/>
          <w:lang w:eastAsia="ro-MD"/>
        </w:rPr>
        <w:t>C 04.00 – ELEMENTE MEMORANDUM (CA4)</w:t>
      </w:r>
    </w:p>
    <w:p w14:paraId="35FD08A3" w14:textId="000F8E25" w:rsidR="00260C32" w:rsidRPr="00260C32" w:rsidRDefault="00260C32" w:rsidP="00260C32">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Instrucțiuni privind anumite poziții</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3"/>
        <w:gridCol w:w="26"/>
        <w:gridCol w:w="8043"/>
        <w:gridCol w:w="713"/>
      </w:tblGrid>
      <w:tr w:rsidR="00815E38" w:rsidRPr="00260C32" w14:paraId="2BAB52C4" w14:textId="2FE29F91" w:rsidTr="00627FFD">
        <w:trPr>
          <w:tblCellSpacing w:w="0" w:type="dxa"/>
        </w:trPr>
        <w:tc>
          <w:tcPr>
            <w:tcW w:w="703" w:type="dxa"/>
            <w:hideMark/>
          </w:tcPr>
          <w:p w14:paraId="7CA13464" w14:textId="70CF24AD" w:rsidR="00815E38" w:rsidRPr="00260C32" w:rsidRDefault="00815E38" w:rsidP="00061B39">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Rând</w:t>
            </w:r>
          </w:p>
        </w:tc>
        <w:tc>
          <w:tcPr>
            <w:tcW w:w="8069" w:type="dxa"/>
            <w:gridSpan w:val="2"/>
          </w:tcPr>
          <w:p w14:paraId="4741356C" w14:textId="553C1291" w:rsidR="00815E38" w:rsidRPr="00260C32" w:rsidRDefault="00815E38" w:rsidP="00061B39">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p>
        </w:tc>
        <w:tc>
          <w:tcPr>
            <w:tcW w:w="713" w:type="dxa"/>
          </w:tcPr>
          <w:p w14:paraId="24103B6B" w14:textId="77777777" w:rsidR="00815E38" w:rsidRPr="00260C32" w:rsidRDefault="00815E38" w:rsidP="00061B39">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6BB0403" w14:textId="1DC44520" w:rsidTr="00627FFD">
        <w:trPr>
          <w:tblCellSpacing w:w="0" w:type="dxa"/>
        </w:trPr>
        <w:tc>
          <w:tcPr>
            <w:tcW w:w="729" w:type="dxa"/>
            <w:gridSpan w:val="2"/>
            <w:hideMark/>
          </w:tcPr>
          <w:p w14:paraId="6692FD92"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0010</w:t>
            </w:r>
          </w:p>
        </w:tc>
        <w:tc>
          <w:tcPr>
            <w:tcW w:w="8043" w:type="dxa"/>
            <w:hideMark/>
          </w:tcPr>
          <w:p w14:paraId="3016B81C" w14:textId="77777777" w:rsidR="00815E38" w:rsidRPr="007A7826"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A7826">
              <w:rPr>
                <w:rFonts w:ascii="Times New Roman" w:eastAsia="Times New Roman" w:hAnsi="Times New Roman" w:cs="Times New Roman"/>
                <w:b/>
                <w:bCs/>
                <w:color w:val="000000"/>
                <w:kern w:val="0"/>
                <w:lang w:eastAsia="ro-MD"/>
                <w14:ligatures w14:val="none"/>
              </w:rPr>
              <w:t>1. Creanțe totale privind impozitul amânat</w:t>
            </w:r>
          </w:p>
          <w:p w14:paraId="72A1DD7D" w14:textId="74DB2925"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Cuantumul raportat la acest </w:t>
            </w:r>
            <w:r w:rsidR="00BE29AA" w:rsidRPr="00260C32">
              <w:rPr>
                <w:rFonts w:ascii="Times New Roman" w:eastAsia="Times New Roman" w:hAnsi="Times New Roman" w:cs="Times New Roman"/>
                <w:color w:val="000000"/>
                <w:kern w:val="0"/>
                <w:lang w:eastAsia="ro-MD"/>
                <w14:ligatures w14:val="none"/>
              </w:rPr>
              <w:t>p</w:t>
            </w:r>
            <w:r w:rsidR="00BE29AA">
              <w:rPr>
                <w:rFonts w:ascii="Times New Roman" w:eastAsia="Times New Roman" w:hAnsi="Times New Roman" w:cs="Times New Roman"/>
                <w:color w:val="000000"/>
                <w:kern w:val="0"/>
                <w:lang w:eastAsia="ro-MD"/>
                <w14:ligatures w14:val="none"/>
              </w:rPr>
              <w:t>ost</w:t>
            </w:r>
            <w:r w:rsidR="00BE29AA" w:rsidRPr="00260C32">
              <w:rPr>
                <w:rFonts w:ascii="Times New Roman" w:eastAsia="Times New Roman" w:hAnsi="Times New Roman" w:cs="Times New Roman"/>
                <w:color w:val="000000"/>
                <w:kern w:val="0"/>
                <w:lang w:eastAsia="ro-MD"/>
                <w14:ligatures w14:val="none"/>
              </w:rPr>
              <w:t xml:space="preserve"> </w:t>
            </w:r>
            <w:r w:rsidRPr="00260C32">
              <w:rPr>
                <w:rFonts w:ascii="Times New Roman" w:eastAsia="Times New Roman" w:hAnsi="Times New Roman" w:cs="Times New Roman"/>
                <w:color w:val="000000"/>
                <w:kern w:val="0"/>
                <w:lang w:eastAsia="ro-MD"/>
                <w14:ligatures w14:val="none"/>
              </w:rPr>
              <w:t>trebuie să fie egal cu cuantumul înregistrat în cel mai recent bilanț contabil verificat/auditat.</w:t>
            </w:r>
          </w:p>
        </w:tc>
        <w:tc>
          <w:tcPr>
            <w:tcW w:w="713" w:type="dxa"/>
          </w:tcPr>
          <w:p w14:paraId="0D9C9A85"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730751EE" w14:textId="4BE09524" w:rsidTr="00627FFD">
        <w:trPr>
          <w:tblCellSpacing w:w="0" w:type="dxa"/>
        </w:trPr>
        <w:tc>
          <w:tcPr>
            <w:tcW w:w="729" w:type="dxa"/>
            <w:gridSpan w:val="2"/>
            <w:hideMark/>
          </w:tcPr>
          <w:p w14:paraId="0F95CDD2"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0020</w:t>
            </w:r>
          </w:p>
        </w:tc>
        <w:tc>
          <w:tcPr>
            <w:tcW w:w="8043" w:type="dxa"/>
            <w:hideMark/>
          </w:tcPr>
          <w:p w14:paraId="0105A5E5"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1.1. Creanțe privind impozitul amânat care nu se bazează pe profitabilitatea viitoare</w:t>
            </w:r>
          </w:p>
          <w:p w14:paraId="0643D321" w14:textId="05C41C5B"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p>
        </w:tc>
        <w:tc>
          <w:tcPr>
            <w:tcW w:w="713" w:type="dxa"/>
          </w:tcPr>
          <w:p w14:paraId="01C66218" w14:textId="12B65620" w:rsidR="00815E38" w:rsidRPr="00260C32" w:rsidRDefault="00D82150" w:rsidP="006F30A7">
            <w:pPr>
              <w:spacing w:after="0"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blocat</w:t>
            </w:r>
          </w:p>
        </w:tc>
      </w:tr>
      <w:tr w:rsidR="00815E38" w:rsidRPr="00260C32" w14:paraId="7DE2F16F" w14:textId="32ADE84B" w:rsidTr="00627FFD">
        <w:trPr>
          <w:tblCellSpacing w:w="0" w:type="dxa"/>
        </w:trPr>
        <w:tc>
          <w:tcPr>
            <w:tcW w:w="729" w:type="dxa"/>
            <w:gridSpan w:val="2"/>
            <w:hideMark/>
          </w:tcPr>
          <w:p w14:paraId="7ADF1975"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0030</w:t>
            </w:r>
          </w:p>
        </w:tc>
        <w:tc>
          <w:tcPr>
            <w:tcW w:w="8043" w:type="dxa"/>
            <w:hideMark/>
          </w:tcPr>
          <w:p w14:paraId="5BE0A366"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1.2. Creanțe privind impozitul amânat care se bazează pe profitabilitatea viitoare și nu decurg din diferențele temporare</w:t>
            </w:r>
          </w:p>
          <w:p w14:paraId="240B22D3" w14:textId="77777777" w:rsidR="00232DE0"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BB6B1F">
              <w:rPr>
                <w:rFonts w:ascii="Times New Roman" w:eastAsia="Times New Roman" w:hAnsi="Times New Roman" w:cs="Times New Roman"/>
                <w:color w:val="000000"/>
                <w:kern w:val="0"/>
                <w:lang w:eastAsia="ro-MD"/>
                <w14:ligatures w14:val="none"/>
              </w:rPr>
              <w:t xml:space="preserve">Punctul 30 subpunctul 3) </w:t>
            </w:r>
            <w:proofErr w:type="spellStart"/>
            <w:r w:rsidRPr="00BB6B1F">
              <w:rPr>
                <w:rFonts w:ascii="Times New Roman" w:eastAsia="Times New Roman" w:hAnsi="Times New Roman" w:cs="Times New Roman"/>
                <w:color w:val="000000"/>
                <w:kern w:val="0"/>
                <w:lang w:eastAsia="ro-MD"/>
                <w14:ligatures w14:val="none"/>
              </w:rPr>
              <w:t>şi</w:t>
            </w:r>
            <w:proofErr w:type="spellEnd"/>
            <w:r w:rsidRPr="00BB6B1F">
              <w:rPr>
                <w:rFonts w:ascii="Times New Roman" w:eastAsia="Times New Roman" w:hAnsi="Times New Roman" w:cs="Times New Roman"/>
                <w:color w:val="000000"/>
                <w:kern w:val="0"/>
                <w:lang w:eastAsia="ro-MD"/>
                <w14:ligatures w14:val="none"/>
              </w:rPr>
              <w:t xml:space="preserve"> punctele 38-43 din</w:t>
            </w:r>
            <w:r w:rsidRPr="00B46497">
              <w:rPr>
                <w:rFonts w:ascii="Times New Roman" w:eastAsia="Times New Roman" w:hAnsi="Times New Roman" w:cs="Times New Roman"/>
                <w:color w:val="000000"/>
                <w:kern w:val="0"/>
                <w:lang w:eastAsia="ro-MD"/>
                <w14:ligatures w14:val="none"/>
              </w:rPr>
              <w:t xml:space="preserve"> Regulamentul nr.109/2018</w:t>
            </w:r>
            <w:r>
              <w:rPr>
                <w:rFonts w:ascii="Times New Roman" w:eastAsia="Times New Roman" w:hAnsi="Times New Roman" w:cs="Times New Roman"/>
                <w:color w:val="000000"/>
                <w:kern w:val="0"/>
                <w:lang w:eastAsia="ro-MD"/>
                <w14:ligatures w14:val="none"/>
              </w:rPr>
              <w:t xml:space="preserve"> </w:t>
            </w:r>
          </w:p>
          <w:p w14:paraId="3D94508C" w14:textId="22B565B2"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Creanțele privind impozitul amânat care se bazează pe profitabilitatea viitoare, dar nu decurg din diferențele temporare și, prin urmare, nu fac obiectul niciunui prag </w:t>
            </w:r>
            <w:r>
              <w:rPr>
                <w:rFonts w:ascii="Times New Roman" w:eastAsia="Times New Roman" w:hAnsi="Times New Roman" w:cs="Times New Roman"/>
                <w:color w:val="000000"/>
                <w:kern w:val="0"/>
                <w:lang w:eastAsia="ro-MD"/>
                <w14:ligatures w14:val="none"/>
              </w:rPr>
              <w:t>fiind</w:t>
            </w:r>
            <w:r w:rsidRPr="00260C32">
              <w:rPr>
                <w:rFonts w:ascii="Times New Roman" w:eastAsia="Times New Roman" w:hAnsi="Times New Roman" w:cs="Times New Roman"/>
                <w:color w:val="000000"/>
                <w:kern w:val="0"/>
                <w:lang w:eastAsia="ro-MD"/>
                <w14:ligatures w14:val="none"/>
              </w:rPr>
              <w:t xml:space="preserve"> deduse în totalitate din fondurile proprii de nivel 1 de bază.</w:t>
            </w:r>
          </w:p>
        </w:tc>
        <w:tc>
          <w:tcPr>
            <w:tcW w:w="713" w:type="dxa"/>
          </w:tcPr>
          <w:p w14:paraId="54B55A37"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00EF90D2" w14:textId="4C52E013" w:rsidTr="00627FFD">
        <w:trPr>
          <w:tblCellSpacing w:w="0" w:type="dxa"/>
        </w:trPr>
        <w:tc>
          <w:tcPr>
            <w:tcW w:w="729" w:type="dxa"/>
            <w:gridSpan w:val="2"/>
            <w:hideMark/>
          </w:tcPr>
          <w:p w14:paraId="065522B8"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0040</w:t>
            </w:r>
          </w:p>
        </w:tc>
        <w:tc>
          <w:tcPr>
            <w:tcW w:w="8043" w:type="dxa"/>
            <w:hideMark/>
          </w:tcPr>
          <w:p w14:paraId="0B2195D5"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1.3. Creanțe privind impozitul amânat care se bazează pe profitabilitatea viitoare și decurg din diferențele temporare</w:t>
            </w:r>
          </w:p>
          <w:p w14:paraId="09BAFBED" w14:textId="15692340" w:rsidR="00815E38" w:rsidRPr="00B46497" w:rsidRDefault="00815E38" w:rsidP="006F30A7">
            <w:pPr>
              <w:pStyle w:val="lf"/>
              <w:spacing w:before="0" w:beforeAutospacing="0" w:after="0" w:afterAutospacing="0"/>
              <w:rPr>
                <w:color w:val="000000"/>
                <w:sz w:val="22"/>
                <w:szCs w:val="22"/>
              </w:rPr>
            </w:pPr>
            <w:r w:rsidRPr="00B46497">
              <w:rPr>
                <w:color w:val="000000"/>
                <w:sz w:val="22"/>
                <w:szCs w:val="22"/>
              </w:rPr>
              <w:t xml:space="preserve">Punctul 30 subpunctul 3), punctele 38-43 </w:t>
            </w:r>
            <w:proofErr w:type="spellStart"/>
            <w:r w:rsidRPr="00B46497">
              <w:rPr>
                <w:color w:val="000000"/>
                <w:sz w:val="22"/>
                <w:szCs w:val="22"/>
              </w:rPr>
              <w:t>şi</w:t>
            </w:r>
            <w:proofErr w:type="spellEnd"/>
            <w:r w:rsidRPr="00B46497">
              <w:rPr>
                <w:color w:val="000000"/>
                <w:sz w:val="22"/>
                <w:szCs w:val="22"/>
              </w:rPr>
              <w:t xml:space="preserve"> punc</w:t>
            </w:r>
            <w:r w:rsidR="00101F5E">
              <w:rPr>
                <w:color w:val="000000"/>
                <w:sz w:val="22"/>
                <w:szCs w:val="22"/>
              </w:rPr>
              <w:t>tul</w:t>
            </w:r>
            <w:r w:rsidRPr="00B46497">
              <w:rPr>
                <w:color w:val="000000"/>
                <w:sz w:val="22"/>
                <w:szCs w:val="22"/>
              </w:rPr>
              <w:t xml:space="preserve"> 63</w:t>
            </w:r>
            <w:r w:rsidR="00101F5E">
              <w:rPr>
                <w:color w:val="000000"/>
                <w:sz w:val="22"/>
                <w:szCs w:val="22"/>
              </w:rPr>
              <w:t xml:space="preserve"> </w:t>
            </w:r>
            <w:r w:rsidR="00101F5E" w:rsidRPr="00B46497">
              <w:rPr>
                <w:color w:val="000000"/>
                <w:sz w:val="22"/>
                <w:szCs w:val="22"/>
              </w:rPr>
              <w:t>subpunctu</w:t>
            </w:r>
            <w:r w:rsidR="00101F5E">
              <w:rPr>
                <w:color w:val="000000"/>
                <w:sz w:val="22"/>
                <w:szCs w:val="22"/>
              </w:rPr>
              <w:t>l 1)</w:t>
            </w:r>
            <w:r w:rsidRPr="00B46497">
              <w:rPr>
                <w:color w:val="000000"/>
                <w:sz w:val="22"/>
                <w:szCs w:val="22"/>
              </w:rPr>
              <w:t xml:space="preserve"> din </w:t>
            </w:r>
            <w:r>
              <w:rPr>
                <w:color w:val="000000"/>
                <w:sz w:val="22"/>
                <w:szCs w:val="22"/>
              </w:rPr>
              <w:t>Regulamentul nr.109/2018</w:t>
            </w:r>
            <w:r w:rsidRPr="00B46497">
              <w:rPr>
                <w:color w:val="000000"/>
                <w:sz w:val="22"/>
                <w:szCs w:val="22"/>
              </w:rPr>
              <w:t>.</w:t>
            </w:r>
          </w:p>
          <w:p w14:paraId="4F440E90" w14:textId="702C527D"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lastRenderedPageBreak/>
              <w:t xml:space="preserve">Creanțele privind impozitul amânat care se bazează pe profitabilitatea viitoare și decurg din diferențele temporare și, prin urmare, deducerea lor din fondurile proprii de nivel 1 de bază este condiționată de pragurile de 10 % și 17,65 % prevăzute la </w:t>
            </w:r>
            <w:r w:rsidRPr="008C359C">
              <w:rPr>
                <w:rFonts w:ascii="Times New Roman" w:hAnsi="Times New Roman" w:cs="Times New Roman"/>
                <w:color w:val="000000"/>
              </w:rPr>
              <w:t xml:space="preserve">punctele 63-67 din </w:t>
            </w:r>
            <w:r>
              <w:rPr>
                <w:rFonts w:ascii="Times New Roman" w:hAnsi="Times New Roman" w:cs="Times New Roman"/>
                <w:color w:val="000000"/>
              </w:rPr>
              <w:t>Regulamentul nr.109/2018</w:t>
            </w:r>
            <w:r w:rsidRPr="00260C32">
              <w:rPr>
                <w:rFonts w:ascii="Times New Roman" w:eastAsia="Times New Roman" w:hAnsi="Times New Roman" w:cs="Times New Roman"/>
                <w:color w:val="000000"/>
                <w:kern w:val="0"/>
                <w:lang w:eastAsia="ro-MD"/>
                <w14:ligatures w14:val="none"/>
              </w:rPr>
              <w:t>.</w:t>
            </w:r>
          </w:p>
        </w:tc>
        <w:tc>
          <w:tcPr>
            <w:tcW w:w="713" w:type="dxa"/>
          </w:tcPr>
          <w:p w14:paraId="226B088E"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6452360B" w14:textId="7F33E648" w:rsidTr="00627FFD">
        <w:trPr>
          <w:tblCellSpacing w:w="0" w:type="dxa"/>
        </w:trPr>
        <w:tc>
          <w:tcPr>
            <w:tcW w:w="729" w:type="dxa"/>
            <w:gridSpan w:val="2"/>
            <w:hideMark/>
          </w:tcPr>
          <w:p w14:paraId="019367FD"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0050</w:t>
            </w:r>
          </w:p>
        </w:tc>
        <w:tc>
          <w:tcPr>
            <w:tcW w:w="8043" w:type="dxa"/>
            <w:hideMark/>
          </w:tcPr>
          <w:p w14:paraId="0F090205" w14:textId="016E605F" w:rsidR="00815E38" w:rsidRPr="007A7826"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A7826">
              <w:rPr>
                <w:rFonts w:ascii="Times New Roman" w:eastAsia="Times New Roman" w:hAnsi="Times New Roman" w:cs="Times New Roman"/>
                <w:b/>
                <w:bCs/>
                <w:color w:val="000000"/>
                <w:kern w:val="0"/>
                <w:lang w:eastAsia="ro-MD"/>
                <w14:ligatures w14:val="none"/>
              </w:rPr>
              <w:t>2</w:t>
            </w:r>
            <w:r w:rsidR="00CF7D46" w:rsidRPr="007A7826">
              <w:rPr>
                <w:rFonts w:ascii="Times New Roman" w:eastAsia="Times New Roman" w:hAnsi="Times New Roman" w:cs="Times New Roman"/>
                <w:b/>
                <w:bCs/>
                <w:color w:val="000000"/>
                <w:kern w:val="0"/>
                <w:lang w:eastAsia="ro-MD"/>
                <w14:ligatures w14:val="none"/>
              </w:rPr>
              <w:t>.</w:t>
            </w:r>
            <w:r w:rsidRPr="007A7826">
              <w:rPr>
                <w:rFonts w:ascii="Times New Roman" w:eastAsia="Times New Roman" w:hAnsi="Times New Roman" w:cs="Times New Roman"/>
                <w:b/>
                <w:bCs/>
                <w:color w:val="000000"/>
                <w:kern w:val="0"/>
                <w:lang w:eastAsia="ro-MD"/>
                <w14:ligatures w14:val="none"/>
              </w:rPr>
              <w:t> Datorii totale privind impozitul amânat</w:t>
            </w:r>
          </w:p>
          <w:p w14:paraId="679F4620" w14:textId="3D2044CD"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raportat la acest p</w:t>
            </w:r>
            <w:r>
              <w:rPr>
                <w:rFonts w:ascii="Times New Roman" w:eastAsia="Times New Roman" w:hAnsi="Times New Roman" w:cs="Times New Roman"/>
                <w:color w:val="000000"/>
                <w:kern w:val="0"/>
                <w:lang w:eastAsia="ro-MD"/>
                <w14:ligatures w14:val="none"/>
              </w:rPr>
              <w:t>ost</w:t>
            </w:r>
            <w:r w:rsidRPr="00260C32">
              <w:rPr>
                <w:rFonts w:ascii="Times New Roman" w:eastAsia="Times New Roman" w:hAnsi="Times New Roman" w:cs="Times New Roman"/>
                <w:color w:val="000000"/>
                <w:kern w:val="0"/>
                <w:lang w:eastAsia="ro-MD"/>
                <w14:ligatures w14:val="none"/>
              </w:rPr>
              <w:t xml:space="preserve"> trebuie să fie egal cu cuantumul înregistrat în ultimul bilanț contabil verificat/auditat.</w:t>
            </w:r>
          </w:p>
        </w:tc>
        <w:tc>
          <w:tcPr>
            <w:tcW w:w="713" w:type="dxa"/>
          </w:tcPr>
          <w:p w14:paraId="051648ED"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7D2F6740" w14:textId="42F86DCF" w:rsidTr="00627FFD">
        <w:trPr>
          <w:tblCellSpacing w:w="0" w:type="dxa"/>
        </w:trPr>
        <w:tc>
          <w:tcPr>
            <w:tcW w:w="729" w:type="dxa"/>
            <w:gridSpan w:val="2"/>
            <w:hideMark/>
          </w:tcPr>
          <w:p w14:paraId="40F02242"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0060</w:t>
            </w:r>
          </w:p>
        </w:tc>
        <w:tc>
          <w:tcPr>
            <w:tcW w:w="8043" w:type="dxa"/>
            <w:hideMark/>
          </w:tcPr>
          <w:p w14:paraId="575F04C8"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2.1. Datorii privind impozitul amânat care nu sunt deductibile din creanțele privind impozitul amânat care se bazează pe profitabilitatea viitoare</w:t>
            </w:r>
          </w:p>
          <w:p w14:paraId="6C975265" w14:textId="659867D0" w:rsidR="00232DE0"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B46497">
              <w:rPr>
                <w:rFonts w:ascii="Times New Roman" w:eastAsia="Times New Roman" w:hAnsi="Times New Roman" w:cs="Times New Roman"/>
                <w:color w:val="000000"/>
                <w:kern w:val="0"/>
                <w:lang w:eastAsia="ro-MD"/>
                <w14:ligatures w14:val="none"/>
              </w:rPr>
              <w:t xml:space="preserve">Punctele 40 </w:t>
            </w:r>
            <w:proofErr w:type="spellStart"/>
            <w:r w:rsidRPr="00B46497">
              <w:rPr>
                <w:rFonts w:ascii="Times New Roman" w:eastAsia="Times New Roman" w:hAnsi="Times New Roman" w:cs="Times New Roman"/>
                <w:color w:val="000000"/>
                <w:kern w:val="0"/>
                <w:lang w:eastAsia="ro-MD"/>
                <w14:ligatures w14:val="none"/>
              </w:rPr>
              <w:t>şi</w:t>
            </w:r>
            <w:proofErr w:type="spellEnd"/>
            <w:r w:rsidRPr="00B46497">
              <w:rPr>
                <w:rFonts w:ascii="Times New Roman" w:eastAsia="Times New Roman" w:hAnsi="Times New Roman" w:cs="Times New Roman"/>
                <w:color w:val="000000"/>
                <w:kern w:val="0"/>
                <w:lang w:eastAsia="ro-MD"/>
                <w14:ligatures w14:val="none"/>
              </w:rPr>
              <w:t xml:space="preserve"> 41 din </w:t>
            </w:r>
            <w:r>
              <w:rPr>
                <w:rFonts w:ascii="Times New Roman" w:eastAsia="Times New Roman" w:hAnsi="Times New Roman" w:cs="Times New Roman"/>
                <w:color w:val="000000"/>
                <w:kern w:val="0"/>
                <w:lang w:eastAsia="ro-MD"/>
                <w14:ligatures w14:val="none"/>
              </w:rPr>
              <w:t>Regulamentul nr.109/2018</w:t>
            </w:r>
            <w:r w:rsidRPr="00B46497">
              <w:rPr>
                <w:rFonts w:ascii="Times New Roman" w:eastAsia="Times New Roman" w:hAnsi="Times New Roman" w:cs="Times New Roman"/>
                <w:color w:val="000000"/>
                <w:kern w:val="0"/>
                <w:lang w:eastAsia="ro-MD"/>
                <w14:ligatures w14:val="none"/>
              </w:rPr>
              <w:t>.</w:t>
            </w:r>
          </w:p>
          <w:p w14:paraId="14257CBF" w14:textId="42590811"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Datoriile privind impozitul amânat pentru care nu sunt îndeplinite condițiile de la </w:t>
            </w:r>
            <w:r>
              <w:rPr>
                <w:rFonts w:ascii="Times New Roman" w:eastAsia="Times New Roman" w:hAnsi="Times New Roman" w:cs="Times New Roman"/>
                <w:color w:val="000000"/>
                <w:kern w:val="0"/>
                <w:lang w:eastAsia="ro-MD"/>
                <w14:ligatures w14:val="none"/>
              </w:rPr>
              <w:t>p</w:t>
            </w:r>
            <w:r w:rsidRPr="008C359C">
              <w:rPr>
                <w:rFonts w:ascii="Times New Roman" w:eastAsia="Times New Roman" w:hAnsi="Times New Roman" w:cs="Times New Roman"/>
                <w:color w:val="000000"/>
                <w:kern w:val="0"/>
                <w:lang w:eastAsia="ro-MD"/>
                <w14:ligatures w14:val="none"/>
              </w:rPr>
              <w:t xml:space="preserve">unctele 40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41 din </w:t>
            </w:r>
            <w:r>
              <w:rPr>
                <w:rFonts w:ascii="Times New Roman" w:eastAsia="Times New Roman" w:hAnsi="Times New Roman" w:cs="Times New Roman"/>
                <w:color w:val="000000"/>
                <w:kern w:val="0"/>
                <w:lang w:eastAsia="ro-MD"/>
                <w14:ligatures w14:val="none"/>
              </w:rPr>
              <w:t>Regulamentul nr.109/2018</w:t>
            </w:r>
            <w:r w:rsidRPr="00260C32">
              <w:rPr>
                <w:rFonts w:ascii="Times New Roman" w:eastAsia="Times New Roman" w:hAnsi="Times New Roman" w:cs="Times New Roman"/>
                <w:color w:val="000000"/>
                <w:kern w:val="0"/>
                <w:lang w:eastAsia="ro-MD"/>
                <w14:ligatures w14:val="none"/>
              </w:rPr>
              <w:t xml:space="preserve">. Prin urmare, acest </w:t>
            </w:r>
            <w:r>
              <w:rPr>
                <w:rFonts w:ascii="Times New Roman" w:eastAsia="Times New Roman" w:hAnsi="Times New Roman" w:cs="Times New Roman"/>
                <w:color w:val="000000"/>
                <w:kern w:val="0"/>
                <w:lang w:eastAsia="ro-MD"/>
                <w14:ligatures w14:val="none"/>
              </w:rPr>
              <w:t>pos</w:t>
            </w:r>
            <w:r w:rsidRPr="00260C32">
              <w:rPr>
                <w:rFonts w:ascii="Times New Roman" w:eastAsia="Times New Roman" w:hAnsi="Times New Roman" w:cs="Times New Roman"/>
                <w:color w:val="000000"/>
                <w:kern w:val="0"/>
                <w:lang w:eastAsia="ro-MD"/>
                <w14:ligatures w14:val="none"/>
              </w:rPr>
              <w:t xml:space="preserve">t include datoriile privind impozitul amânat care reduc valoarea fondului comercial, precum și alte </w:t>
            </w:r>
            <w:r w:rsidR="00065889">
              <w:rPr>
                <w:rFonts w:ascii="Times New Roman" w:eastAsia="Times New Roman" w:hAnsi="Times New Roman" w:cs="Times New Roman"/>
                <w:color w:val="000000"/>
                <w:kern w:val="0"/>
                <w:lang w:eastAsia="ro-MD"/>
                <w14:ligatures w14:val="none"/>
              </w:rPr>
              <w:t>imobilizări</w:t>
            </w:r>
            <w:r w:rsidRPr="00260C32">
              <w:rPr>
                <w:rFonts w:ascii="Times New Roman" w:eastAsia="Times New Roman" w:hAnsi="Times New Roman" w:cs="Times New Roman"/>
                <w:color w:val="000000"/>
                <w:kern w:val="0"/>
                <w:lang w:eastAsia="ro-MD"/>
                <w14:ligatures w14:val="none"/>
              </w:rPr>
              <w:t xml:space="preserve"> necorporale sau active ale fondului de pensii cu beneficii determinate care trebuie deduse, care sunt raportate </w:t>
            </w:r>
            <w:r>
              <w:rPr>
                <w:rFonts w:ascii="Times New Roman" w:eastAsia="Times New Roman" w:hAnsi="Times New Roman" w:cs="Times New Roman"/>
                <w:color w:val="000000"/>
                <w:kern w:val="0"/>
                <w:lang w:eastAsia="ro-MD"/>
                <w14:ligatures w14:val="none"/>
              </w:rPr>
              <w:t>în posturile</w:t>
            </w:r>
            <w:r w:rsidRPr="00260C32">
              <w:rPr>
                <w:rFonts w:ascii="Times New Roman" w:eastAsia="Times New Roman" w:hAnsi="Times New Roman" w:cs="Times New Roman"/>
                <w:color w:val="000000"/>
                <w:kern w:val="0"/>
                <w:lang w:eastAsia="ro-MD"/>
                <w14:ligatures w14:val="none"/>
              </w:rPr>
              <w:t xml:space="preserve"> 1.1.1.10.3, 1.1.1.11.2 și, respectiv, 1.1.1.14.2 din CA1.</w:t>
            </w:r>
          </w:p>
        </w:tc>
        <w:tc>
          <w:tcPr>
            <w:tcW w:w="713" w:type="dxa"/>
          </w:tcPr>
          <w:p w14:paraId="4F998380"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2836B962" w14:textId="4F56B584" w:rsidTr="00627FFD">
        <w:trPr>
          <w:tblCellSpacing w:w="0" w:type="dxa"/>
        </w:trPr>
        <w:tc>
          <w:tcPr>
            <w:tcW w:w="729" w:type="dxa"/>
            <w:gridSpan w:val="2"/>
            <w:hideMark/>
          </w:tcPr>
          <w:p w14:paraId="1E99077A"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0070</w:t>
            </w:r>
          </w:p>
        </w:tc>
        <w:tc>
          <w:tcPr>
            <w:tcW w:w="8043" w:type="dxa"/>
            <w:hideMark/>
          </w:tcPr>
          <w:p w14:paraId="6FC0854B"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2.2. Datorii privind impozitul amânat care sunt deductibile din creanțele privind impozitul amânat care se bazează pe profitabilitatea viitoare</w:t>
            </w:r>
          </w:p>
          <w:p w14:paraId="47C6945E" w14:textId="1C8BC336"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Pr>
                <w:rFonts w:ascii="Times New Roman" w:eastAsia="Times New Roman" w:hAnsi="Times New Roman" w:cs="Times New Roman"/>
                <w:color w:val="000000"/>
                <w:kern w:val="0"/>
                <w:lang w:eastAsia="ro-MD"/>
                <w14:ligatures w14:val="none"/>
              </w:rPr>
              <w:t>38 - 43</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sidRPr="008C359C">
              <w:rPr>
                <w:rFonts w:ascii="Times New Roman" w:eastAsia="Times New Roman" w:hAnsi="Times New Roman" w:cs="Times New Roman"/>
                <w:color w:val="000000"/>
                <w:kern w:val="0"/>
                <w:lang w:eastAsia="ro-MD"/>
                <w14:ligatures w14:val="none"/>
              </w:rPr>
              <w:t>.</w:t>
            </w:r>
          </w:p>
        </w:tc>
        <w:tc>
          <w:tcPr>
            <w:tcW w:w="713" w:type="dxa"/>
          </w:tcPr>
          <w:p w14:paraId="4C7E77FF"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33E73391" w14:textId="2ACE52D2" w:rsidTr="00627FFD">
        <w:trPr>
          <w:tblCellSpacing w:w="0" w:type="dxa"/>
        </w:trPr>
        <w:tc>
          <w:tcPr>
            <w:tcW w:w="729" w:type="dxa"/>
            <w:gridSpan w:val="2"/>
            <w:hideMark/>
          </w:tcPr>
          <w:p w14:paraId="5672B945"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0080</w:t>
            </w:r>
          </w:p>
        </w:tc>
        <w:tc>
          <w:tcPr>
            <w:tcW w:w="8043" w:type="dxa"/>
            <w:hideMark/>
          </w:tcPr>
          <w:p w14:paraId="0A3A6FA6"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2.2.1. Datorii deductibile privind impozitul amânat asociate creanțelor privind impozitul amânat care se bazează pe profitabilitatea viitoare și nu decurg din diferențele temporare</w:t>
            </w:r>
          </w:p>
          <w:p w14:paraId="3A35D6DD" w14:textId="77777777" w:rsidR="00232DE0"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40 </w:t>
            </w:r>
            <w:r>
              <w:rPr>
                <w:rFonts w:ascii="Times New Roman" w:eastAsia="Times New Roman" w:hAnsi="Times New Roman" w:cs="Times New Roman"/>
                <w:color w:val="000000"/>
                <w:kern w:val="0"/>
                <w:lang w:eastAsia="ro-MD"/>
                <w14:ligatures w14:val="none"/>
              </w:rPr>
              <w:t>-</w:t>
            </w:r>
            <w:r w:rsidRPr="008C359C">
              <w:rPr>
                <w:rFonts w:ascii="Times New Roman" w:eastAsia="Times New Roman" w:hAnsi="Times New Roman" w:cs="Times New Roman"/>
                <w:color w:val="000000"/>
                <w:kern w:val="0"/>
                <w:lang w:eastAsia="ro-MD"/>
                <w14:ligatures w14:val="none"/>
              </w:rPr>
              <w:t xml:space="preserve"> 4</w:t>
            </w:r>
            <w:r>
              <w:rPr>
                <w:rFonts w:ascii="Times New Roman" w:eastAsia="Times New Roman" w:hAnsi="Times New Roman" w:cs="Times New Roman"/>
                <w:color w:val="000000"/>
                <w:kern w:val="0"/>
                <w:lang w:eastAsia="ro-MD"/>
                <w14:ligatures w14:val="none"/>
              </w:rPr>
              <w:t>3</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sidRPr="008C359C">
              <w:rPr>
                <w:rFonts w:ascii="Times New Roman" w:eastAsia="Times New Roman" w:hAnsi="Times New Roman" w:cs="Times New Roman"/>
                <w:color w:val="000000"/>
                <w:kern w:val="0"/>
                <w:lang w:eastAsia="ro-MD"/>
                <w14:ligatures w14:val="none"/>
              </w:rPr>
              <w:t>.</w:t>
            </w:r>
          </w:p>
          <w:p w14:paraId="0AC49DD2" w14:textId="2008AB99"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Datoriile privind impozitul amânat care pot reduce cuantumul creanțelor privind impozitul amânat care se bazează pe profitabilitatea viitoare, în conformitate cu </w:t>
            </w:r>
            <w:r>
              <w:rPr>
                <w:rFonts w:ascii="Times New Roman" w:eastAsia="Times New Roman" w:hAnsi="Times New Roman" w:cs="Times New Roman"/>
                <w:color w:val="000000"/>
                <w:kern w:val="0"/>
                <w:lang w:eastAsia="ro-MD"/>
                <w14:ligatures w14:val="none"/>
              </w:rPr>
              <w:t>p</w:t>
            </w:r>
            <w:r w:rsidRPr="008C359C">
              <w:rPr>
                <w:rFonts w:ascii="Times New Roman" w:eastAsia="Times New Roman" w:hAnsi="Times New Roman" w:cs="Times New Roman"/>
                <w:color w:val="000000"/>
                <w:kern w:val="0"/>
                <w:lang w:eastAsia="ro-MD"/>
                <w14:ligatures w14:val="none"/>
              </w:rPr>
              <w:t xml:space="preserve">unctele 40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41 din </w:t>
            </w:r>
            <w:r>
              <w:rPr>
                <w:rFonts w:ascii="Times New Roman" w:eastAsia="Times New Roman" w:hAnsi="Times New Roman" w:cs="Times New Roman"/>
                <w:color w:val="000000"/>
                <w:kern w:val="0"/>
                <w:lang w:eastAsia="ro-MD"/>
                <w14:ligatures w14:val="none"/>
              </w:rPr>
              <w:t>Regulamentul nr.109/2018</w:t>
            </w:r>
            <w:r w:rsidRPr="008C359C">
              <w:rPr>
                <w:rFonts w:ascii="Times New Roman" w:eastAsia="Times New Roman" w:hAnsi="Times New Roman" w:cs="Times New Roman"/>
                <w:color w:val="000000"/>
                <w:kern w:val="0"/>
                <w:lang w:eastAsia="ro-MD"/>
                <w14:ligatures w14:val="none"/>
              </w:rPr>
              <w:t>.</w:t>
            </w:r>
            <w:r w:rsidRPr="00260C32">
              <w:rPr>
                <w:rFonts w:ascii="Times New Roman" w:eastAsia="Times New Roman" w:hAnsi="Times New Roman" w:cs="Times New Roman"/>
                <w:color w:val="000000"/>
                <w:kern w:val="0"/>
                <w:lang w:eastAsia="ro-MD"/>
                <w14:ligatures w14:val="none"/>
              </w:rPr>
              <w:t xml:space="preserve">, și care nu sunt alocate creanțelor privind impozitul amânat care se bazează pe profitabilitatea viitoare și decurg din diferențele temporare, astfel cum se prevede la </w:t>
            </w:r>
            <w:r>
              <w:rPr>
                <w:rFonts w:ascii="Times New Roman" w:eastAsia="Times New Roman" w:hAnsi="Times New Roman" w:cs="Times New Roman"/>
                <w:color w:val="000000"/>
                <w:kern w:val="0"/>
                <w:lang w:eastAsia="ro-MD"/>
                <w14:ligatures w14:val="none"/>
              </w:rPr>
              <w:t>p</w:t>
            </w:r>
            <w:r w:rsidRPr="008C359C">
              <w:rPr>
                <w:rFonts w:ascii="Times New Roman" w:eastAsia="Times New Roman" w:hAnsi="Times New Roman" w:cs="Times New Roman"/>
                <w:color w:val="000000"/>
                <w:kern w:val="0"/>
                <w:lang w:eastAsia="ro-MD"/>
                <w14:ligatures w14:val="none"/>
              </w:rPr>
              <w:t>unctele 4</w:t>
            </w:r>
            <w:r>
              <w:rPr>
                <w:rFonts w:ascii="Times New Roman" w:eastAsia="Times New Roman" w:hAnsi="Times New Roman" w:cs="Times New Roman"/>
                <w:color w:val="000000"/>
                <w:kern w:val="0"/>
                <w:lang w:eastAsia="ro-MD"/>
                <w14:ligatures w14:val="none"/>
              </w:rPr>
              <w:t>2</w:t>
            </w:r>
            <w:r w:rsidRPr="008C359C">
              <w:rPr>
                <w:rFonts w:ascii="Times New Roman" w:eastAsia="Times New Roman" w:hAnsi="Times New Roman" w:cs="Times New Roman"/>
                <w:color w:val="000000"/>
                <w:kern w:val="0"/>
                <w:lang w:eastAsia="ro-MD"/>
                <w14:ligatures w14:val="none"/>
              </w:rPr>
              <w:t xml:space="preserve">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4</w:t>
            </w:r>
            <w:r>
              <w:rPr>
                <w:rFonts w:ascii="Times New Roman" w:eastAsia="Times New Roman" w:hAnsi="Times New Roman" w:cs="Times New Roman"/>
                <w:color w:val="000000"/>
                <w:kern w:val="0"/>
                <w:lang w:eastAsia="ro-MD"/>
                <w14:ligatures w14:val="none"/>
              </w:rPr>
              <w:t>3</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sidRPr="008C359C">
              <w:rPr>
                <w:rFonts w:ascii="Times New Roman" w:eastAsia="Times New Roman" w:hAnsi="Times New Roman" w:cs="Times New Roman"/>
                <w:color w:val="000000"/>
                <w:kern w:val="0"/>
                <w:lang w:eastAsia="ro-MD"/>
                <w14:ligatures w14:val="none"/>
              </w:rPr>
              <w:t>.</w:t>
            </w:r>
          </w:p>
        </w:tc>
        <w:tc>
          <w:tcPr>
            <w:tcW w:w="713" w:type="dxa"/>
          </w:tcPr>
          <w:p w14:paraId="484C0C51"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FFB9007" w14:textId="28816AF3" w:rsidTr="00627FFD">
        <w:trPr>
          <w:tblCellSpacing w:w="0" w:type="dxa"/>
        </w:trPr>
        <w:tc>
          <w:tcPr>
            <w:tcW w:w="729" w:type="dxa"/>
            <w:gridSpan w:val="2"/>
            <w:hideMark/>
          </w:tcPr>
          <w:p w14:paraId="47B216F2"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0090</w:t>
            </w:r>
          </w:p>
        </w:tc>
        <w:tc>
          <w:tcPr>
            <w:tcW w:w="8043" w:type="dxa"/>
            <w:hideMark/>
          </w:tcPr>
          <w:p w14:paraId="16271084"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2.2.2. Datorii deductibile privind impozitul amânat asociate creanțelor privind impozitul amânat care se bazează pe profitabilitatea viitoare și decurg din diferențele temporare</w:t>
            </w:r>
          </w:p>
          <w:p w14:paraId="0A8F57A0" w14:textId="77777777" w:rsidR="00232DE0"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40 </w:t>
            </w:r>
            <w:r>
              <w:rPr>
                <w:rFonts w:ascii="Times New Roman" w:eastAsia="Times New Roman" w:hAnsi="Times New Roman" w:cs="Times New Roman"/>
                <w:color w:val="000000"/>
                <w:kern w:val="0"/>
                <w:lang w:eastAsia="ro-MD"/>
                <w14:ligatures w14:val="none"/>
              </w:rPr>
              <w:t>-</w:t>
            </w:r>
            <w:r w:rsidRPr="008C359C">
              <w:rPr>
                <w:rFonts w:ascii="Times New Roman" w:eastAsia="Times New Roman" w:hAnsi="Times New Roman" w:cs="Times New Roman"/>
                <w:color w:val="000000"/>
                <w:kern w:val="0"/>
                <w:lang w:eastAsia="ro-MD"/>
                <w14:ligatures w14:val="none"/>
              </w:rPr>
              <w:t xml:space="preserve"> 4</w:t>
            </w:r>
            <w:r>
              <w:rPr>
                <w:rFonts w:ascii="Times New Roman" w:eastAsia="Times New Roman" w:hAnsi="Times New Roman" w:cs="Times New Roman"/>
                <w:color w:val="000000"/>
                <w:kern w:val="0"/>
                <w:lang w:eastAsia="ro-MD"/>
                <w14:ligatures w14:val="none"/>
              </w:rPr>
              <w:t>3</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sidRPr="008C359C">
              <w:rPr>
                <w:rFonts w:ascii="Times New Roman" w:eastAsia="Times New Roman" w:hAnsi="Times New Roman" w:cs="Times New Roman"/>
                <w:color w:val="000000"/>
                <w:kern w:val="0"/>
                <w:lang w:eastAsia="ro-MD"/>
                <w14:ligatures w14:val="none"/>
              </w:rPr>
              <w:t>.</w:t>
            </w:r>
          </w:p>
          <w:p w14:paraId="76C3C8CE" w14:textId="1907B15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Datoriile privind impozitul amânat care pot reduce cuantumul creanțelor privind impozitul amânat care se bazează pe profitabilitatea viitoare, în conformitate cu </w:t>
            </w:r>
            <w:r>
              <w:rPr>
                <w:rFonts w:ascii="Times New Roman" w:eastAsia="Times New Roman" w:hAnsi="Times New Roman" w:cs="Times New Roman"/>
                <w:color w:val="000000"/>
                <w:kern w:val="0"/>
                <w:lang w:eastAsia="ro-MD"/>
                <w14:ligatures w14:val="none"/>
              </w:rPr>
              <w:t>p</w:t>
            </w:r>
            <w:r w:rsidRPr="008C359C">
              <w:rPr>
                <w:rFonts w:ascii="Times New Roman" w:eastAsia="Times New Roman" w:hAnsi="Times New Roman" w:cs="Times New Roman"/>
                <w:color w:val="000000"/>
                <w:kern w:val="0"/>
                <w:lang w:eastAsia="ro-MD"/>
                <w14:ligatures w14:val="none"/>
              </w:rPr>
              <w:t xml:space="preserve">unctele 40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41 din </w:t>
            </w:r>
            <w:r>
              <w:rPr>
                <w:rFonts w:ascii="Times New Roman" w:eastAsia="Times New Roman" w:hAnsi="Times New Roman" w:cs="Times New Roman"/>
                <w:color w:val="000000"/>
                <w:kern w:val="0"/>
                <w:lang w:eastAsia="ro-MD"/>
                <w14:ligatures w14:val="none"/>
              </w:rPr>
              <w:t>Regulamentul nr.109/2018</w:t>
            </w:r>
            <w:r w:rsidRPr="00260C32">
              <w:rPr>
                <w:rFonts w:ascii="Times New Roman" w:eastAsia="Times New Roman" w:hAnsi="Times New Roman" w:cs="Times New Roman"/>
                <w:color w:val="000000"/>
                <w:kern w:val="0"/>
                <w:lang w:eastAsia="ro-MD"/>
                <w14:ligatures w14:val="none"/>
              </w:rPr>
              <w:t xml:space="preserve">, și care sunt alocate creanțelor privind impozitul amânat care se bazează pe profitabilitatea viitoare și decurg din diferențele temporare, astfel cum se prevede la </w:t>
            </w:r>
            <w:r>
              <w:rPr>
                <w:rFonts w:ascii="Times New Roman" w:eastAsia="Times New Roman" w:hAnsi="Times New Roman" w:cs="Times New Roman"/>
                <w:color w:val="000000"/>
                <w:kern w:val="0"/>
                <w:lang w:eastAsia="ro-MD"/>
                <w14:ligatures w14:val="none"/>
              </w:rPr>
              <w:t>p</w:t>
            </w:r>
            <w:r w:rsidRPr="008C359C">
              <w:rPr>
                <w:rFonts w:ascii="Times New Roman" w:eastAsia="Times New Roman" w:hAnsi="Times New Roman" w:cs="Times New Roman"/>
                <w:color w:val="000000"/>
                <w:kern w:val="0"/>
                <w:lang w:eastAsia="ro-MD"/>
                <w14:ligatures w14:val="none"/>
              </w:rPr>
              <w:t>unctele 4</w:t>
            </w:r>
            <w:r>
              <w:rPr>
                <w:rFonts w:ascii="Times New Roman" w:eastAsia="Times New Roman" w:hAnsi="Times New Roman" w:cs="Times New Roman"/>
                <w:color w:val="000000"/>
                <w:kern w:val="0"/>
                <w:lang w:eastAsia="ro-MD"/>
                <w14:ligatures w14:val="none"/>
              </w:rPr>
              <w:t>2</w:t>
            </w:r>
            <w:r w:rsidRPr="008C359C">
              <w:rPr>
                <w:rFonts w:ascii="Times New Roman" w:eastAsia="Times New Roman" w:hAnsi="Times New Roman" w:cs="Times New Roman"/>
                <w:color w:val="000000"/>
                <w:kern w:val="0"/>
                <w:lang w:eastAsia="ro-MD"/>
                <w14:ligatures w14:val="none"/>
              </w:rPr>
              <w:t xml:space="preserve">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4</w:t>
            </w:r>
            <w:r>
              <w:rPr>
                <w:rFonts w:ascii="Times New Roman" w:eastAsia="Times New Roman" w:hAnsi="Times New Roman" w:cs="Times New Roman"/>
                <w:color w:val="000000"/>
                <w:kern w:val="0"/>
                <w:lang w:eastAsia="ro-MD"/>
                <w14:ligatures w14:val="none"/>
              </w:rPr>
              <w:t>3</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sidRPr="008C359C">
              <w:rPr>
                <w:rFonts w:ascii="Times New Roman" w:eastAsia="Times New Roman" w:hAnsi="Times New Roman" w:cs="Times New Roman"/>
                <w:color w:val="000000"/>
                <w:kern w:val="0"/>
                <w:lang w:eastAsia="ro-MD"/>
                <w14:ligatures w14:val="none"/>
              </w:rPr>
              <w:t>.</w:t>
            </w:r>
          </w:p>
        </w:tc>
        <w:tc>
          <w:tcPr>
            <w:tcW w:w="713" w:type="dxa"/>
          </w:tcPr>
          <w:p w14:paraId="07F0B8DC"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6B7D115B" w14:textId="38F07576" w:rsidTr="00627FFD">
        <w:trPr>
          <w:tblCellSpacing w:w="0" w:type="dxa"/>
        </w:trPr>
        <w:tc>
          <w:tcPr>
            <w:tcW w:w="729" w:type="dxa"/>
            <w:gridSpan w:val="2"/>
            <w:hideMark/>
          </w:tcPr>
          <w:p w14:paraId="00D14CDD"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0093</w:t>
            </w:r>
          </w:p>
        </w:tc>
        <w:tc>
          <w:tcPr>
            <w:tcW w:w="8043" w:type="dxa"/>
            <w:hideMark/>
          </w:tcPr>
          <w:p w14:paraId="787E7879" w14:textId="21D9A74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2A</w:t>
            </w:r>
            <w:r w:rsidR="00FC0053" w:rsidRPr="003E721D">
              <w:rPr>
                <w:rFonts w:ascii="Times New Roman" w:eastAsia="Times New Roman" w:hAnsi="Times New Roman" w:cs="Times New Roman"/>
                <w:b/>
                <w:bCs/>
                <w:color w:val="000000"/>
                <w:kern w:val="0"/>
                <w:lang w:eastAsia="ro-MD"/>
                <w14:ligatures w14:val="none"/>
              </w:rPr>
              <w:t>.</w:t>
            </w:r>
            <w:r w:rsidRPr="003E721D">
              <w:rPr>
                <w:rFonts w:ascii="Times New Roman" w:eastAsia="Times New Roman" w:hAnsi="Times New Roman" w:cs="Times New Roman"/>
                <w:b/>
                <w:bCs/>
                <w:color w:val="000000"/>
                <w:kern w:val="0"/>
                <w:lang w:eastAsia="ro-MD"/>
                <w14:ligatures w14:val="none"/>
              </w:rPr>
              <w:t> Plăți excedentare de impozite și pierderi fiscale reportate la exercițiile financiare anterioare</w:t>
            </w:r>
          </w:p>
          <w:p w14:paraId="7824F400" w14:textId="77777777" w:rsidR="00232DE0" w:rsidRDefault="00FC0053" w:rsidP="006F30A7">
            <w:pPr>
              <w:spacing w:after="0" w:line="240" w:lineRule="auto"/>
              <w:rPr>
                <w:rFonts w:ascii="Times New Roman" w:eastAsia="Times New Roman" w:hAnsi="Times New Roman" w:cs="Times New Roman"/>
                <w:color w:val="000000"/>
                <w:kern w:val="0"/>
                <w:lang w:eastAsia="ro-MD"/>
                <w14:ligatures w14:val="none"/>
              </w:rPr>
            </w:pPr>
            <w:r w:rsidRPr="00BB6B1F">
              <w:rPr>
                <w:rFonts w:ascii="Times New Roman" w:eastAsia="Times New Roman" w:hAnsi="Times New Roman" w:cs="Times New Roman"/>
                <w:color w:val="000000"/>
                <w:kern w:val="0"/>
                <w:lang w:eastAsia="ro-MD"/>
                <w14:ligatures w14:val="none"/>
              </w:rPr>
              <w:t xml:space="preserve"> Punctul </w:t>
            </w:r>
            <w:r>
              <w:rPr>
                <w:rFonts w:ascii="Times New Roman" w:eastAsia="Times New Roman" w:hAnsi="Times New Roman" w:cs="Times New Roman"/>
                <w:color w:val="000000"/>
                <w:kern w:val="0"/>
                <w:lang w:eastAsia="ro-MD"/>
                <w14:ligatures w14:val="none"/>
              </w:rPr>
              <w:t>46 di</w:t>
            </w:r>
            <w:r w:rsidRPr="00BB6B1F">
              <w:rPr>
                <w:rFonts w:ascii="Times New Roman" w:eastAsia="Times New Roman" w:hAnsi="Times New Roman" w:cs="Times New Roman"/>
                <w:color w:val="000000"/>
                <w:kern w:val="0"/>
                <w:lang w:eastAsia="ro-MD"/>
                <w14:ligatures w14:val="none"/>
              </w:rPr>
              <w:t>n</w:t>
            </w:r>
            <w:r w:rsidRPr="00B46497">
              <w:rPr>
                <w:rFonts w:ascii="Times New Roman" w:eastAsia="Times New Roman" w:hAnsi="Times New Roman" w:cs="Times New Roman"/>
                <w:color w:val="000000"/>
                <w:kern w:val="0"/>
                <w:lang w:eastAsia="ro-MD"/>
                <w14:ligatures w14:val="none"/>
              </w:rPr>
              <w:t xml:space="preserve"> Regulamentul nr.109/2018</w:t>
            </w:r>
          </w:p>
          <w:p w14:paraId="14F3E3F6" w14:textId="53BF978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plăților excedentare de impozite și al pierderilor fiscale reportate la exercițiile financiare anterioare care nu este dedus din fondurile proprii, în conformitate cu</w:t>
            </w:r>
            <w:r w:rsidR="00FC0053">
              <w:rPr>
                <w:rFonts w:ascii="Times New Roman" w:eastAsia="Times New Roman" w:hAnsi="Times New Roman" w:cs="Times New Roman"/>
                <w:color w:val="000000"/>
                <w:kern w:val="0"/>
                <w:lang w:eastAsia="ro-MD"/>
                <w14:ligatures w14:val="none"/>
              </w:rPr>
              <w:t xml:space="preserve"> p</w:t>
            </w:r>
            <w:r w:rsidR="00FC0053" w:rsidRPr="00BB6B1F">
              <w:rPr>
                <w:rFonts w:ascii="Times New Roman" w:eastAsia="Times New Roman" w:hAnsi="Times New Roman" w:cs="Times New Roman"/>
                <w:color w:val="000000"/>
                <w:kern w:val="0"/>
                <w:lang w:eastAsia="ro-MD"/>
                <w14:ligatures w14:val="none"/>
              </w:rPr>
              <w:t xml:space="preserve">unctul </w:t>
            </w:r>
            <w:r w:rsidR="00FC0053">
              <w:rPr>
                <w:rFonts w:ascii="Times New Roman" w:eastAsia="Times New Roman" w:hAnsi="Times New Roman" w:cs="Times New Roman"/>
                <w:color w:val="000000"/>
                <w:kern w:val="0"/>
                <w:lang w:eastAsia="ro-MD"/>
                <w14:ligatures w14:val="none"/>
              </w:rPr>
              <w:t>46 di</w:t>
            </w:r>
            <w:r w:rsidR="00FC0053" w:rsidRPr="00BB6B1F">
              <w:rPr>
                <w:rFonts w:ascii="Times New Roman" w:eastAsia="Times New Roman" w:hAnsi="Times New Roman" w:cs="Times New Roman"/>
                <w:color w:val="000000"/>
                <w:kern w:val="0"/>
                <w:lang w:eastAsia="ro-MD"/>
                <w14:ligatures w14:val="none"/>
              </w:rPr>
              <w:t>n</w:t>
            </w:r>
            <w:r w:rsidR="00FC0053" w:rsidRPr="00B46497">
              <w:rPr>
                <w:rFonts w:ascii="Times New Roman" w:eastAsia="Times New Roman" w:hAnsi="Times New Roman" w:cs="Times New Roman"/>
                <w:color w:val="000000"/>
                <w:kern w:val="0"/>
                <w:lang w:eastAsia="ro-MD"/>
                <w14:ligatures w14:val="none"/>
              </w:rPr>
              <w:t xml:space="preserve"> Regulamentul nr.109/2018</w:t>
            </w:r>
            <w:r w:rsidRPr="00260C32">
              <w:rPr>
                <w:rFonts w:ascii="Times New Roman" w:eastAsia="Times New Roman" w:hAnsi="Times New Roman" w:cs="Times New Roman"/>
                <w:color w:val="000000"/>
                <w:kern w:val="0"/>
                <w:lang w:eastAsia="ro-MD"/>
                <w14:ligatures w14:val="none"/>
              </w:rPr>
              <w:t>; cuantumul raportat este cuantumul înainte de aplicarea ponderilor de risc.</w:t>
            </w:r>
          </w:p>
        </w:tc>
        <w:tc>
          <w:tcPr>
            <w:tcW w:w="713" w:type="dxa"/>
          </w:tcPr>
          <w:p w14:paraId="7BD709C7"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CB6594B" w14:textId="039F164D" w:rsidTr="00627FFD">
        <w:trPr>
          <w:tblCellSpacing w:w="0" w:type="dxa"/>
        </w:trPr>
        <w:tc>
          <w:tcPr>
            <w:tcW w:w="729" w:type="dxa"/>
            <w:gridSpan w:val="2"/>
            <w:hideMark/>
          </w:tcPr>
          <w:p w14:paraId="380FCAB8"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0096</w:t>
            </w:r>
          </w:p>
        </w:tc>
        <w:tc>
          <w:tcPr>
            <w:tcW w:w="8043" w:type="dxa"/>
            <w:hideMark/>
          </w:tcPr>
          <w:p w14:paraId="50E0B5A8" w14:textId="09F6546C"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2B</w:t>
            </w:r>
            <w:r w:rsidR="00FC0053" w:rsidRPr="003E721D">
              <w:rPr>
                <w:rFonts w:ascii="Times New Roman" w:eastAsia="Times New Roman" w:hAnsi="Times New Roman" w:cs="Times New Roman"/>
                <w:b/>
                <w:bCs/>
                <w:color w:val="000000"/>
                <w:kern w:val="0"/>
                <w:lang w:eastAsia="ro-MD"/>
                <w14:ligatures w14:val="none"/>
              </w:rPr>
              <w:t>.</w:t>
            </w:r>
            <w:r w:rsidRPr="003E721D">
              <w:rPr>
                <w:rFonts w:ascii="Times New Roman" w:eastAsia="Times New Roman" w:hAnsi="Times New Roman" w:cs="Times New Roman"/>
                <w:b/>
                <w:bCs/>
                <w:color w:val="000000"/>
                <w:kern w:val="0"/>
                <w:lang w:eastAsia="ro-MD"/>
                <w14:ligatures w14:val="none"/>
              </w:rPr>
              <w:t> Creanțe privind impozitul amânat supuse unei ponderi de risc de 250 %</w:t>
            </w:r>
          </w:p>
          <w:p w14:paraId="47FB1EB7" w14:textId="77777777" w:rsidR="00232DE0" w:rsidRPr="003E721D" w:rsidRDefault="00FC0053" w:rsidP="006F30A7">
            <w:pPr>
              <w:spacing w:after="0" w:line="240" w:lineRule="auto"/>
              <w:rPr>
                <w:rFonts w:ascii="Times New Roman" w:eastAsia="Times New Roman" w:hAnsi="Times New Roman" w:cs="Times New Roman"/>
                <w:color w:val="000000"/>
                <w:kern w:val="0"/>
                <w:lang w:eastAsia="ro-MD"/>
                <w14:ligatures w14:val="none"/>
              </w:rPr>
            </w:pPr>
            <w:r w:rsidRPr="003E721D">
              <w:rPr>
                <w:rFonts w:ascii="Times New Roman" w:eastAsia="Times New Roman" w:hAnsi="Times New Roman" w:cs="Times New Roman"/>
                <w:color w:val="000000"/>
                <w:kern w:val="0"/>
                <w:lang w:eastAsia="ro-MD"/>
                <w14:ligatures w14:val="none"/>
              </w:rPr>
              <w:t xml:space="preserve">Punctul </w:t>
            </w:r>
            <w:r w:rsidR="00251A57" w:rsidRPr="003E721D">
              <w:rPr>
                <w:rFonts w:ascii="Times New Roman" w:eastAsia="Times New Roman" w:hAnsi="Times New Roman" w:cs="Times New Roman"/>
                <w:color w:val="000000"/>
                <w:kern w:val="0"/>
                <w:lang w:eastAsia="ro-MD"/>
                <w14:ligatures w14:val="none"/>
              </w:rPr>
              <w:t>67</w:t>
            </w:r>
            <w:r w:rsidRPr="003E721D">
              <w:rPr>
                <w:rFonts w:ascii="Times New Roman" w:eastAsia="Times New Roman" w:hAnsi="Times New Roman" w:cs="Times New Roman"/>
                <w:color w:val="000000"/>
                <w:kern w:val="0"/>
                <w:lang w:eastAsia="ro-MD"/>
                <w14:ligatures w14:val="none"/>
              </w:rPr>
              <w:t xml:space="preserve"> din Regulamentul nr.109/2018</w:t>
            </w:r>
          </w:p>
          <w:p w14:paraId="5236375F" w14:textId="77777777" w:rsidR="00E81DF0"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Cuantumul creanțelor privind impozitul amânat care depind de profitabilitatea viitoare și decurg din diferențe temporare și care nu sunt deduse în temeiul </w:t>
            </w:r>
            <w:r w:rsidR="00BC2C56">
              <w:rPr>
                <w:rFonts w:ascii="Times New Roman" w:eastAsia="Times New Roman" w:hAnsi="Times New Roman" w:cs="Times New Roman"/>
                <w:color w:val="000000"/>
                <w:kern w:val="0"/>
                <w:lang w:eastAsia="ro-MD"/>
                <w14:ligatures w14:val="none"/>
              </w:rPr>
              <w:t>p</w:t>
            </w:r>
            <w:r w:rsidR="00BC2C56" w:rsidRPr="00BB6B1F">
              <w:rPr>
                <w:rFonts w:ascii="Times New Roman" w:eastAsia="Times New Roman" w:hAnsi="Times New Roman" w:cs="Times New Roman"/>
                <w:color w:val="000000"/>
                <w:kern w:val="0"/>
                <w:lang w:eastAsia="ro-MD"/>
                <w14:ligatures w14:val="none"/>
              </w:rPr>
              <w:t>unctul</w:t>
            </w:r>
            <w:r w:rsidR="00BC2C56">
              <w:rPr>
                <w:rFonts w:ascii="Times New Roman" w:eastAsia="Times New Roman" w:hAnsi="Times New Roman" w:cs="Times New Roman"/>
                <w:color w:val="000000"/>
                <w:kern w:val="0"/>
                <w:lang w:eastAsia="ro-MD"/>
                <w14:ligatures w14:val="none"/>
              </w:rPr>
              <w:t>ui</w:t>
            </w:r>
            <w:r w:rsidR="00BC2C56" w:rsidRPr="00BB6B1F">
              <w:rPr>
                <w:rFonts w:ascii="Times New Roman" w:eastAsia="Times New Roman" w:hAnsi="Times New Roman" w:cs="Times New Roman"/>
                <w:color w:val="000000"/>
                <w:kern w:val="0"/>
                <w:lang w:eastAsia="ro-MD"/>
                <w14:ligatures w14:val="none"/>
              </w:rPr>
              <w:t xml:space="preserve"> </w:t>
            </w:r>
            <w:r w:rsidR="00BC2C56">
              <w:rPr>
                <w:rFonts w:ascii="Times New Roman" w:eastAsia="Times New Roman" w:hAnsi="Times New Roman" w:cs="Times New Roman"/>
                <w:color w:val="000000"/>
                <w:kern w:val="0"/>
                <w:lang w:eastAsia="ro-MD"/>
                <w14:ligatures w14:val="none"/>
              </w:rPr>
              <w:t>63 di</w:t>
            </w:r>
            <w:r w:rsidR="00BC2C56" w:rsidRPr="00BB6B1F">
              <w:rPr>
                <w:rFonts w:ascii="Times New Roman" w:eastAsia="Times New Roman" w:hAnsi="Times New Roman" w:cs="Times New Roman"/>
                <w:color w:val="000000"/>
                <w:kern w:val="0"/>
                <w:lang w:eastAsia="ro-MD"/>
                <w14:ligatures w14:val="none"/>
              </w:rPr>
              <w:t>n</w:t>
            </w:r>
            <w:r w:rsidR="00BC2C56" w:rsidRPr="00B46497">
              <w:rPr>
                <w:rFonts w:ascii="Times New Roman" w:eastAsia="Times New Roman" w:hAnsi="Times New Roman" w:cs="Times New Roman"/>
                <w:color w:val="000000"/>
                <w:kern w:val="0"/>
                <w:lang w:eastAsia="ro-MD"/>
                <w14:ligatures w14:val="none"/>
              </w:rPr>
              <w:t xml:space="preserve"> Regulamentul nr.109/2018</w:t>
            </w:r>
            <w:r w:rsidRPr="00260C32">
              <w:rPr>
                <w:rFonts w:ascii="Times New Roman" w:eastAsia="Times New Roman" w:hAnsi="Times New Roman" w:cs="Times New Roman"/>
                <w:color w:val="000000"/>
                <w:kern w:val="0"/>
                <w:lang w:eastAsia="ro-MD"/>
                <w14:ligatures w14:val="none"/>
              </w:rPr>
              <w:t xml:space="preserve">, dar sunt supuse unei ponderi de risc de 250 % în conformitate cu </w:t>
            </w:r>
            <w:r w:rsidR="00583482">
              <w:rPr>
                <w:rFonts w:ascii="Times New Roman" w:eastAsia="Times New Roman" w:hAnsi="Times New Roman" w:cs="Times New Roman"/>
                <w:color w:val="000000"/>
                <w:kern w:val="0"/>
                <w:lang w:eastAsia="ro-MD"/>
                <w14:ligatures w14:val="none"/>
              </w:rPr>
              <w:t>p</w:t>
            </w:r>
            <w:r w:rsidR="00583482" w:rsidRPr="00BB6B1F">
              <w:rPr>
                <w:rFonts w:ascii="Times New Roman" w:eastAsia="Times New Roman" w:hAnsi="Times New Roman" w:cs="Times New Roman"/>
                <w:color w:val="000000"/>
                <w:kern w:val="0"/>
                <w:lang w:eastAsia="ro-MD"/>
                <w14:ligatures w14:val="none"/>
              </w:rPr>
              <w:t xml:space="preserve">unctul </w:t>
            </w:r>
            <w:r w:rsidR="00583482">
              <w:rPr>
                <w:rFonts w:ascii="Times New Roman" w:eastAsia="Times New Roman" w:hAnsi="Times New Roman" w:cs="Times New Roman"/>
                <w:color w:val="000000"/>
                <w:kern w:val="0"/>
                <w:lang w:eastAsia="ro-MD"/>
                <w14:ligatures w14:val="none"/>
              </w:rPr>
              <w:t>67 di</w:t>
            </w:r>
            <w:r w:rsidR="00583482" w:rsidRPr="00BB6B1F">
              <w:rPr>
                <w:rFonts w:ascii="Times New Roman" w:eastAsia="Times New Roman" w:hAnsi="Times New Roman" w:cs="Times New Roman"/>
                <w:color w:val="000000"/>
                <w:kern w:val="0"/>
                <w:lang w:eastAsia="ro-MD"/>
                <w14:ligatures w14:val="none"/>
              </w:rPr>
              <w:t>n</w:t>
            </w:r>
            <w:r w:rsidR="00583482" w:rsidRPr="00B46497">
              <w:rPr>
                <w:rFonts w:ascii="Times New Roman" w:eastAsia="Times New Roman" w:hAnsi="Times New Roman" w:cs="Times New Roman"/>
                <w:color w:val="000000"/>
                <w:kern w:val="0"/>
                <w:lang w:eastAsia="ro-MD"/>
                <w14:ligatures w14:val="none"/>
              </w:rPr>
              <w:t xml:space="preserve"> Regulamentul nr.109/2018</w:t>
            </w:r>
          </w:p>
          <w:p w14:paraId="0EA0DFCC" w14:textId="69F7604C"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raportat este cuantumul creanțelor privind impozitul amânat înainte de aplicarea ponderii de risc.</w:t>
            </w:r>
          </w:p>
        </w:tc>
        <w:tc>
          <w:tcPr>
            <w:tcW w:w="713" w:type="dxa"/>
          </w:tcPr>
          <w:p w14:paraId="092736F5"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3C739829" w14:textId="40740436" w:rsidTr="00627FFD">
        <w:trPr>
          <w:tblCellSpacing w:w="0" w:type="dxa"/>
        </w:trPr>
        <w:tc>
          <w:tcPr>
            <w:tcW w:w="729" w:type="dxa"/>
            <w:gridSpan w:val="2"/>
            <w:hideMark/>
          </w:tcPr>
          <w:p w14:paraId="0A8C7754"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0097</w:t>
            </w:r>
          </w:p>
        </w:tc>
        <w:tc>
          <w:tcPr>
            <w:tcW w:w="8043" w:type="dxa"/>
            <w:hideMark/>
          </w:tcPr>
          <w:p w14:paraId="4C358672" w14:textId="711698CB" w:rsidR="00815E38" w:rsidRPr="00260C32" w:rsidRDefault="00815E38" w:rsidP="000274C8">
            <w:pPr>
              <w:spacing w:after="0" w:line="240" w:lineRule="auto"/>
              <w:rPr>
                <w:rFonts w:ascii="Times New Roman" w:eastAsia="Times New Roman" w:hAnsi="Times New Roman" w:cs="Times New Roman"/>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2C</w:t>
            </w:r>
            <w:r w:rsidR="00FC0053" w:rsidRPr="003E721D">
              <w:rPr>
                <w:rFonts w:ascii="Times New Roman" w:eastAsia="Times New Roman" w:hAnsi="Times New Roman" w:cs="Times New Roman"/>
                <w:b/>
                <w:bCs/>
                <w:color w:val="000000"/>
                <w:kern w:val="0"/>
                <w:lang w:eastAsia="ro-MD"/>
                <w14:ligatures w14:val="none"/>
              </w:rPr>
              <w:t>.</w:t>
            </w:r>
            <w:r w:rsidRPr="003E721D">
              <w:rPr>
                <w:rFonts w:ascii="Times New Roman" w:eastAsia="Times New Roman" w:hAnsi="Times New Roman" w:cs="Times New Roman"/>
                <w:b/>
                <w:bCs/>
                <w:color w:val="000000"/>
                <w:kern w:val="0"/>
                <w:lang w:eastAsia="ro-MD"/>
                <w14:ligatures w14:val="none"/>
              </w:rPr>
              <w:t> Creanțe privind impozitul amânat supuse unei ponderi de risc de 0 %</w:t>
            </w:r>
          </w:p>
        </w:tc>
        <w:tc>
          <w:tcPr>
            <w:tcW w:w="713" w:type="dxa"/>
          </w:tcPr>
          <w:p w14:paraId="3DD24FBA" w14:textId="520729FA" w:rsidR="00815E38" w:rsidRPr="00260C32" w:rsidRDefault="00D82150" w:rsidP="006F30A7">
            <w:pPr>
              <w:spacing w:after="0"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blocat</w:t>
            </w:r>
          </w:p>
        </w:tc>
      </w:tr>
      <w:tr w:rsidR="00815E38" w:rsidRPr="00492BA4" w14:paraId="63E4808A" w14:textId="484970AE" w:rsidTr="00627FFD">
        <w:trPr>
          <w:tblCellSpacing w:w="0" w:type="dxa"/>
        </w:trPr>
        <w:tc>
          <w:tcPr>
            <w:tcW w:w="729" w:type="dxa"/>
            <w:gridSpan w:val="2"/>
            <w:hideMark/>
          </w:tcPr>
          <w:p w14:paraId="39A12114" w14:textId="77777777" w:rsidR="00815E38" w:rsidRPr="00232DE0"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32DE0">
              <w:rPr>
                <w:rFonts w:ascii="Times New Roman" w:eastAsia="Times New Roman" w:hAnsi="Times New Roman" w:cs="Times New Roman"/>
                <w:color w:val="000000"/>
                <w:kern w:val="0"/>
                <w:lang w:eastAsia="ro-MD"/>
                <w14:ligatures w14:val="none"/>
              </w:rPr>
              <w:t>0901</w:t>
            </w:r>
          </w:p>
        </w:tc>
        <w:tc>
          <w:tcPr>
            <w:tcW w:w="8043" w:type="dxa"/>
            <w:hideMark/>
          </w:tcPr>
          <w:p w14:paraId="4D57D153" w14:textId="77777777" w:rsidR="00232DE0"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2W</w:t>
            </w:r>
            <w:r w:rsidR="00FC0053" w:rsidRPr="003E721D">
              <w:rPr>
                <w:rFonts w:ascii="Times New Roman" w:eastAsia="Times New Roman" w:hAnsi="Times New Roman" w:cs="Times New Roman"/>
                <w:b/>
                <w:bCs/>
                <w:color w:val="000000"/>
                <w:kern w:val="0"/>
                <w:lang w:eastAsia="ro-MD"/>
                <w14:ligatures w14:val="none"/>
              </w:rPr>
              <w:t>.</w:t>
            </w:r>
            <w:r w:rsidRPr="003E721D">
              <w:rPr>
                <w:rFonts w:ascii="Times New Roman" w:eastAsia="Times New Roman" w:hAnsi="Times New Roman" w:cs="Times New Roman"/>
                <w:b/>
                <w:bCs/>
                <w:color w:val="000000"/>
                <w:kern w:val="0"/>
                <w:lang w:eastAsia="ro-MD"/>
                <w14:ligatures w14:val="none"/>
              </w:rPr>
              <w:t> </w:t>
            </w:r>
            <w:r w:rsidR="001B70B0" w:rsidRPr="003E721D">
              <w:rPr>
                <w:rFonts w:ascii="Times New Roman" w:eastAsia="Times New Roman" w:hAnsi="Times New Roman" w:cs="Times New Roman"/>
                <w:b/>
                <w:bCs/>
                <w:color w:val="000000"/>
                <w:kern w:val="0"/>
                <w:lang w:eastAsia="ro-MD"/>
                <w14:ligatures w14:val="none"/>
              </w:rPr>
              <w:t xml:space="preserve">Programe informatice contabilizate drept </w:t>
            </w:r>
            <w:r w:rsidR="00065889" w:rsidRPr="003E721D">
              <w:rPr>
                <w:rFonts w:ascii="Times New Roman" w:eastAsia="Times New Roman" w:hAnsi="Times New Roman" w:cs="Times New Roman"/>
                <w:b/>
                <w:bCs/>
                <w:color w:val="000000"/>
                <w:kern w:val="0"/>
                <w:lang w:eastAsia="ro-MD"/>
                <w14:ligatures w14:val="none"/>
              </w:rPr>
              <w:t>imobilizări</w:t>
            </w:r>
            <w:r w:rsidR="001B70B0" w:rsidRPr="003E721D">
              <w:rPr>
                <w:rFonts w:ascii="Times New Roman" w:eastAsia="Times New Roman" w:hAnsi="Times New Roman" w:cs="Times New Roman"/>
                <w:b/>
                <w:bCs/>
                <w:color w:val="000000"/>
                <w:kern w:val="0"/>
                <w:lang w:eastAsia="ro-MD"/>
                <w14:ligatures w14:val="none"/>
              </w:rPr>
              <w:t xml:space="preserve"> necorporale exceptate de la deducerea din fondurile proprii de nivel 1 de bază</w:t>
            </w:r>
            <w:r w:rsidR="001B70B0" w:rsidRPr="003E721D" w:rsidDel="001B70B0">
              <w:rPr>
                <w:rFonts w:ascii="Times New Roman" w:eastAsia="Times New Roman" w:hAnsi="Times New Roman" w:cs="Times New Roman"/>
                <w:b/>
                <w:bCs/>
                <w:color w:val="000000"/>
                <w:kern w:val="0"/>
                <w:lang w:eastAsia="ro-MD"/>
                <w14:ligatures w14:val="none"/>
              </w:rPr>
              <w:t xml:space="preserve"> </w:t>
            </w:r>
          </w:p>
          <w:p w14:paraId="1CE3A2AD" w14:textId="07406B0F" w:rsidR="00815E38" w:rsidRPr="00492BA4" w:rsidRDefault="00FC0ACC" w:rsidP="006F30A7">
            <w:pPr>
              <w:spacing w:after="0" w:line="240" w:lineRule="auto"/>
              <w:rPr>
                <w:rFonts w:ascii="Times New Roman" w:eastAsia="Times New Roman" w:hAnsi="Times New Roman" w:cs="Times New Roman"/>
                <w:color w:val="000000"/>
                <w:kern w:val="0"/>
                <w:lang w:eastAsia="ro-MD"/>
                <w14:ligatures w14:val="none"/>
              </w:rPr>
            </w:pPr>
            <w:r w:rsidRPr="00492BA4">
              <w:rPr>
                <w:rFonts w:ascii="Times New Roman" w:eastAsia="Times New Roman" w:hAnsi="Times New Roman" w:cs="Times New Roman"/>
                <w:color w:val="000000"/>
                <w:kern w:val="0"/>
                <w:lang w:eastAsia="ro-MD"/>
                <w14:ligatures w14:val="none"/>
              </w:rPr>
              <w:t xml:space="preserve">Punctul 30 subpunctul 2) din Regulamentul nr.109/2018 </w:t>
            </w:r>
            <w:r w:rsidR="00815E38" w:rsidRPr="00492BA4">
              <w:rPr>
                <w:rFonts w:ascii="Times New Roman" w:eastAsia="Times New Roman" w:hAnsi="Times New Roman" w:cs="Times New Roman"/>
                <w:color w:val="000000"/>
                <w:kern w:val="0"/>
                <w:lang w:eastAsia="ro-MD"/>
                <w14:ligatures w14:val="none"/>
              </w:rPr>
              <w:t>Băncile raportează valoarea programelor informatice evaluate în mod prudent exceptate de la deducere.</w:t>
            </w:r>
          </w:p>
        </w:tc>
        <w:tc>
          <w:tcPr>
            <w:tcW w:w="713" w:type="dxa"/>
          </w:tcPr>
          <w:p w14:paraId="4474A272" w14:textId="4CE15D81" w:rsidR="00815E38" w:rsidRPr="00492BA4"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7D196515" w14:textId="4988C415" w:rsidTr="00627FFD">
        <w:trPr>
          <w:tblCellSpacing w:w="0" w:type="dxa"/>
        </w:trPr>
        <w:tc>
          <w:tcPr>
            <w:tcW w:w="729" w:type="dxa"/>
            <w:gridSpan w:val="2"/>
            <w:hideMark/>
          </w:tcPr>
          <w:p w14:paraId="50242917" w14:textId="77777777" w:rsidR="00815E38" w:rsidRPr="00232DE0"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32DE0">
              <w:rPr>
                <w:rFonts w:ascii="Times New Roman" w:eastAsia="Times New Roman" w:hAnsi="Times New Roman" w:cs="Times New Roman"/>
                <w:color w:val="000000"/>
                <w:kern w:val="0"/>
                <w:lang w:eastAsia="ro-MD"/>
                <w14:ligatures w14:val="none"/>
              </w:rPr>
              <w:lastRenderedPageBreak/>
              <w:t>0905</w:t>
            </w:r>
          </w:p>
        </w:tc>
        <w:tc>
          <w:tcPr>
            <w:tcW w:w="8043" w:type="dxa"/>
            <w:hideMark/>
          </w:tcPr>
          <w:p w14:paraId="164933F8" w14:textId="3FED1D4B"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2Y</w:t>
            </w:r>
            <w:r w:rsidR="00FC0053" w:rsidRPr="003E721D">
              <w:rPr>
                <w:rFonts w:ascii="Times New Roman" w:eastAsia="Times New Roman" w:hAnsi="Times New Roman" w:cs="Times New Roman"/>
                <w:b/>
                <w:bCs/>
                <w:color w:val="000000"/>
                <w:kern w:val="0"/>
                <w:lang w:eastAsia="ro-MD"/>
                <w14:ligatures w14:val="none"/>
              </w:rPr>
              <w:t>.</w:t>
            </w:r>
            <w:r w:rsidRPr="003E721D">
              <w:rPr>
                <w:rFonts w:ascii="Times New Roman" w:eastAsia="Times New Roman" w:hAnsi="Times New Roman" w:cs="Times New Roman"/>
                <w:b/>
                <w:bCs/>
                <w:color w:val="000000"/>
                <w:kern w:val="0"/>
                <w:lang w:eastAsia="ro-MD"/>
                <w14:ligatures w14:val="none"/>
              </w:rPr>
              <w:t> Instrumente de fonduri proprii de nivel 1 suplimentar și conturile de prime de emisiune aferente clasificate drept capitaluri proprii în conformitate cu standardele contabile aplicabile</w:t>
            </w:r>
          </w:p>
          <w:p w14:paraId="115B780E"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instrumentelor de fonduri proprii de nivel 1 suplimentar, inclusiv conturile de prime de emisiune aferente care sunt clasificate drept capitaluri proprii în conformitate cu standardul contabil aplicabil.</w:t>
            </w:r>
          </w:p>
        </w:tc>
        <w:tc>
          <w:tcPr>
            <w:tcW w:w="713" w:type="dxa"/>
          </w:tcPr>
          <w:p w14:paraId="1ED73D36"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7031A5BB" w14:textId="42540374" w:rsidTr="00627FFD">
        <w:trPr>
          <w:tblCellSpacing w:w="0" w:type="dxa"/>
        </w:trPr>
        <w:tc>
          <w:tcPr>
            <w:tcW w:w="729" w:type="dxa"/>
            <w:gridSpan w:val="2"/>
            <w:hideMark/>
          </w:tcPr>
          <w:p w14:paraId="5247D914" w14:textId="77777777" w:rsidR="00815E38" w:rsidRPr="00232DE0"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32DE0">
              <w:rPr>
                <w:rFonts w:ascii="Times New Roman" w:eastAsia="Times New Roman" w:hAnsi="Times New Roman" w:cs="Times New Roman"/>
                <w:color w:val="000000"/>
                <w:kern w:val="0"/>
                <w:lang w:eastAsia="ro-MD"/>
                <w14:ligatures w14:val="none"/>
              </w:rPr>
              <w:t>0906</w:t>
            </w:r>
          </w:p>
        </w:tc>
        <w:tc>
          <w:tcPr>
            <w:tcW w:w="8043" w:type="dxa"/>
            <w:hideMark/>
          </w:tcPr>
          <w:p w14:paraId="295FB73F" w14:textId="128E9C3B"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2Z</w:t>
            </w:r>
            <w:r w:rsidR="00FC0053" w:rsidRPr="003E721D">
              <w:rPr>
                <w:rFonts w:ascii="Times New Roman" w:eastAsia="Times New Roman" w:hAnsi="Times New Roman" w:cs="Times New Roman"/>
                <w:b/>
                <w:bCs/>
                <w:color w:val="000000"/>
                <w:kern w:val="0"/>
                <w:lang w:eastAsia="ro-MD"/>
                <w14:ligatures w14:val="none"/>
              </w:rPr>
              <w:t>.</w:t>
            </w:r>
            <w:r w:rsidRPr="003E721D">
              <w:rPr>
                <w:rFonts w:ascii="Times New Roman" w:eastAsia="Times New Roman" w:hAnsi="Times New Roman" w:cs="Times New Roman"/>
                <w:b/>
                <w:bCs/>
                <w:color w:val="000000"/>
                <w:kern w:val="0"/>
                <w:lang w:eastAsia="ro-MD"/>
                <w14:ligatures w14:val="none"/>
              </w:rPr>
              <w:t> Instrumente de fonduri proprii de nivel 1 suplimentar și conturile de prime de emisiune aferente clasificate drept datorii în conformitate cu standardele contabile aplicabile</w:t>
            </w:r>
          </w:p>
          <w:p w14:paraId="5805C3B4" w14:textId="38E28662"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instrumentelor de fonduri proprii de nivel 1 suplimentar, inclusiv conturile de prime de emisiune aferente care sunt clasificate drept datorii în conformitate cu standardul contabil aplicabil.</w:t>
            </w:r>
          </w:p>
        </w:tc>
        <w:tc>
          <w:tcPr>
            <w:tcW w:w="713" w:type="dxa"/>
          </w:tcPr>
          <w:p w14:paraId="2C1553E1"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7214D3A4" w14:textId="493FB74E" w:rsidTr="00627FFD">
        <w:trPr>
          <w:tblCellSpacing w:w="0" w:type="dxa"/>
        </w:trPr>
        <w:tc>
          <w:tcPr>
            <w:tcW w:w="729" w:type="dxa"/>
            <w:gridSpan w:val="2"/>
            <w:hideMark/>
          </w:tcPr>
          <w:p w14:paraId="3BAFF2DE"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0100</w:t>
            </w:r>
          </w:p>
        </w:tc>
        <w:tc>
          <w:tcPr>
            <w:tcW w:w="8043" w:type="dxa"/>
            <w:hideMark/>
          </w:tcPr>
          <w:p w14:paraId="6804F2E8" w14:textId="77777777" w:rsidR="00815E38" w:rsidRPr="007A7826"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A7826">
              <w:rPr>
                <w:rFonts w:ascii="Times New Roman" w:eastAsia="Times New Roman" w:hAnsi="Times New Roman" w:cs="Times New Roman"/>
                <w:b/>
                <w:bCs/>
                <w:color w:val="000000"/>
                <w:kern w:val="0"/>
                <w:lang w:eastAsia="ro-MD"/>
                <w14:ligatures w14:val="none"/>
              </w:rPr>
              <w:t>3. Excedentul (+) sau deficitul (-), în cadrul abordării IRB, al ajustărilor pentru riscul de credit, al ajustărilor de valoare suplimentare și al altor reduceri ale fondurilor proprii față de pierderile așteptate pentru expunerile care nu se află în stare de nerambursare</w:t>
            </w:r>
          </w:p>
          <w:p w14:paraId="20E79A54" w14:textId="6F1261B0" w:rsidR="00815E38" w:rsidRPr="00260C32" w:rsidRDefault="00901161" w:rsidP="006F30A7">
            <w:pPr>
              <w:spacing w:after="0" w:line="240" w:lineRule="auto"/>
              <w:rPr>
                <w:rFonts w:ascii="Times New Roman" w:eastAsia="Times New Roman" w:hAnsi="Times New Roman" w:cs="Times New Roman"/>
                <w:color w:val="000000"/>
                <w:kern w:val="0"/>
                <w:lang w:eastAsia="ro-MD"/>
                <w14:ligatures w14:val="none"/>
              </w:rPr>
            </w:pPr>
            <w:r w:rsidRPr="00BB6B1F">
              <w:rPr>
                <w:rFonts w:ascii="Times New Roman" w:eastAsia="Times New Roman" w:hAnsi="Times New Roman" w:cs="Times New Roman"/>
                <w:color w:val="000000"/>
                <w:kern w:val="0"/>
                <w:lang w:eastAsia="ro-MD"/>
                <w14:ligatures w14:val="none"/>
              </w:rPr>
              <w:t xml:space="preserve">Punctul 30 subpunctul </w:t>
            </w:r>
            <w:r>
              <w:rPr>
                <w:rFonts w:ascii="Times New Roman" w:eastAsia="Times New Roman" w:hAnsi="Times New Roman" w:cs="Times New Roman"/>
                <w:color w:val="000000"/>
                <w:kern w:val="0"/>
                <w:lang w:eastAsia="ro-MD"/>
                <w14:ligatures w14:val="none"/>
              </w:rPr>
              <w:t>3</w:t>
            </w:r>
            <w:r w:rsidRPr="00492BA4">
              <w:rPr>
                <w:rFonts w:ascii="Times New Roman" w:eastAsia="Times New Roman" w:hAnsi="Times New Roman" w:cs="Times New Roman"/>
                <w:color w:val="000000"/>
                <w:kern w:val="0"/>
                <w:vertAlign w:val="superscript"/>
                <w:lang w:eastAsia="ro-MD"/>
                <w14:ligatures w14:val="none"/>
              </w:rPr>
              <w:t>1</w:t>
            </w:r>
            <w:r w:rsidRPr="00BB6B1F">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 xml:space="preserve">și punctul 96 subpunctul 4) </w:t>
            </w:r>
            <w:r w:rsidRPr="00BB6B1F">
              <w:rPr>
                <w:rFonts w:ascii="Times New Roman" w:eastAsia="Times New Roman" w:hAnsi="Times New Roman" w:cs="Times New Roman"/>
                <w:color w:val="000000"/>
                <w:kern w:val="0"/>
                <w:lang w:eastAsia="ro-MD"/>
                <w14:ligatures w14:val="none"/>
              </w:rPr>
              <w:t>din</w:t>
            </w:r>
            <w:r w:rsidRPr="00B46497">
              <w:rPr>
                <w:rFonts w:ascii="Times New Roman" w:eastAsia="Times New Roman" w:hAnsi="Times New Roman" w:cs="Times New Roman"/>
                <w:color w:val="000000"/>
                <w:kern w:val="0"/>
                <w:lang w:eastAsia="ro-MD"/>
                <w14:ligatures w14:val="none"/>
              </w:rPr>
              <w:t xml:space="preserve"> Regulamentul nr.109/2018</w:t>
            </w:r>
            <w:r w:rsidR="00815E38" w:rsidRPr="00260C32">
              <w:rPr>
                <w:rFonts w:ascii="Times New Roman" w:eastAsia="Times New Roman" w:hAnsi="Times New Roman" w:cs="Times New Roman"/>
                <w:color w:val="000000"/>
                <w:kern w:val="0"/>
                <w:lang w:eastAsia="ro-MD"/>
                <w14:ligatures w14:val="none"/>
              </w:rPr>
              <w:t xml:space="preserve">și </w:t>
            </w:r>
            <w:r w:rsidR="00BC0769">
              <w:rPr>
                <w:rFonts w:ascii="Times New Roman" w:eastAsia="Times New Roman" w:hAnsi="Times New Roman" w:cs="Times New Roman"/>
                <w:color w:val="000000"/>
                <w:kern w:val="0"/>
                <w:lang w:eastAsia="ro-MD"/>
                <w14:ligatures w14:val="none"/>
              </w:rPr>
              <w:t xml:space="preserve">punctele 94 – 105  din </w:t>
            </w:r>
            <w:r w:rsidR="00BC0769" w:rsidRPr="00BC0769">
              <w:rPr>
                <w:rFonts w:ascii="Times New Roman" w:eastAsia="Times New Roman" w:hAnsi="Times New Roman" w:cs="Times New Roman"/>
                <w:color w:val="000000"/>
                <w:kern w:val="0"/>
                <w:lang w:eastAsia="ro-MD"/>
                <w14:ligatures w14:val="none"/>
              </w:rPr>
              <w:t xml:space="preserve">Regulamentul privind tratamentul riscului de credit pentru bănci potrivit abordării bazate pe modele interne de rating </w:t>
            </w:r>
          </w:p>
          <w:p w14:paraId="70185F81" w14:textId="34CBC5B3"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Acest element trebuie să fie raportat doar de </w:t>
            </w:r>
            <w:r>
              <w:rPr>
                <w:rFonts w:ascii="Times New Roman" w:eastAsia="Times New Roman" w:hAnsi="Times New Roman" w:cs="Times New Roman"/>
                <w:color w:val="000000"/>
                <w:kern w:val="0"/>
                <w:lang w:eastAsia="ro-MD"/>
                <w14:ligatures w14:val="none"/>
              </w:rPr>
              <w:t>bănci</w:t>
            </w:r>
            <w:r w:rsidRPr="00260C32">
              <w:rPr>
                <w:rFonts w:ascii="Times New Roman" w:eastAsia="Times New Roman" w:hAnsi="Times New Roman" w:cs="Times New Roman"/>
                <w:color w:val="000000"/>
                <w:kern w:val="0"/>
                <w:lang w:eastAsia="ro-MD"/>
                <w14:ligatures w14:val="none"/>
              </w:rPr>
              <w:t>le care aplică abordarea IRB.</w:t>
            </w:r>
          </w:p>
        </w:tc>
        <w:tc>
          <w:tcPr>
            <w:tcW w:w="713" w:type="dxa"/>
          </w:tcPr>
          <w:p w14:paraId="2C67F9A3" w14:textId="25BF3FC9"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9A31D48" w14:textId="2BE0B4F0" w:rsidTr="00627FFD">
        <w:trPr>
          <w:tblCellSpacing w:w="0" w:type="dxa"/>
        </w:trPr>
        <w:tc>
          <w:tcPr>
            <w:tcW w:w="729" w:type="dxa"/>
            <w:gridSpan w:val="2"/>
            <w:hideMark/>
          </w:tcPr>
          <w:p w14:paraId="24083D7B"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0110</w:t>
            </w:r>
          </w:p>
        </w:tc>
        <w:tc>
          <w:tcPr>
            <w:tcW w:w="8043" w:type="dxa"/>
            <w:hideMark/>
          </w:tcPr>
          <w:p w14:paraId="6B2B57BF"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3.1. Total ajustări pentru riscul de credit, ajustări de valoare suplimentare și alte reduceri ale fondurilor proprii care sunt eligibile pentru a fi incluse în calculul cuantumului pierderii așteptate</w:t>
            </w:r>
          </w:p>
          <w:p w14:paraId="301C52D9" w14:textId="4F31563D" w:rsidR="00815E38" w:rsidRPr="00260C32" w:rsidRDefault="00BC0769"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 xml:space="preserve">Punctele 103 – 105  din </w:t>
            </w:r>
            <w:r w:rsidRPr="00BC0769">
              <w:rPr>
                <w:rFonts w:ascii="Times New Roman" w:eastAsia="Times New Roman" w:hAnsi="Times New Roman" w:cs="Times New Roman"/>
                <w:color w:val="000000"/>
                <w:kern w:val="0"/>
                <w:lang w:eastAsia="ro-MD"/>
                <w14:ligatures w14:val="none"/>
              </w:rPr>
              <w:t xml:space="preserve">Regulamentul privind tratamentul riscului de credit pentru bănci potrivit abordării bazate pe modele interne de rating </w:t>
            </w:r>
            <w:r w:rsidR="00815E38" w:rsidRPr="00260C32">
              <w:rPr>
                <w:rFonts w:ascii="Times New Roman" w:eastAsia="Times New Roman" w:hAnsi="Times New Roman" w:cs="Times New Roman"/>
                <w:color w:val="000000"/>
                <w:kern w:val="0"/>
                <w:lang w:eastAsia="ro-MD"/>
                <w14:ligatures w14:val="none"/>
              </w:rPr>
              <w:t xml:space="preserve">Acest element trebuie să fie raportat doar de </w:t>
            </w:r>
            <w:r w:rsidR="00815E38">
              <w:rPr>
                <w:rFonts w:ascii="Times New Roman" w:eastAsia="Times New Roman" w:hAnsi="Times New Roman" w:cs="Times New Roman"/>
                <w:color w:val="000000"/>
                <w:kern w:val="0"/>
                <w:lang w:eastAsia="ro-MD"/>
                <w14:ligatures w14:val="none"/>
              </w:rPr>
              <w:t>bănci</w:t>
            </w:r>
            <w:r w:rsidR="00815E38" w:rsidRPr="00260C32">
              <w:rPr>
                <w:rFonts w:ascii="Times New Roman" w:eastAsia="Times New Roman" w:hAnsi="Times New Roman" w:cs="Times New Roman"/>
                <w:color w:val="000000"/>
                <w:kern w:val="0"/>
                <w:lang w:eastAsia="ro-MD"/>
                <w14:ligatures w14:val="none"/>
              </w:rPr>
              <w:t>le care aplică abordarea IRB.</w:t>
            </w:r>
          </w:p>
        </w:tc>
        <w:tc>
          <w:tcPr>
            <w:tcW w:w="713" w:type="dxa"/>
          </w:tcPr>
          <w:p w14:paraId="668A230B" w14:textId="5EB8B7A4"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2F773276" w14:textId="5C6F3E40" w:rsidTr="00627FFD">
        <w:trPr>
          <w:tblCellSpacing w:w="0" w:type="dxa"/>
        </w:trPr>
        <w:tc>
          <w:tcPr>
            <w:tcW w:w="729" w:type="dxa"/>
            <w:gridSpan w:val="2"/>
            <w:hideMark/>
          </w:tcPr>
          <w:p w14:paraId="11A733D1"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0120</w:t>
            </w:r>
          </w:p>
        </w:tc>
        <w:tc>
          <w:tcPr>
            <w:tcW w:w="8043" w:type="dxa"/>
            <w:hideMark/>
          </w:tcPr>
          <w:p w14:paraId="567B988A"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3.1.1. Ajustări generale pentru riscul de credit</w:t>
            </w:r>
          </w:p>
          <w:p w14:paraId="7FE5D707" w14:textId="2CAD0093" w:rsidR="00815E38" w:rsidRPr="00260C32" w:rsidRDefault="00BD116B"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 xml:space="preserve">Punctele 103 – 105  din </w:t>
            </w:r>
            <w:r w:rsidRPr="00BC0769">
              <w:rPr>
                <w:rFonts w:ascii="Times New Roman" w:eastAsia="Times New Roman" w:hAnsi="Times New Roman" w:cs="Times New Roman"/>
                <w:color w:val="000000"/>
                <w:kern w:val="0"/>
                <w:lang w:eastAsia="ro-MD"/>
                <w14:ligatures w14:val="none"/>
              </w:rPr>
              <w:t xml:space="preserve">Regulamentul privind tratamentul riscului de credit pentru bănci potrivit abordării bazate pe modele interne de </w:t>
            </w:r>
            <w:r w:rsidRPr="00BD116B">
              <w:rPr>
                <w:rFonts w:ascii="Times New Roman" w:eastAsia="Times New Roman" w:hAnsi="Times New Roman" w:cs="Times New Roman"/>
                <w:color w:val="000000"/>
                <w:kern w:val="0"/>
                <w:lang w:eastAsia="ro-MD"/>
                <w14:ligatures w14:val="none"/>
              </w:rPr>
              <w:t xml:space="preserve">rating </w:t>
            </w:r>
            <w:r w:rsidR="00815E38" w:rsidRPr="00260C32">
              <w:rPr>
                <w:rFonts w:ascii="Times New Roman" w:eastAsia="Times New Roman" w:hAnsi="Times New Roman" w:cs="Times New Roman"/>
                <w:color w:val="000000"/>
                <w:kern w:val="0"/>
                <w:lang w:eastAsia="ro-MD"/>
                <w14:ligatures w14:val="none"/>
              </w:rPr>
              <w:t xml:space="preserve">Acest element trebuie să fie raportat doar de </w:t>
            </w:r>
            <w:r w:rsidR="00815E38">
              <w:rPr>
                <w:rFonts w:ascii="Times New Roman" w:eastAsia="Times New Roman" w:hAnsi="Times New Roman" w:cs="Times New Roman"/>
                <w:color w:val="000000"/>
                <w:kern w:val="0"/>
                <w:lang w:eastAsia="ro-MD"/>
                <w14:ligatures w14:val="none"/>
              </w:rPr>
              <w:t>bănci</w:t>
            </w:r>
            <w:r w:rsidR="00815E38" w:rsidRPr="00260C32">
              <w:rPr>
                <w:rFonts w:ascii="Times New Roman" w:eastAsia="Times New Roman" w:hAnsi="Times New Roman" w:cs="Times New Roman"/>
                <w:color w:val="000000"/>
                <w:kern w:val="0"/>
                <w:lang w:eastAsia="ro-MD"/>
                <w14:ligatures w14:val="none"/>
              </w:rPr>
              <w:t>le care aplică abordarea IRB.</w:t>
            </w:r>
          </w:p>
        </w:tc>
        <w:tc>
          <w:tcPr>
            <w:tcW w:w="713" w:type="dxa"/>
          </w:tcPr>
          <w:p w14:paraId="32B4149D" w14:textId="5EF38662"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510F1330" w14:textId="41878C13" w:rsidTr="00627FFD">
        <w:trPr>
          <w:tblCellSpacing w:w="0" w:type="dxa"/>
        </w:trPr>
        <w:tc>
          <w:tcPr>
            <w:tcW w:w="729" w:type="dxa"/>
            <w:gridSpan w:val="2"/>
            <w:hideMark/>
          </w:tcPr>
          <w:p w14:paraId="0AD7A9B8"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0130</w:t>
            </w:r>
          </w:p>
        </w:tc>
        <w:tc>
          <w:tcPr>
            <w:tcW w:w="8043" w:type="dxa"/>
            <w:hideMark/>
          </w:tcPr>
          <w:p w14:paraId="0E96AAF3"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3.1.2. Ajustări specifice pentru riscul de credit</w:t>
            </w:r>
          </w:p>
          <w:p w14:paraId="4B6A88CE" w14:textId="2340A7E8" w:rsidR="00815E38" w:rsidRPr="00260C32" w:rsidRDefault="00BD116B"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 xml:space="preserve">Punctele 103 – 105  din </w:t>
            </w:r>
            <w:r w:rsidRPr="00BC0769">
              <w:rPr>
                <w:rFonts w:ascii="Times New Roman" w:eastAsia="Times New Roman" w:hAnsi="Times New Roman" w:cs="Times New Roman"/>
                <w:color w:val="000000"/>
                <w:kern w:val="0"/>
                <w:lang w:eastAsia="ro-MD"/>
                <w14:ligatures w14:val="none"/>
              </w:rPr>
              <w:t xml:space="preserve">Regulamentul privind tratamentul riscului de credit pentru bănci potrivit abordării bazate pe modele interne de rating </w:t>
            </w:r>
            <w:r w:rsidR="00815E38" w:rsidRPr="00260C32">
              <w:rPr>
                <w:rFonts w:ascii="Times New Roman" w:eastAsia="Times New Roman" w:hAnsi="Times New Roman" w:cs="Times New Roman"/>
                <w:color w:val="000000"/>
                <w:kern w:val="0"/>
                <w:lang w:eastAsia="ro-MD"/>
                <w14:ligatures w14:val="none"/>
              </w:rPr>
              <w:t xml:space="preserve">Acest element trebuie să fie raportat doar de </w:t>
            </w:r>
            <w:r w:rsidR="00815E38">
              <w:rPr>
                <w:rFonts w:ascii="Times New Roman" w:eastAsia="Times New Roman" w:hAnsi="Times New Roman" w:cs="Times New Roman"/>
                <w:color w:val="000000"/>
                <w:kern w:val="0"/>
                <w:lang w:eastAsia="ro-MD"/>
                <w14:ligatures w14:val="none"/>
              </w:rPr>
              <w:t>bănci</w:t>
            </w:r>
            <w:r w:rsidR="00815E38" w:rsidRPr="00260C32">
              <w:rPr>
                <w:rFonts w:ascii="Times New Roman" w:eastAsia="Times New Roman" w:hAnsi="Times New Roman" w:cs="Times New Roman"/>
                <w:color w:val="000000"/>
                <w:kern w:val="0"/>
                <w:lang w:eastAsia="ro-MD"/>
                <w14:ligatures w14:val="none"/>
              </w:rPr>
              <w:t>le care aplică abordarea IRB.</w:t>
            </w:r>
          </w:p>
        </w:tc>
        <w:tc>
          <w:tcPr>
            <w:tcW w:w="713" w:type="dxa"/>
          </w:tcPr>
          <w:p w14:paraId="081581DC" w14:textId="3F774C59"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3F0B3615" w14:textId="3C2376F1" w:rsidTr="00627FFD">
        <w:trPr>
          <w:tblCellSpacing w:w="0" w:type="dxa"/>
        </w:trPr>
        <w:tc>
          <w:tcPr>
            <w:tcW w:w="729" w:type="dxa"/>
            <w:gridSpan w:val="2"/>
            <w:hideMark/>
          </w:tcPr>
          <w:p w14:paraId="4A5FF5CC"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0131</w:t>
            </w:r>
          </w:p>
        </w:tc>
        <w:tc>
          <w:tcPr>
            <w:tcW w:w="8043" w:type="dxa"/>
            <w:hideMark/>
          </w:tcPr>
          <w:p w14:paraId="5E657963"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3.1.3. Ajustări de valoare suplimentare și alte reduceri ale fondurilor proprii</w:t>
            </w:r>
          </w:p>
          <w:p w14:paraId="75EEA27A" w14:textId="5AE0C245" w:rsidR="00815E38" w:rsidRPr="00260C32" w:rsidRDefault="00D8508E" w:rsidP="006F30A7">
            <w:pPr>
              <w:spacing w:after="0"/>
              <w:rPr>
                <w:rFonts w:ascii="Times New Roman" w:eastAsia="Times New Roman" w:hAnsi="Times New Roman" w:cs="Times New Roman"/>
                <w:color w:val="000000"/>
                <w:kern w:val="0"/>
                <w:lang w:eastAsia="ro-MD"/>
                <w14:ligatures w14:val="none"/>
              </w:rPr>
            </w:pPr>
            <w:r w:rsidRPr="00BB6B1F">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 xml:space="preserve">28 </w:t>
            </w:r>
            <w:r w:rsidRPr="00BB6B1F">
              <w:rPr>
                <w:rFonts w:ascii="Times New Roman" w:eastAsia="Times New Roman" w:hAnsi="Times New Roman" w:cs="Times New Roman"/>
                <w:color w:val="000000"/>
                <w:kern w:val="0"/>
                <w:lang w:eastAsia="ro-MD"/>
                <w14:ligatures w14:val="none"/>
              </w:rPr>
              <w:t>din</w:t>
            </w:r>
            <w:r w:rsidRPr="00B46497">
              <w:rPr>
                <w:rFonts w:ascii="Times New Roman" w:eastAsia="Times New Roman" w:hAnsi="Times New Roman" w:cs="Times New Roman"/>
                <w:color w:val="000000"/>
                <w:kern w:val="0"/>
                <w:lang w:eastAsia="ro-MD"/>
                <w14:ligatures w14:val="none"/>
              </w:rPr>
              <w:t xml:space="preserve"> Regulamentul nr.109/2018</w:t>
            </w:r>
            <w:r w:rsidR="00BD116B">
              <w:rPr>
                <w:rFonts w:ascii="Times New Roman" w:eastAsia="Times New Roman" w:hAnsi="Times New Roman" w:cs="Times New Roman"/>
                <w:color w:val="000000"/>
                <w:kern w:val="0"/>
                <w:lang w:eastAsia="ro-MD"/>
                <w14:ligatures w14:val="none"/>
              </w:rPr>
              <w:t xml:space="preserve">, </w:t>
            </w:r>
            <w:r w:rsidR="00CB02D9">
              <w:rPr>
                <w:rFonts w:ascii="Times New Roman" w:eastAsia="Times New Roman" w:hAnsi="Times New Roman" w:cs="Times New Roman"/>
                <w:color w:val="000000"/>
                <w:kern w:val="0"/>
                <w:lang w:eastAsia="ro-MD"/>
                <w14:ligatures w14:val="none"/>
              </w:rPr>
              <w:t xml:space="preserve">punctele 4 și 5 din </w:t>
            </w:r>
            <w:r w:rsidR="00CB02D9" w:rsidRPr="00232DE0">
              <w:rPr>
                <w:rFonts w:ascii="Times New Roman" w:hAnsi="Times New Roman" w:cs="Times New Roman"/>
                <w:bCs/>
                <w:iCs/>
                <w:lang w:val="ro-RO"/>
              </w:rPr>
              <w:t xml:space="preserve">Regulamentul </w:t>
            </w:r>
            <w:r w:rsidR="00CB02D9">
              <w:rPr>
                <w:rFonts w:ascii="Times New Roman" w:hAnsi="Times New Roman" w:cs="Times New Roman"/>
                <w:bCs/>
                <w:iCs/>
                <w:lang w:val="ro-RO"/>
              </w:rPr>
              <w:t xml:space="preserve">nr. 116/2018 </w:t>
            </w:r>
            <w:r w:rsidR="00CB02D9" w:rsidRPr="00232DE0">
              <w:rPr>
                <w:rFonts w:ascii="Times New Roman" w:hAnsi="Times New Roman" w:cs="Times New Roman"/>
                <w:bCs/>
                <w:iCs/>
                <w:lang w:val="ro-RO"/>
              </w:rPr>
              <w:t>cu privire la calculul de către bănci al ajustărilor specifice și al ajustărilor generale pentru riscul de credit</w:t>
            </w:r>
            <w:r w:rsidR="00CB02D9">
              <w:rPr>
                <w:rFonts w:ascii="Times New Roman" w:hAnsi="Times New Roman" w:cs="Times New Roman"/>
                <w:bCs/>
                <w:iCs/>
                <w:lang w:val="ro-RO"/>
              </w:rPr>
              <w:t xml:space="preserve">, </w:t>
            </w:r>
            <w:r w:rsidR="00BD116B">
              <w:rPr>
                <w:rFonts w:ascii="Times New Roman" w:eastAsia="Times New Roman" w:hAnsi="Times New Roman" w:cs="Times New Roman"/>
                <w:color w:val="000000"/>
                <w:kern w:val="0"/>
                <w:lang w:eastAsia="ro-MD"/>
                <w14:ligatures w14:val="none"/>
              </w:rPr>
              <w:t xml:space="preserve">punctele 103 – 105  din </w:t>
            </w:r>
            <w:r w:rsidR="00BD116B" w:rsidRPr="00BC0769">
              <w:rPr>
                <w:rFonts w:ascii="Times New Roman" w:eastAsia="Times New Roman" w:hAnsi="Times New Roman" w:cs="Times New Roman"/>
                <w:color w:val="000000"/>
                <w:kern w:val="0"/>
                <w:lang w:eastAsia="ro-MD"/>
                <w14:ligatures w14:val="none"/>
              </w:rPr>
              <w:t xml:space="preserve">Regulamentul privind tratamentul riscului de credit pentru bănci potrivit abordării bazate pe modele interne de </w:t>
            </w:r>
            <w:r w:rsidR="00BD116B" w:rsidRPr="00AC7E90">
              <w:rPr>
                <w:rFonts w:ascii="Times New Roman" w:eastAsia="Times New Roman" w:hAnsi="Times New Roman" w:cs="Times New Roman"/>
                <w:color w:val="000000"/>
                <w:kern w:val="0"/>
                <w:lang w:eastAsia="ro-MD"/>
                <w14:ligatures w14:val="none"/>
              </w:rPr>
              <w:t>rating</w:t>
            </w:r>
            <w:r w:rsidR="00CB02D9">
              <w:rPr>
                <w:rFonts w:ascii="Times New Roman" w:eastAsia="Times New Roman" w:hAnsi="Times New Roman" w:cs="Times New Roman"/>
                <w:color w:val="000000"/>
                <w:kern w:val="0"/>
                <w:lang w:eastAsia="ro-MD"/>
                <w14:ligatures w14:val="none"/>
              </w:rPr>
              <w:t>.</w:t>
            </w:r>
          </w:p>
          <w:p w14:paraId="5EDC2884" w14:textId="5546CA13"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Acest element trebuie să fie raportat doar de </w:t>
            </w:r>
            <w:r>
              <w:rPr>
                <w:rFonts w:ascii="Times New Roman" w:eastAsia="Times New Roman" w:hAnsi="Times New Roman" w:cs="Times New Roman"/>
                <w:color w:val="000000"/>
                <w:kern w:val="0"/>
                <w:lang w:eastAsia="ro-MD"/>
                <w14:ligatures w14:val="none"/>
              </w:rPr>
              <w:t>bănci</w:t>
            </w:r>
            <w:r w:rsidRPr="00260C32">
              <w:rPr>
                <w:rFonts w:ascii="Times New Roman" w:eastAsia="Times New Roman" w:hAnsi="Times New Roman" w:cs="Times New Roman"/>
                <w:color w:val="000000"/>
                <w:kern w:val="0"/>
                <w:lang w:eastAsia="ro-MD"/>
                <w14:ligatures w14:val="none"/>
              </w:rPr>
              <w:t>le care aplică abordarea IRB.</w:t>
            </w:r>
          </w:p>
        </w:tc>
        <w:tc>
          <w:tcPr>
            <w:tcW w:w="713" w:type="dxa"/>
          </w:tcPr>
          <w:p w14:paraId="3796C0DC" w14:textId="55CF9FA8"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1DF9698" w14:textId="2D719270" w:rsidTr="00627FFD">
        <w:trPr>
          <w:tblCellSpacing w:w="0" w:type="dxa"/>
        </w:trPr>
        <w:tc>
          <w:tcPr>
            <w:tcW w:w="729" w:type="dxa"/>
            <w:gridSpan w:val="2"/>
            <w:hideMark/>
          </w:tcPr>
          <w:p w14:paraId="2C268D36"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0140</w:t>
            </w:r>
          </w:p>
        </w:tc>
        <w:tc>
          <w:tcPr>
            <w:tcW w:w="8043" w:type="dxa"/>
            <w:hideMark/>
          </w:tcPr>
          <w:p w14:paraId="5E041254"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3.2. Pierderile eligibile așteptate totale</w:t>
            </w:r>
          </w:p>
          <w:p w14:paraId="5D4005D1" w14:textId="726064A7" w:rsidR="00815E38" w:rsidRPr="00260C32" w:rsidRDefault="00BD116B"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 xml:space="preserve">Punctele 98-100 și 102 – 105  din </w:t>
            </w:r>
            <w:r w:rsidRPr="00BC0769">
              <w:rPr>
                <w:rFonts w:ascii="Times New Roman" w:eastAsia="Times New Roman" w:hAnsi="Times New Roman" w:cs="Times New Roman"/>
                <w:color w:val="000000"/>
                <w:kern w:val="0"/>
                <w:lang w:eastAsia="ro-MD"/>
                <w14:ligatures w14:val="none"/>
              </w:rPr>
              <w:t xml:space="preserve">Regulamentul privind tratamentul riscului de credit pentru bănci potrivit abordării bazate pe modele interne de </w:t>
            </w:r>
            <w:r w:rsidRPr="00BD116B">
              <w:rPr>
                <w:rFonts w:ascii="Times New Roman" w:eastAsia="Times New Roman" w:hAnsi="Times New Roman" w:cs="Times New Roman"/>
                <w:color w:val="000000"/>
                <w:kern w:val="0"/>
                <w:lang w:eastAsia="ro-MD"/>
                <w14:ligatures w14:val="none"/>
              </w:rPr>
              <w:t>rating</w:t>
            </w:r>
          </w:p>
          <w:p w14:paraId="7C2C12F1" w14:textId="20DBB4D9"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Acest element trebuie să fie raportat doar de </w:t>
            </w:r>
            <w:r>
              <w:rPr>
                <w:rFonts w:ascii="Times New Roman" w:eastAsia="Times New Roman" w:hAnsi="Times New Roman" w:cs="Times New Roman"/>
                <w:color w:val="000000"/>
                <w:kern w:val="0"/>
                <w:lang w:eastAsia="ro-MD"/>
                <w14:ligatures w14:val="none"/>
              </w:rPr>
              <w:t>bănci</w:t>
            </w:r>
            <w:r w:rsidRPr="00260C32">
              <w:rPr>
                <w:rFonts w:ascii="Times New Roman" w:eastAsia="Times New Roman" w:hAnsi="Times New Roman" w:cs="Times New Roman"/>
                <w:color w:val="000000"/>
                <w:kern w:val="0"/>
                <w:lang w:eastAsia="ro-MD"/>
                <w14:ligatures w14:val="none"/>
              </w:rPr>
              <w:t>le care aplică abordarea IRB. Se raportează numai pierderea așteptată legată de expunerile care nu se află în stare de nerambursare.</w:t>
            </w:r>
          </w:p>
        </w:tc>
        <w:tc>
          <w:tcPr>
            <w:tcW w:w="713" w:type="dxa"/>
          </w:tcPr>
          <w:p w14:paraId="790B9658" w14:textId="164A8B10"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6894B3B6" w14:textId="4C93AEFF" w:rsidTr="00627FFD">
        <w:trPr>
          <w:tblCellSpacing w:w="0" w:type="dxa"/>
        </w:trPr>
        <w:tc>
          <w:tcPr>
            <w:tcW w:w="729" w:type="dxa"/>
            <w:gridSpan w:val="2"/>
            <w:hideMark/>
          </w:tcPr>
          <w:p w14:paraId="39A1268D"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0145</w:t>
            </w:r>
          </w:p>
        </w:tc>
        <w:tc>
          <w:tcPr>
            <w:tcW w:w="8043" w:type="dxa"/>
            <w:hideMark/>
          </w:tcPr>
          <w:p w14:paraId="7650C72F" w14:textId="48DC36DF" w:rsidR="00815E38" w:rsidRPr="007A7826"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A7826">
              <w:rPr>
                <w:rFonts w:ascii="Times New Roman" w:eastAsia="Times New Roman" w:hAnsi="Times New Roman" w:cs="Times New Roman"/>
                <w:b/>
                <w:bCs/>
                <w:color w:val="000000"/>
                <w:kern w:val="0"/>
                <w:lang w:eastAsia="ro-MD"/>
                <w14:ligatures w14:val="none"/>
              </w:rPr>
              <w:t>4</w:t>
            </w:r>
            <w:r w:rsidR="0071547F" w:rsidRPr="007A7826">
              <w:rPr>
                <w:rFonts w:ascii="Times New Roman" w:eastAsia="Times New Roman" w:hAnsi="Times New Roman" w:cs="Times New Roman"/>
                <w:b/>
                <w:bCs/>
                <w:color w:val="000000"/>
                <w:kern w:val="0"/>
                <w:lang w:eastAsia="ro-MD"/>
                <w14:ligatures w14:val="none"/>
              </w:rPr>
              <w:t>.</w:t>
            </w:r>
            <w:r w:rsidRPr="007A7826">
              <w:rPr>
                <w:rFonts w:ascii="Times New Roman" w:eastAsia="Times New Roman" w:hAnsi="Times New Roman" w:cs="Times New Roman"/>
                <w:b/>
                <w:bCs/>
                <w:color w:val="000000"/>
                <w:kern w:val="0"/>
                <w:lang w:eastAsia="ro-MD"/>
                <w14:ligatures w14:val="none"/>
              </w:rPr>
              <w:t> Excedentul (+) sau deficitul (-), conform abordării IRB, al ajustărilor specifice pentru riscul de credit față de pierderile așteptate pentru expunerile care se află în stare de nerambursare</w:t>
            </w:r>
          </w:p>
          <w:p w14:paraId="254704E6" w14:textId="77777777" w:rsidR="00232DE0" w:rsidRDefault="001F2840" w:rsidP="006F30A7">
            <w:pPr>
              <w:spacing w:after="0" w:line="240" w:lineRule="auto"/>
              <w:rPr>
                <w:rFonts w:ascii="Times New Roman" w:eastAsia="Times New Roman" w:hAnsi="Times New Roman" w:cs="Times New Roman"/>
                <w:color w:val="000000"/>
                <w:kern w:val="0"/>
                <w:lang w:eastAsia="ro-MD"/>
                <w14:ligatures w14:val="none"/>
              </w:rPr>
            </w:pPr>
            <w:r w:rsidRPr="00BB6B1F">
              <w:rPr>
                <w:rFonts w:ascii="Times New Roman" w:eastAsia="Times New Roman" w:hAnsi="Times New Roman" w:cs="Times New Roman"/>
                <w:color w:val="000000"/>
                <w:kern w:val="0"/>
                <w:lang w:eastAsia="ro-MD"/>
                <w14:ligatures w14:val="none"/>
              </w:rPr>
              <w:t xml:space="preserve">Punctul 30 subpunctul </w:t>
            </w:r>
            <w:r>
              <w:rPr>
                <w:rFonts w:ascii="Times New Roman" w:eastAsia="Times New Roman" w:hAnsi="Times New Roman" w:cs="Times New Roman"/>
                <w:color w:val="000000"/>
                <w:kern w:val="0"/>
                <w:lang w:eastAsia="ro-MD"/>
                <w14:ligatures w14:val="none"/>
              </w:rPr>
              <w:t>3</w:t>
            </w:r>
            <w:r w:rsidRPr="005F3FC9">
              <w:rPr>
                <w:rFonts w:ascii="Times New Roman" w:eastAsia="Times New Roman" w:hAnsi="Times New Roman" w:cs="Times New Roman"/>
                <w:color w:val="000000"/>
                <w:kern w:val="0"/>
                <w:vertAlign w:val="superscript"/>
                <w:lang w:eastAsia="ro-MD"/>
                <w14:ligatures w14:val="none"/>
              </w:rPr>
              <w:t>1</w:t>
            </w:r>
            <w:r w:rsidRPr="00BB6B1F">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 xml:space="preserve">și punctul 96 subpunctul 4) </w:t>
            </w:r>
            <w:r w:rsidRPr="00BB6B1F">
              <w:rPr>
                <w:rFonts w:ascii="Times New Roman" w:eastAsia="Times New Roman" w:hAnsi="Times New Roman" w:cs="Times New Roman"/>
                <w:color w:val="000000"/>
                <w:kern w:val="0"/>
                <w:lang w:eastAsia="ro-MD"/>
                <w14:ligatures w14:val="none"/>
              </w:rPr>
              <w:t>din</w:t>
            </w:r>
            <w:r w:rsidRPr="00B46497">
              <w:rPr>
                <w:rFonts w:ascii="Times New Roman" w:eastAsia="Times New Roman" w:hAnsi="Times New Roman" w:cs="Times New Roman"/>
                <w:color w:val="000000"/>
                <w:kern w:val="0"/>
                <w:lang w:eastAsia="ro-MD"/>
                <w14:ligatures w14:val="none"/>
              </w:rPr>
              <w:t xml:space="preserve"> Regulamentul nr.109/2018</w:t>
            </w:r>
            <w:r w:rsidR="00232DE0">
              <w:rPr>
                <w:rFonts w:ascii="Times New Roman" w:eastAsia="Times New Roman" w:hAnsi="Times New Roman" w:cs="Times New Roman"/>
                <w:color w:val="000000"/>
                <w:kern w:val="0"/>
                <w:lang w:eastAsia="ro-MD"/>
                <w14:ligatures w14:val="none"/>
              </w:rPr>
              <w:t xml:space="preserve"> </w:t>
            </w:r>
            <w:r w:rsidR="00815E38" w:rsidRPr="00232DE0">
              <w:rPr>
                <w:rFonts w:ascii="Times New Roman" w:eastAsia="Times New Roman" w:hAnsi="Times New Roman" w:cs="Times New Roman"/>
                <w:color w:val="000000"/>
                <w:kern w:val="0"/>
                <w:lang w:eastAsia="ro-MD"/>
                <w14:ligatures w14:val="none"/>
              </w:rPr>
              <w:t xml:space="preserve">și </w:t>
            </w:r>
            <w:r w:rsidR="00BD116B" w:rsidRPr="00BD116B">
              <w:rPr>
                <w:rFonts w:ascii="Times New Roman" w:eastAsia="Times New Roman" w:hAnsi="Times New Roman" w:cs="Times New Roman"/>
                <w:color w:val="000000"/>
                <w:kern w:val="0"/>
                <w:lang w:eastAsia="ro-MD"/>
                <w14:ligatures w14:val="none"/>
              </w:rPr>
              <w:t>punctele 94 – 105  din Regulamentul privind tratamentul riscului de credit pentru bănci potrivit abordării bazate pe modele interne de rating</w:t>
            </w:r>
          </w:p>
          <w:p w14:paraId="6DC2E33E" w14:textId="650BC4B8"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Acest element trebuie să fie raportat doar de </w:t>
            </w:r>
            <w:r>
              <w:rPr>
                <w:rFonts w:ascii="Times New Roman" w:eastAsia="Times New Roman" w:hAnsi="Times New Roman" w:cs="Times New Roman"/>
                <w:color w:val="000000"/>
                <w:kern w:val="0"/>
                <w:lang w:eastAsia="ro-MD"/>
                <w14:ligatures w14:val="none"/>
              </w:rPr>
              <w:t>bănci</w:t>
            </w:r>
            <w:r w:rsidRPr="00260C32">
              <w:rPr>
                <w:rFonts w:ascii="Times New Roman" w:eastAsia="Times New Roman" w:hAnsi="Times New Roman" w:cs="Times New Roman"/>
                <w:color w:val="000000"/>
                <w:kern w:val="0"/>
                <w:lang w:eastAsia="ro-MD"/>
                <w14:ligatures w14:val="none"/>
              </w:rPr>
              <w:t>le care aplică abordarea IRB.</w:t>
            </w:r>
          </w:p>
        </w:tc>
        <w:tc>
          <w:tcPr>
            <w:tcW w:w="713" w:type="dxa"/>
          </w:tcPr>
          <w:p w14:paraId="58AD3E62" w14:textId="77F72352"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711106B1" w14:textId="093F15F7" w:rsidTr="00627FFD">
        <w:trPr>
          <w:tblCellSpacing w:w="0" w:type="dxa"/>
        </w:trPr>
        <w:tc>
          <w:tcPr>
            <w:tcW w:w="729" w:type="dxa"/>
            <w:gridSpan w:val="2"/>
            <w:hideMark/>
          </w:tcPr>
          <w:p w14:paraId="2BBF466D"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0150</w:t>
            </w:r>
          </w:p>
        </w:tc>
        <w:tc>
          <w:tcPr>
            <w:tcW w:w="8043" w:type="dxa"/>
            <w:hideMark/>
          </w:tcPr>
          <w:p w14:paraId="63FDA05B"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4.1. Ajustările specifice pentru riscul de credit și pozițiile tratate în mod similar</w:t>
            </w:r>
          </w:p>
          <w:p w14:paraId="3F33B4ED" w14:textId="77777777" w:rsidR="00232DE0" w:rsidRDefault="00995E6A"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lastRenderedPageBreak/>
              <w:t xml:space="preserve">Punctele 103 – 105  din </w:t>
            </w:r>
            <w:r w:rsidRPr="00BC0769">
              <w:rPr>
                <w:rFonts w:ascii="Times New Roman" w:eastAsia="Times New Roman" w:hAnsi="Times New Roman" w:cs="Times New Roman"/>
                <w:color w:val="000000"/>
                <w:kern w:val="0"/>
                <w:lang w:eastAsia="ro-MD"/>
                <w14:ligatures w14:val="none"/>
              </w:rPr>
              <w:t xml:space="preserve">Regulamentul privind tratamentul riscului de credit pentru bănci potrivit abordării bazate pe modele interne de </w:t>
            </w:r>
            <w:r w:rsidRPr="00995E6A">
              <w:rPr>
                <w:rFonts w:ascii="Times New Roman" w:eastAsia="Times New Roman" w:hAnsi="Times New Roman" w:cs="Times New Roman"/>
                <w:color w:val="000000"/>
                <w:kern w:val="0"/>
                <w:lang w:eastAsia="ro-MD"/>
                <w14:ligatures w14:val="none"/>
              </w:rPr>
              <w:t>rating</w:t>
            </w:r>
            <w:r w:rsidRPr="00995E6A" w:rsidDel="00995E6A">
              <w:rPr>
                <w:rFonts w:ascii="Times New Roman" w:eastAsia="Times New Roman" w:hAnsi="Times New Roman" w:cs="Times New Roman"/>
                <w:color w:val="000000"/>
                <w:kern w:val="0"/>
                <w:lang w:eastAsia="ro-MD"/>
                <w14:ligatures w14:val="none"/>
              </w:rPr>
              <w:t xml:space="preserve"> </w:t>
            </w:r>
          </w:p>
          <w:p w14:paraId="087AFB8D" w14:textId="46BC41C3"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Acest element trebuie să fie raportat doar de </w:t>
            </w:r>
            <w:r>
              <w:rPr>
                <w:rFonts w:ascii="Times New Roman" w:eastAsia="Times New Roman" w:hAnsi="Times New Roman" w:cs="Times New Roman"/>
                <w:color w:val="000000"/>
                <w:kern w:val="0"/>
                <w:lang w:eastAsia="ro-MD"/>
                <w14:ligatures w14:val="none"/>
              </w:rPr>
              <w:t>bănci</w:t>
            </w:r>
            <w:r w:rsidRPr="00260C32">
              <w:rPr>
                <w:rFonts w:ascii="Times New Roman" w:eastAsia="Times New Roman" w:hAnsi="Times New Roman" w:cs="Times New Roman"/>
                <w:color w:val="000000"/>
                <w:kern w:val="0"/>
                <w:lang w:eastAsia="ro-MD"/>
                <w14:ligatures w14:val="none"/>
              </w:rPr>
              <w:t>le care aplică abordarea IRB.</w:t>
            </w:r>
          </w:p>
        </w:tc>
        <w:tc>
          <w:tcPr>
            <w:tcW w:w="713" w:type="dxa"/>
          </w:tcPr>
          <w:p w14:paraId="543A4878" w14:textId="79F5643E"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5610EA62" w14:textId="5AFB1615" w:rsidTr="00627FFD">
        <w:trPr>
          <w:tblCellSpacing w:w="0" w:type="dxa"/>
        </w:trPr>
        <w:tc>
          <w:tcPr>
            <w:tcW w:w="729" w:type="dxa"/>
            <w:gridSpan w:val="2"/>
            <w:hideMark/>
          </w:tcPr>
          <w:p w14:paraId="353AB687"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0155</w:t>
            </w:r>
          </w:p>
        </w:tc>
        <w:tc>
          <w:tcPr>
            <w:tcW w:w="8043" w:type="dxa"/>
            <w:hideMark/>
          </w:tcPr>
          <w:p w14:paraId="28792732"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4.2. Pierderile eligibile așteptate totale</w:t>
            </w:r>
          </w:p>
          <w:p w14:paraId="47626FD2" w14:textId="77777777" w:rsidR="00232DE0" w:rsidRDefault="00995E6A"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 xml:space="preserve">Punctele 98-100 și 102 – 105  din </w:t>
            </w:r>
            <w:r w:rsidRPr="00BC0769">
              <w:rPr>
                <w:rFonts w:ascii="Times New Roman" w:eastAsia="Times New Roman" w:hAnsi="Times New Roman" w:cs="Times New Roman"/>
                <w:color w:val="000000"/>
                <w:kern w:val="0"/>
                <w:lang w:eastAsia="ro-MD"/>
                <w14:ligatures w14:val="none"/>
              </w:rPr>
              <w:t xml:space="preserve">Regulamentul privind tratamentul riscului de credit pentru bănci potrivit abordării bazate pe modele interne de </w:t>
            </w:r>
            <w:r w:rsidRPr="00995E6A">
              <w:rPr>
                <w:rFonts w:ascii="Times New Roman" w:eastAsia="Times New Roman" w:hAnsi="Times New Roman" w:cs="Times New Roman"/>
                <w:color w:val="000000"/>
                <w:kern w:val="0"/>
                <w:lang w:eastAsia="ro-MD"/>
                <w14:ligatures w14:val="none"/>
              </w:rPr>
              <w:t>rating</w:t>
            </w:r>
            <w:r w:rsidRPr="00995E6A" w:rsidDel="00995E6A">
              <w:rPr>
                <w:rFonts w:ascii="Times New Roman" w:eastAsia="Times New Roman" w:hAnsi="Times New Roman" w:cs="Times New Roman"/>
                <w:color w:val="000000"/>
                <w:kern w:val="0"/>
                <w:lang w:eastAsia="ro-MD"/>
                <w14:ligatures w14:val="none"/>
              </w:rPr>
              <w:t xml:space="preserve"> </w:t>
            </w:r>
          </w:p>
          <w:p w14:paraId="4543D360" w14:textId="2A7E3921"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Acest element trebuie să fie raportat doar de </w:t>
            </w:r>
            <w:r>
              <w:rPr>
                <w:rFonts w:ascii="Times New Roman" w:eastAsia="Times New Roman" w:hAnsi="Times New Roman" w:cs="Times New Roman"/>
                <w:color w:val="000000"/>
                <w:kern w:val="0"/>
                <w:lang w:eastAsia="ro-MD"/>
                <w14:ligatures w14:val="none"/>
              </w:rPr>
              <w:t>bănci</w:t>
            </w:r>
            <w:r w:rsidRPr="00260C32">
              <w:rPr>
                <w:rFonts w:ascii="Times New Roman" w:eastAsia="Times New Roman" w:hAnsi="Times New Roman" w:cs="Times New Roman"/>
                <w:color w:val="000000"/>
                <w:kern w:val="0"/>
                <w:lang w:eastAsia="ro-MD"/>
                <w14:ligatures w14:val="none"/>
              </w:rPr>
              <w:t xml:space="preserve">le care </w:t>
            </w:r>
            <w:r w:rsidRPr="00995E6A">
              <w:rPr>
                <w:rFonts w:ascii="Times New Roman" w:eastAsia="Times New Roman" w:hAnsi="Times New Roman" w:cs="Times New Roman"/>
                <w:color w:val="000000"/>
                <w:kern w:val="0"/>
                <w:lang w:eastAsia="ro-MD"/>
                <w14:ligatures w14:val="none"/>
              </w:rPr>
              <w:t>aplică abordarea IRB. Se</w:t>
            </w:r>
            <w:r w:rsidRPr="00260C32">
              <w:rPr>
                <w:rFonts w:ascii="Times New Roman" w:eastAsia="Times New Roman" w:hAnsi="Times New Roman" w:cs="Times New Roman"/>
                <w:color w:val="000000"/>
                <w:kern w:val="0"/>
                <w:lang w:eastAsia="ro-MD"/>
                <w14:ligatures w14:val="none"/>
              </w:rPr>
              <w:t xml:space="preserve"> raportează numai pierderea așteptată legată de expunerile aflate în stare de nerambursare.</w:t>
            </w:r>
          </w:p>
        </w:tc>
        <w:tc>
          <w:tcPr>
            <w:tcW w:w="713" w:type="dxa"/>
          </w:tcPr>
          <w:p w14:paraId="6D8B1272" w14:textId="56139330"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38C7C2F0" w14:textId="0B4F920F" w:rsidTr="00627FFD">
        <w:trPr>
          <w:tblCellSpacing w:w="0" w:type="dxa"/>
        </w:trPr>
        <w:tc>
          <w:tcPr>
            <w:tcW w:w="729" w:type="dxa"/>
            <w:gridSpan w:val="2"/>
            <w:hideMark/>
          </w:tcPr>
          <w:p w14:paraId="61FC89A4"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0160</w:t>
            </w:r>
          </w:p>
        </w:tc>
        <w:tc>
          <w:tcPr>
            <w:tcW w:w="8043" w:type="dxa"/>
            <w:hideMark/>
          </w:tcPr>
          <w:p w14:paraId="303942D4" w14:textId="4BA48C6A"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5</w:t>
            </w:r>
            <w:r w:rsidR="001F2840"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Cuantumurile ponderate la risc ale expunerilor pentru calculul plafonului aferent excedentului provizioanelor eligibile drept fonduri proprii de nivel 2</w:t>
            </w:r>
          </w:p>
          <w:p w14:paraId="58DF0A95" w14:textId="77777777" w:rsidR="003024C7" w:rsidRDefault="001F2840"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 xml:space="preserve">Punctul 96 subpunctul 4) </w:t>
            </w:r>
            <w:r w:rsidRPr="00BB6B1F">
              <w:rPr>
                <w:rFonts w:ascii="Times New Roman" w:eastAsia="Times New Roman" w:hAnsi="Times New Roman" w:cs="Times New Roman"/>
                <w:color w:val="000000"/>
                <w:kern w:val="0"/>
                <w:lang w:eastAsia="ro-MD"/>
                <w14:ligatures w14:val="none"/>
              </w:rPr>
              <w:t>din</w:t>
            </w:r>
            <w:r w:rsidRPr="00B46497">
              <w:rPr>
                <w:rFonts w:ascii="Times New Roman" w:eastAsia="Times New Roman" w:hAnsi="Times New Roman" w:cs="Times New Roman"/>
                <w:color w:val="000000"/>
                <w:kern w:val="0"/>
                <w:lang w:eastAsia="ro-MD"/>
                <w14:ligatures w14:val="none"/>
              </w:rPr>
              <w:t xml:space="preserve"> Regulamentul nr.109/2018</w:t>
            </w:r>
          </w:p>
          <w:p w14:paraId="7807B7F0" w14:textId="4B9CC930"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Pentru </w:t>
            </w:r>
            <w:r>
              <w:rPr>
                <w:rFonts w:ascii="Times New Roman" w:eastAsia="Times New Roman" w:hAnsi="Times New Roman" w:cs="Times New Roman"/>
                <w:color w:val="000000"/>
                <w:kern w:val="0"/>
                <w:lang w:eastAsia="ro-MD"/>
                <w14:ligatures w14:val="none"/>
              </w:rPr>
              <w:t>bănci</w:t>
            </w:r>
            <w:r w:rsidRPr="00260C32">
              <w:rPr>
                <w:rFonts w:ascii="Times New Roman" w:eastAsia="Times New Roman" w:hAnsi="Times New Roman" w:cs="Times New Roman"/>
                <w:color w:val="000000"/>
                <w:kern w:val="0"/>
                <w:lang w:eastAsia="ro-MD"/>
                <w14:ligatures w14:val="none"/>
              </w:rPr>
              <w:t>le care aplică abordarea IRB, cuantumul în exces al provizioanelor (față de pierderile așteptate) eligibil pentru includerea în fondurile proprii de nivel 2 este plafonat la 0,6 % din cuantumurile ponderate la risc ale expunerilor calculate cu ajutorul abordării IRB.</w:t>
            </w:r>
          </w:p>
          <w:p w14:paraId="5B286C18" w14:textId="1DF2795F"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Cuantumul care trebuie raportat la acest punct este cuantumul ponderat la risc al expunerilor </w:t>
            </w:r>
            <w:r w:rsidR="006E5488">
              <w:rPr>
                <w:rFonts w:ascii="Times New Roman" w:eastAsia="Times New Roman" w:hAnsi="Times New Roman" w:cs="Times New Roman"/>
                <w:color w:val="000000"/>
                <w:kern w:val="0"/>
                <w:lang w:eastAsia="ro-MD"/>
                <w14:ligatures w14:val="none"/>
              </w:rPr>
              <w:t>(</w:t>
            </w:r>
            <w:r w:rsidR="00B4298C">
              <w:rPr>
                <w:rFonts w:ascii="Times New Roman" w:eastAsia="Times New Roman" w:hAnsi="Times New Roman" w:cs="Times New Roman"/>
                <w:color w:val="000000"/>
                <w:kern w:val="0"/>
                <w:lang w:eastAsia="ro-MD"/>
                <w14:ligatures w14:val="none"/>
              </w:rPr>
              <w:t xml:space="preserve">fără a fi </w:t>
            </w:r>
            <w:r w:rsidRPr="00260C32">
              <w:rPr>
                <w:rFonts w:ascii="Times New Roman" w:eastAsia="Times New Roman" w:hAnsi="Times New Roman" w:cs="Times New Roman"/>
                <w:color w:val="000000"/>
                <w:kern w:val="0"/>
                <w:lang w:eastAsia="ro-MD"/>
                <w14:ligatures w14:val="none"/>
              </w:rPr>
              <w:t>înmulțit cu 0,6%), care reprezintă baza pentru calcularea plafonului.</w:t>
            </w:r>
          </w:p>
        </w:tc>
        <w:tc>
          <w:tcPr>
            <w:tcW w:w="713" w:type="dxa"/>
          </w:tcPr>
          <w:p w14:paraId="06A2F9A2" w14:textId="650822C6"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5F7E6E39" w14:textId="354F6776" w:rsidTr="00627FFD">
        <w:trPr>
          <w:tblCellSpacing w:w="0" w:type="dxa"/>
        </w:trPr>
        <w:tc>
          <w:tcPr>
            <w:tcW w:w="729" w:type="dxa"/>
            <w:gridSpan w:val="2"/>
            <w:hideMark/>
          </w:tcPr>
          <w:p w14:paraId="628E5271"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0170</w:t>
            </w:r>
          </w:p>
        </w:tc>
        <w:tc>
          <w:tcPr>
            <w:tcW w:w="8043" w:type="dxa"/>
            <w:hideMark/>
          </w:tcPr>
          <w:p w14:paraId="08FDB06A" w14:textId="127FF454"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6</w:t>
            </w:r>
            <w:r w:rsidR="001F2840"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Total provizioane brute eligibile pentru a fi incluse în fondurile proprii de nivel 2</w:t>
            </w:r>
          </w:p>
          <w:p w14:paraId="3DEA8DF1" w14:textId="516A7086" w:rsidR="00115C61"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B46497">
              <w:rPr>
                <w:rFonts w:ascii="Times New Roman" w:eastAsia="Times New Roman" w:hAnsi="Times New Roman" w:cs="Times New Roman"/>
                <w:color w:val="000000"/>
                <w:kern w:val="0"/>
                <w:lang w:eastAsia="ro-MD"/>
                <w14:ligatures w14:val="none"/>
              </w:rPr>
              <w:t xml:space="preserve">Punctul 96 subpunctul 3) din </w:t>
            </w:r>
            <w:r>
              <w:rPr>
                <w:rFonts w:ascii="Times New Roman" w:eastAsia="Times New Roman" w:hAnsi="Times New Roman" w:cs="Times New Roman"/>
                <w:color w:val="000000"/>
                <w:kern w:val="0"/>
                <w:lang w:eastAsia="ro-MD"/>
                <w14:ligatures w14:val="none"/>
              </w:rPr>
              <w:t>Regulamentul nr.109/2018</w:t>
            </w:r>
            <w:r w:rsidRPr="00B46497">
              <w:rPr>
                <w:rFonts w:ascii="Times New Roman" w:eastAsia="Times New Roman" w:hAnsi="Times New Roman" w:cs="Times New Roman"/>
                <w:color w:val="000000"/>
                <w:kern w:val="0"/>
                <w:lang w:eastAsia="ro-MD"/>
                <w14:ligatures w14:val="none"/>
              </w:rPr>
              <w:t>.</w:t>
            </w:r>
          </w:p>
          <w:p w14:paraId="5EDA2ECF" w14:textId="4A0F0974"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Acest punct include ajustările generale pentru riscul de credit care sunt eligibile pentru a fi incluse în fondurile proprii de nivel 2 înainte de aplicarea plafonului.</w:t>
            </w:r>
          </w:p>
          <w:p w14:paraId="7342A9F1"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care trebuie raportat nu ține cont de efectele impozitelor.</w:t>
            </w:r>
          </w:p>
        </w:tc>
        <w:tc>
          <w:tcPr>
            <w:tcW w:w="713" w:type="dxa"/>
          </w:tcPr>
          <w:p w14:paraId="4240E8C4"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1352ADFA" w14:textId="4F2E8B4F" w:rsidTr="00627FFD">
        <w:trPr>
          <w:tblCellSpacing w:w="0" w:type="dxa"/>
        </w:trPr>
        <w:tc>
          <w:tcPr>
            <w:tcW w:w="729" w:type="dxa"/>
            <w:gridSpan w:val="2"/>
            <w:hideMark/>
          </w:tcPr>
          <w:p w14:paraId="10575B4C"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0180</w:t>
            </w:r>
          </w:p>
        </w:tc>
        <w:tc>
          <w:tcPr>
            <w:tcW w:w="8043" w:type="dxa"/>
            <w:hideMark/>
          </w:tcPr>
          <w:p w14:paraId="02563D3E" w14:textId="5DEB0BBB"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7</w:t>
            </w:r>
            <w:r w:rsidR="001806EA"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Cuantumurile ponderate la risc ale expunerilor pentru calculul plafonului în funcție de provizioanele eligibile drept fonduri proprii de nivel 2</w:t>
            </w:r>
          </w:p>
          <w:p w14:paraId="763CABC9" w14:textId="77777777" w:rsidR="00232DE0"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Punctul 96 subpunctul 3) din </w:t>
            </w:r>
            <w:r>
              <w:rPr>
                <w:rFonts w:ascii="Times New Roman" w:eastAsia="Times New Roman" w:hAnsi="Times New Roman" w:cs="Times New Roman"/>
                <w:color w:val="000000"/>
                <w:kern w:val="0"/>
                <w:lang w:eastAsia="ro-MD"/>
                <w14:ligatures w14:val="none"/>
              </w:rPr>
              <w:t>Regulamentul nr.109/2018</w:t>
            </w:r>
            <w:r w:rsidRPr="008C359C">
              <w:rPr>
                <w:rFonts w:ascii="Times New Roman" w:eastAsia="Times New Roman" w:hAnsi="Times New Roman" w:cs="Times New Roman"/>
                <w:color w:val="000000"/>
                <w:kern w:val="0"/>
                <w:lang w:eastAsia="ro-MD"/>
                <w14:ligatures w14:val="none"/>
              </w:rPr>
              <w:t>.</w:t>
            </w:r>
          </w:p>
          <w:p w14:paraId="38FE825E" w14:textId="657A31EC"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B4298C">
              <w:rPr>
                <w:rFonts w:ascii="Times New Roman" w:eastAsia="Times New Roman" w:hAnsi="Times New Roman" w:cs="Times New Roman"/>
                <w:color w:val="000000"/>
                <w:kern w:val="0"/>
                <w:lang w:eastAsia="ro-MD"/>
                <w14:ligatures w14:val="none"/>
              </w:rPr>
              <w:t xml:space="preserve">În conformitate cu </w:t>
            </w:r>
            <w:r w:rsidR="00B4298C">
              <w:rPr>
                <w:rFonts w:ascii="Times New Roman" w:eastAsia="Times New Roman" w:hAnsi="Times New Roman" w:cs="Times New Roman"/>
                <w:color w:val="000000"/>
                <w:kern w:val="0"/>
                <w:lang w:eastAsia="ro-MD"/>
                <w14:ligatures w14:val="none"/>
              </w:rPr>
              <w:t xml:space="preserve">punctul 96 subpunctul 3) </w:t>
            </w:r>
            <w:r w:rsidR="00B4298C" w:rsidRPr="00BB6B1F">
              <w:rPr>
                <w:rFonts w:ascii="Times New Roman" w:eastAsia="Times New Roman" w:hAnsi="Times New Roman" w:cs="Times New Roman"/>
                <w:color w:val="000000"/>
                <w:kern w:val="0"/>
                <w:lang w:eastAsia="ro-MD"/>
                <w14:ligatures w14:val="none"/>
              </w:rPr>
              <w:t>din</w:t>
            </w:r>
            <w:r w:rsidR="00B4298C" w:rsidRPr="00B46497">
              <w:rPr>
                <w:rFonts w:ascii="Times New Roman" w:eastAsia="Times New Roman" w:hAnsi="Times New Roman" w:cs="Times New Roman"/>
                <w:color w:val="000000"/>
                <w:kern w:val="0"/>
                <w:lang w:eastAsia="ro-MD"/>
                <w14:ligatures w14:val="none"/>
              </w:rPr>
              <w:t xml:space="preserve"> Regulamentul nr.109/2018</w:t>
            </w:r>
            <w:r w:rsidRPr="00B4298C">
              <w:rPr>
                <w:rFonts w:ascii="Times New Roman" w:eastAsia="Times New Roman" w:hAnsi="Times New Roman" w:cs="Times New Roman"/>
                <w:color w:val="000000"/>
                <w:kern w:val="0"/>
                <w:lang w:eastAsia="ro-MD"/>
                <w14:ligatures w14:val="none"/>
              </w:rPr>
              <w:t>, ajustările pentru riscul de credit eligibile pentru a fi incluse în fondurile proprii de nivel 2 sunt plafonate la 1,</w:t>
            </w:r>
            <w:r w:rsidR="00B4298C" w:rsidRPr="00492BA4">
              <w:rPr>
                <w:rFonts w:ascii="Times New Roman" w:eastAsia="Times New Roman" w:hAnsi="Times New Roman" w:cs="Times New Roman"/>
                <w:color w:val="000000"/>
                <w:kern w:val="0"/>
                <w:lang w:eastAsia="ro-MD"/>
                <w14:ligatures w14:val="none"/>
              </w:rPr>
              <w:t>0</w:t>
            </w:r>
            <w:r w:rsidRPr="00B4298C">
              <w:rPr>
                <w:rFonts w:ascii="Times New Roman" w:eastAsia="Times New Roman" w:hAnsi="Times New Roman" w:cs="Times New Roman"/>
                <w:color w:val="000000"/>
                <w:kern w:val="0"/>
                <w:lang w:eastAsia="ro-MD"/>
                <w14:ligatures w14:val="none"/>
              </w:rPr>
              <w:t> % din cuantumurile ponderate la risc ale expunerilor.</w:t>
            </w:r>
          </w:p>
          <w:p w14:paraId="16DC0FB1" w14:textId="3627C2A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care trebuie raportat la acest p</w:t>
            </w:r>
            <w:r>
              <w:rPr>
                <w:rFonts w:ascii="Times New Roman" w:eastAsia="Times New Roman" w:hAnsi="Times New Roman" w:cs="Times New Roman"/>
                <w:color w:val="000000"/>
                <w:kern w:val="0"/>
                <w:lang w:eastAsia="ro-MD"/>
                <w14:ligatures w14:val="none"/>
              </w:rPr>
              <w:t>os</w:t>
            </w:r>
            <w:r w:rsidRPr="00260C32">
              <w:rPr>
                <w:rFonts w:ascii="Times New Roman" w:eastAsia="Times New Roman" w:hAnsi="Times New Roman" w:cs="Times New Roman"/>
                <w:color w:val="000000"/>
                <w:kern w:val="0"/>
                <w:lang w:eastAsia="ro-MD"/>
                <w14:ligatures w14:val="none"/>
              </w:rPr>
              <w:t xml:space="preserve">t este cuantumul ponderat la risc al expunerilor </w:t>
            </w:r>
            <w:r w:rsidRPr="00C56264">
              <w:rPr>
                <w:rFonts w:ascii="Times New Roman" w:eastAsia="Times New Roman" w:hAnsi="Times New Roman" w:cs="Times New Roman"/>
                <w:color w:val="000000"/>
                <w:kern w:val="0"/>
                <w:lang w:eastAsia="ro-MD"/>
                <w14:ligatures w14:val="none"/>
              </w:rPr>
              <w:t>(</w:t>
            </w:r>
            <w:r w:rsidRPr="00B46497">
              <w:rPr>
                <w:rFonts w:ascii="Times New Roman" w:eastAsia="Times New Roman" w:hAnsi="Times New Roman" w:cs="Times New Roman"/>
                <w:color w:val="000000"/>
                <w:kern w:val="0"/>
                <w:lang w:eastAsia="ro-MD"/>
                <w14:ligatures w14:val="none"/>
              </w:rPr>
              <w:t xml:space="preserve">fără a fi </w:t>
            </w:r>
            <w:proofErr w:type="spellStart"/>
            <w:r w:rsidRPr="00B46497">
              <w:rPr>
                <w:rFonts w:ascii="Times New Roman" w:eastAsia="Times New Roman" w:hAnsi="Times New Roman" w:cs="Times New Roman"/>
                <w:color w:val="000000"/>
                <w:kern w:val="0"/>
                <w:lang w:eastAsia="ro-MD"/>
                <w14:ligatures w14:val="none"/>
              </w:rPr>
              <w:t>înmulţit</w:t>
            </w:r>
            <w:proofErr w:type="spellEnd"/>
            <w:r w:rsidRPr="00B46497">
              <w:rPr>
                <w:rFonts w:ascii="Times New Roman" w:eastAsia="Times New Roman" w:hAnsi="Times New Roman" w:cs="Times New Roman"/>
                <w:color w:val="000000"/>
                <w:kern w:val="0"/>
                <w:lang w:eastAsia="ro-MD"/>
                <w14:ligatures w14:val="none"/>
              </w:rPr>
              <w:t xml:space="preserve"> cu 1,0%</w:t>
            </w:r>
            <w:r w:rsidRPr="00B4298C">
              <w:rPr>
                <w:rFonts w:ascii="Times New Roman" w:eastAsia="Times New Roman" w:hAnsi="Times New Roman" w:cs="Times New Roman"/>
                <w:color w:val="000000"/>
                <w:kern w:val="0"/>
                <w:lang w:eastAsia="ro-MD"/>
                <w14:ligatures w14:val="none"/>
              </w:rPr>
              <w:t>),</w:t>
            </w:r>
            <w:r w:rsidRPr="00260C32">
              <w:rPr>
                <w:rFonts w:ascii="Times New Roman" w:eastAsia="Times New Roman" w:hAnsi="Times New Roman" w:cs="Times New Roman"/>
                <w:color w:val="000000"/>
                <w:kern w:val="0"/>
                <w:lang w:eastAsia="ro-MD"/>
                <w14:ligatures w14:val="none"/>
              </w:rPr>
              <w:t xml:space="preserve"> care reprezintă baza pentru calcularea plafonului.</w:t>
            </w:r>
          </w:p>
        </w:tc>
        <w:tc>
          <w:tcPr>
            <w:tcW w:w="713" w:type="dxa"/>
          </w:tcPr>
          <w:p w14:paraId="47A322F3"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746E3BBC" w14:textId="5880A888" w:rsidTr="00627FFD">
        <w:trPr>
          <w:tblCellSpacing w:w="0" w:type="dxa"/>
        </w:trPr>
        <w:tc>
          <w:tcPr>
            <w:tcW w:w="729" w:type="dxa"/>
            <w:gridSpan w:val="2"/>
            <w:hideMark/>
          </w:tcPr>
          <w:p w14:paraId="65E91DE5"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0190</w:t>
            </w:r>
          </w:p>
        </w:tc>
        <w:tc>
          <w:tcPr>
            <w:tcW w:w="8043" w:type="dxa"/>
            <w:hideMark/>
          </w:tcPr>
          <w:p w14:paraId="3B2CBE5F" w14:textId="7CDC287B"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8</w:t>
            </w:r>
            <w:r w:rsidR="001806EA"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Pragul nedeductibil al deținerilor în entitățile din sectorul financiar în care banca nu deține o investiție semnificativă</w:t>
            </w:r>
          </w:p>
          <w:p w14:paraId="4C3CCE39" w14:textId="77777777" w:rsidR="00115C61"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B46497">
              <w:rPr>
                <w:rFonts w:ascii="Times New Roman" w:eastAsia="Times New Roman" w:hAnsi="Times New Roman" w:cs="Times New Roman"/>
                <w:color w:val="000000"/>
                <w:kern w:val="0"/>
                <w:lang w:eastAsia="ro-MD"/>
                <w14:ligatures w14:val="none"/>
              </w:rPr>
              <w:t xml:space="preserve">Punctul 56 subpunctul 1) din </w:t>
            </w:r>
            <w:r>
              <w:rPr>
                <w:rFonts w:ascii="Times New Roman" w:eastAsia="Times New Roman" w:hAnsi="Times New Roman" w:cs="Times New Roman"/>
                <w:color w:val="000000"/>
                <w:kern w:val="0"/>
                <w:lang w:eastAsia="ro-MD"/>
                <w14:ligatures w14:val="none"/>
              </w:rPr>
              <w:t>Regulamentul nr.109/2018</w:t>
            </w:r>
            <w:r w:rsidRPr="00B46497">
              <w:rPr>
                <w:rFonts w:ascii="Times New Roman" w:eastAsia="Times New Roman" w:hAnsi="Times New Roman" w:cs="Times New Roman"/>
                <w:color w:val="000000"/>
                <w:kern w:val="0"/>
                <w:lang w:eastAsia="ro-MD"/>
                <w14:ligatures w14:val="none"/>
              </w:rPr>
              <w:t>.</w:t>
            </w:r>
          </w:p>
          <w:p w14:paraId="38C4E411" w14:textId="54A8010A"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Acest element conține pragul până la care deținerile într-o entitate din sectorul financiar în care o </w:t>
            </w:r>
            <w:r>
              <w:rPr>
                <w:rFonts w:ascii="Times New Roman" w:eastAsia="Times New Roman" w:hAnsi="Times New Roman" w:cs="Times New Roman"/>
                <w:color w:val="000000"/>
                <w:kern w:val="0"/>
                <w:lang w:eastAsia="ro-MD"/>
                <w14:ligatures w14:val="none"/>
              </w:rPr>
              <w:t>bancă</w:t>
            </w:r>
            <w:r w:rsidRPr="00260C32">
              <w:rPr>
                <w:rFonts w:ascii="Times New Roman" w:eastAsia="Times New Roman" w:hAnsi="Times New Roman" w:cs="Times New Roman"/>
                <w:color w:val="000000"/>
                <w:kern w:val="0"/>
                <w:lang w:eastAsia="ro-MD"/>
                <w14:ligatures w14:val="none"/>
              </w:rPr>
              <w:t xml:space="preserve"> nu deține o investiție semnificativă nu sunt deduse. Cuantumul este obținut prin adunarea tuturor elementelor care constituie baza pragului și înmulțirea sumei determinate astfel cu 10 %.</w:t>
            </w:r>
          </w:p>
        </w:tc>
        <w:tc>
          <w:tcPr>
            <w:tcW w:w="713" w:type="dxa"/>
          </w:tcPr>
          <w:p w14:paraId="5ACE4498"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034C0D90" w14:textId="362A573B" w:rsidTr="00627FFD">
        <w:trPr>
          <w:tblCellSpacing w:w="0" w:type="dxa"/>
        </w:trPr>
        <w:tc>
          <w:tcPr>
            <w:tcW w:w="729" w:type="dxa"/>
            <w:gridSpan w:val="2"/>
            <w:hideMark/>
          </w:tcPr>
          <w:p w14:paraId="43F69A27"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0200</w:t>
            </w:r>
          </w:p>
        </w:tc>
        <w:tc>
          <w:tcPr>
            <w:tcW w:w="8043" w:type="dxa"/>
            <w:hideMark/>
          </w:tcPr>
          <w:p w14:paraId="66849193" w14:textId="65592763"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9</w:t>
            </w:r>
            <w:r w:rsidR="001806EA"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Pragul de 10 % al fondurilor proprii de nivel 1 de bază</w:t>
            </w:r>
          </w:p>
          <w:p w14:paraId="6BB5FBC0" w14:textId="7D09AEFC" w:rsidR="00115C61"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B46497">
              <w:rPr>
                <w:rFonts w:ascii="Times New Roman" w:eastAsia="Times New Roman" w:hAnsi="Times New Roman" w:cs="Times New Roman"/>
                <w:color w:val="000000"/>
                <w:kern w:val="0"/>
                <w:lang w:eastAsia="ro-MD"/>
                <w14:ligatures w14:val="none"/>
              </w:rPr>
              <w:t xml:space="preserve">Punctul 63 din </w:t>
            </w:r>
            <w:r>
              <w:rPr>
                <w:rFonts w:ascii="Times New Roman" w:eastAsia="Times New Roman" w:hAnsi="Times New Roman" w:cs="Times New Roman"/>
                <w:color w:val="000000"/>
                <w:kern w:val="0"/>
                <w:lang w:eastAsia="ro-MD"/>
                <w14:ligatures w14:val="none"/>
              </w:rPr>
              <w:t>Regulamentul nr.109/2018</w:t>
            </w:r>
            <w:r w:rsidRPr="00B46497">
              <w:rPr>
                <w:rFonts w:ascii="Times New Roman" w:eastAsia="Times New Roman" w:hAnsi="Times New Roman" w:cs="Times New Roman"/>
                <w:color w:val="000000"/>
                <w:kern w:val="0"/>
                <w:lang w:eastAsia="ro-MD"/>
                <w14:ligatures w14:val="none"/>
              </w:rPr>
              <w:t>.</w:t>
            </w:r>
          </w:p>
          <w:p w14:paraId="30E30B58" w14:textId="5B1C675B"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Acest element conține pragul de 10 % pentru deținerile în entități din sectorul financiar în care o </w:t>
            </w:r>
            <w:r>
              <w:rPr>
                <w:rFonts w:ascii="Times New Roman" w:eastAsia="Times New Roman" w:hAnsi="Times New Roman" w:cs="Times New Roman"/>
                <w:color w:val="000000"/>
                <w:kern w:val="0"/>
                <w:lang w:eastAsia="ro-MD"/>
                <w14:ligatures w14:val="none"/>
              </w:rPr>
              <w:t>bancă</w:t>
            </w:r>
            <w:r w:rsidRPr="00260C32">
              <w:rPr>
                <w:rFonts w:ascii="Times New Roman" w:eastAsia="Times New Roman" w:hAnsi="Times New Roman" w:cs="Times New Roman"/>
                <w:color w:val="000000"/>
                <w:kern w:val="0"/>
                <w:lang w:eastAsia="ro-MD"/>
                <w14:ligatures w14:val="none"/>
              </w:rPr>
              <w:t xml:space="preserve"> deține o investiție semnificativă și pentru creanțele privind impozitul amânat care se bazează pe profitabilitatea viitoare și decurg din diferențele temporare.</w:t>
            </w:r>
          </w:p>
          <w:p w14:paraId="1136EDC3"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este obținut prin adunarea tuturor elementelor care constituie baza pragului și înmulțirea sumei determinate astfel cu 10 %.</w:t>
            </w:r>
          </w:p>
        </w:tc>
        <w:tc>
          <w:tcPr>
            <w:tcW w:w="713" w:type="dxa"/>
          </w:tcPr>
          <w:p w14:paraId="11614E60"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575B8649" w14:textId="5D08677B" w:rsidTr="00627FFD">
        <w:trPr>
          <w:tblCellSpacing w:w="0" w:type="dxa"/>
        </w:trPr>
        <w:tc>
          <w:tcPr>
            <w:tcW w:w="729" w:type="dxa"/>
            <w:gridSpan w:val="2"/>
            <w:hideMark/>
          </w:tcPr>
          <w:p w14:paraId="17B0F7E0"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0210</w:t>
            </w:r>
          </w:p>
        </w:tc>
        <w:tc>
          <w:tcPr>
            <w:tcW w:w="8043" w:type="dxa"/>
            <w:hideMark/>
          </w:tcPr>
          <w:p w14:paraId="7B220672" w14:textId="39C4859B"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10</w:t>
            </w:r>
            <w:r w:rsidR="007D015D"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Pragul de 17,65 % al fondurilor proprii de nivel 1 de bază</w:t>
            </w:r>
          </w:p>
          <w:p w14:paraId="13F6CDA8" w14:textId="77777777" w:rsidR="00115C61"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Punctul 63 din </w:t>
            </w:r>
            <w:r>
              <w:rPr>
                <w:rFonts w:ascii="Times New Roman" w:eastAsia="Times New Roman" w:hAnsi="Times New Roman" w:cs="Times New Roman"/>
                <w:color w:val="000000"/>
                <w:kern w:val="0"/>
                <w:lang w:eastAsia="ro-MD"/>
                <w14:ligatures w14:val="none"/>
              </w:rPr>
              <w:t>Regulamentul nr.109/2018</w:t>
            </w:r>
            <w:r w:rsidRPr="008C359C">
              <w:rPr>
                <w:rFonts w:ascii="Times New Roman" w:eastAsia="Times New Roman" w:hAnsi="Times New Roman" w:cs="Times New Roman"/>
                <w:color w:val="000000"/>
                <w:kern w:val="0"/>
                <w:lang w:eastAsia="ro-MD"/>
                <w14:ligatures w14:val="none"/>
              </w:rPr>
              <w:t>.</w:t>
            </w:r>
          </w:p>
          <w:p w14:paraId="2EB73FCA" w14:textId="4FD0CE7B"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Acest element conține pragul de 17,65 % pentru deținerile în entități din sectorul financiar în care o </w:t>
            </w:r>
            <w:r>
              <w:rPr>
                <w:rFonts w:ascii="Times New Roman" w:eastAsia="Times New Roman" w:hAnsi="Times New Roman" w:cs="Times New Roman"/>
                <w:color w:val="000000"/>
                <w:kern w:val="0"/>
                <w:lang w:eastAsia="ro-MD"/>
                <w14:ligatures w14:val="none"/>
              </w:rPr>
              <w:t>bancă</w:t>
            </w:r>
            <w:r w:rsidRPr="00260C32">
              <w:rPr>
                <w:rFonts w:ascii="Times New Roman" w:eastAsia="Times New Roman" w:hAnsi="Times New Roman" w:cs="Times New Roman"/>
                <w:color w:val="000000"/>
                <w:kern w:val="0"/>
                <w:lang w:eastAsia="ro-MD"/>
                <w14:ligatures w14:val="none"/>
              </w:rPr>
              <w:t xml:space="preserve"> deține o investiție semnificativă și pentru creanțele privind impozitul amânat care se bazează pe profitabilitatea viitoare și decurg din diferențele temporare, care trebuie aplicat după pragul de 10 %.</w:t>
            </w:r>
          </w:p>
          <w:p w14:paraId="4716F901"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Pragul trebuie calculat astfel încât cuantumul celor două elemente care este recunoscut să nu depășească 15 % din fondurile proprii de nivel 1 de bază finale, și anume din fondurile proprii de nivel 1 de bază calculate după toate deducerile și excluzând eventualele ajustări datorate dispozițiilor tranzitorii.</w:t>
            </w:r>
          </w:p>
        </w:tc>
        <w:tc>
          <w:tcPr>
            <w:tcW w:w="713" w:type="dxa"/>
          </w:tcPr>
          <w:p w14:paraId="2676B2C6"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5E99A27" w14:textId="32B52EA5" w:rsidTr="00627FFD">
        <w:trPr>
          <w:tblCellSpacing w:w="0" w:type="dxa"/>
        </w:trPr>
        <w:tc>
          <w:tcPr>
            <w:tcW w:w="729" w:type="dxa"/>
            <w:gridSpan w:val="2"/>
            <w:hideMark/>
          </w:tcPr>
          <w:p w14:paraId="6D3B8013"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0225</w:t>
            </w:r>
          </w:p>
        </w:tc>
        <w:tc>
          <w:tcPr>
            <w:tcW w:w="8043" w:type="dxa"/>
            <w:hideMark/>
          </w:tcPr>
          <w:p w14:paraId="1EAD45C7" w14:textId="43464C92"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11</w:t>
            </w:r>
            <w:r w:rsidR="007D015D"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Capitalul eligibil în scopul deținerilor calificate din afara sectorului financiar</w:t>
            </w:r>
          </w:p>
          <w:p w14:paraId="1994E84A" w14:textId="745D017D" w:rsidR="006E125A" w:rsidRDefault="007D015D"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lastRenderedPageBreak/>
              <w:t xml:space="preserve">Punctul </w:t>
            </w:r>
            <w:r>
              <w:rPr>
                <w:rFonts w:ascii="Times New Roman" w:eastAsia="Times New Roman" w:hAnsi="Times New Roman" w:cs="Times New Roman"/>
                <w:color w:val="000000"/>
                <w:kern w:val="0"/>
                <w:lang w:eastAsia="ro-MD"/>
                <w14:ligatures w14:val="none"/>
              </w:rPr>
              <w:t>5</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cu privire la expunerile mari, aprobat prin HCE al BNM nr. 109/2019</w:t>
            </w:r>
          </w:p>
          <w:p w14:paraId="785A93EB" w14:textId="1F11C980" w:rsidR="006E125A" w:rsidRPr="00260C32" w:rsidRDefault="006E125A" w:rsidP="006F30A7">
            <w:pPr>
              <w:spacing w:after="0" w:line="240" w:lineRule="auto"/>
              <w:rPr>
                <w:rFonts w:ascii="Times New Roman" w:eastAsia="Times New Roman" w:hAnsi="Times New Roman" w:cs="Times New Roman"/>
                <w:color w:val="000000"/>
                <w:kern w:val="0"/>
                <w:lang w:eastAsia="ro-MD"/>
                <w14:ligatures w14:val="none"/>
              </w:rPr>
            </w:pPr>
            <w:r w:rsidRPr="006E125A">
              <w:rPr>
                <w:rFonts w:ascii="Times New Roman" w:eastAsia="Times New Roman" w:hAnsi="Times New Roman" w:cs="Times New Roman"/>
                <w:color w:val="000000"/>
                <w:kern w:val="0"/>
                <w:lang w:eastAsia="ro-MD"/>
                <w14:ligatures w14:val="none"/>
              </w:rPr>
              <w:t xml:space="preserve">Capitalul eligibil al băncii înseamnă suma valorii fondurilor proprii de nivel 1 </w:t>
            </w:r>
            <w:proofErr w:type="spellStart"/>
            <w:r w:rsidRPr="006E125A">
              <w:rPr>
                <w:rFonts w:ascii="Times New Roman" w:eastAsia="Times New Roman" w:hAnsi="Times New Roman" w:cs="Times New Roman"/>
                <w:color w:val="000000"/>
                <w:kern w:val="0"/>
                <w:lang w:eastAsia="ro-MD"/>
                <w14:ligatures w14:val="none"/>
              </w:rPr>
              <w:t>şi</w:t>
            </w:r>
            <w:proofErr w:type="spellEnd"/>
            <w:r w:rsidRPr="006E125A">
              <w:rPr>
                <w:rFonts w:ascii="Times New Roman" w:eastAsia="Times New Roman" w:hAnsi="Times New Roman" w:cs="Times New Roman"/>
                <w:color w:val="000000"/>
                <w:kern w:val="0"/>
                <w:lang w:eastAsia="ro-MD"/>
                <w14:ligatures w14:val="none"/>
              </w:rPr>
              <w:t xml:space="preserve"> a valorii fondurilor proprii de nivel 2, care este egală sau mai mică de o treime din fondurile proprii de nivel 1.</w:t>
            </w:r>
          </w:p>
        </w:tc>
        <w:tc>
          <w:tcPr>
            <w:tcW w:w="713" w:type="dxa"/>
          </w:tcPr>
          <w:p w14:paraId="6BCB4C2D"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0FAA4704" w14:textId="71364B30" w:rsidTr="00627FFD">
        <w:trPr>
          <w:tblCellSpacing w:w="0" w:type="dxa"/>
        </w:trPr>
        <w:tc>
          <w:tcPr>
            <w:tcW w:w="729" w:type="dxa"/>
            <w:gridSpan w:val="2"/>
            <w:hideMark/>
          </w:tcPr>
          <w:p w14:paraId="2DCBA6B5"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0230</w:t>
            </w:r>
          </w:p>
        </w:tc>
        <w:tc>
          <w:tcPr>
            <w:tcW w:w="8043" w:type="dxa"/>
            <w:hideMark/>
          </w:tcPr>
          <w:p w14:paraId="78C72DBD" w14:textId="15E76C8D"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12</w:t>
            </w:r>
            <w:r w:rsidR="003A1DAB"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Dețineri de fonduri proprii de nivel 1 de bază ale entităților din sectorul financiar în care banca nu deține o investiție semnificativă, excluzând pozițiile scurte</w:t>
            </w:r>
          </w:p>
          <w:p w14:paraId="0C32B083" w14:textId="21B9ACE5" w:rsidR="00815E38" w:rsidRPr="00B46497" w:rsidRDefault="00815E38" w:rsidP="006F30A7">
            <w:pPr>
              <w:spacing w:after="0" w:line="240" w:lineRule="auto"/>
              <w:rPr>
                <w:rFonts w:ascii="Arial" w:eastAsia="Times New Roman" w:hAnsi="Arial" w:cs="Arial"/>
                <w:kern w:val="0"/>
                <w:sz w:val="24"/>
                <w:szCs w:val="24"/>
                <w:lang w:eastAsia="ro-MD"/>
                <w14:ligatures w14:val="none"/>
              </w:rPr>
            </w:pPr>
            <w:r w:rsidRPr="00B46497">
              <w:rPr>
                <w:rFonts w:ascii="Times New Roman" w:eastAsia="Times New Roman" w:hAnsi="Times New Roman" w:cs="Times New Roman"/>
                <w:color w:val="000000"/>
                <w:kern w:val="0"/>
                <w:lang w:eastAsia="ro-MD"/>
                <w14:ligatures w14:val="none"/>
              </w:rPr>
              <w:t xml:space="preserve">Punctele 54-60 din </w:t>
            </w:r>
            <w:r>
              <w:rPr>
                <w:rFonts w:ascii="Times New Roman" w:eastAsia="Times New Roman" w:hAnsi="Times New Roman" w:cs="Times New Roman"/>
                <w:color w:val="000000"/>
                <w:kern w:val="0"/>
                <w:lang w:eastAsia="ro-MD"/>
                <w14:ligatures w14:val="none"/>
              </w:rPr>
              <w:t>Regulamentul nr.109/2018</w:t>
            </w:r>
            <w:r w:rsidRPr="00B46497">
              <w:rPr>
                <w:rFonts w:ascii="Times New Roman" w:eastAsia="Times New Roman" w:hAnsi="Times New Roman" w:cs="Times New Roman"/>
                <w:color w:val="000000"/>
                <w:kern w:val="0"/>
                <w:lang w:eastAsia="ro-MD"/>
                <w14:ligatures w14:val="none"/>
              </w:rPr>
              <w:t>.</w:t>
            </w:r>
          </w:p>
        </w:tc>
        <w:tc>
          <w:tcPr>
            <w:tcW w:w="713" w:type="dxa"/>
          </w:tcPr>
          <w:p w14:paraId="4AEF5F8E"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5B16682B" w14:textId="5C31B2CF" w:rsidTr="00627FFD">
        <w:trPr>
          <w:tblCellSpacing w:w="0" w:type="dxa"/>
        </w:trPr>
        <w:tc>
          <w:tcPr>
            <w:tcW w:w="729" w:type="dxa"/>
            <w:gridSpan w:val="2"/>
            <w:hideMark/>
          </w:tcPr>
          <w:p w14:paraId="12732B7D"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0240</w:t>
            </w:r>
          </w:p>
        </w:tc>
        <w:tc>
          <w:tcPr>
            <w:tcW w:w="8043" w:type="dxa"/>
            <w:hideMark/>
          </w:tcPr>
          <w:p w14:paraId="67581560" w14:textId="1DEAA008"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12.1. Dețineri directe de fonduri proprii de nivel 1 de bază ale entităților din sectorul financiar în care banca nu deține o investiție semnificativă</w:t>
            </w:r>
          </w:p>
          <w:p w14:paraId="10F9B961" w14:textId="3642D0B6" w:rsidR="00815E38"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54-60 din </w:t>
            </w:r>
            <w:r>
              <w:rPr>
                <w:rFonts w:ascii="Times New Roman" w:eastAsia="Times New Roman" w:hAnsi="Times New Roman" w:cs="Times New Roman"/>
                <w:color w:val="000000"/>
                <w:kern w:val="0"/>
                <w:lang w:eastAsia="ro-MD"/>
                <w14:ligatures w14:val="none"/>
              </w:rPr>
              <w:t>Regulamentul nr.109/2018</w:t>
            </w:r>
            <w:r w:rsidRPr="008C359C">
              <w:rPr>
                <w:rFonts w:ascii="Times New Roman" w:eastAsia="Times New Roman" w:hAnsi="Times New Roman" w:cs="Times New Roman"/>
                <w:color w:val="000000"/>
                <w:kern w:val="0"/>
                <w:lang w:eastAsia="ro-MD"/>
                <w14:ligatures w14:val="none"/>
              </w:rPr>
              <w:t>.</w:t>
            </w:r>
          </w:p>
          <w:p w14:paraId="39390234" w14:textId="1D372D05" w:rsidR="006E125A" w:rsidRPr="00260C32" w:rsidRDefault="006E125A" w:rsidP="006F30A7">
            <w:pPr>
              <w:spacing w:after="0" w:line="240" w:lineRule="auto"/>
              <w:rPr>
                <w:rFonts w:ascii="Times New Roman" w:eastAsia="Times New Roman" w:hAnsi="Times New Roman" w:cs="Times New Roman"/>
                <w:color w:val="000000"/>
                <w:kern w:val="0"/>
                <w:lang w:eastAsia="ro-MD"/>
                <w14:ligatures w14:val="none"/>
              </w:rPr>
            </w:pPr>
            <w:r w:rsidRPr="006E125A">
              <w:rPr>
                <w:rFonts w:ascii="Times New Roman" w:eastAsia="Times New Roman" w:hAnsi="Times New Roman" w:cs="Times New Roman"/>
                <w:color w:val="000000"/>
                <w:kern w:val="0"/>
                <w:lang w:eastAsia="ro-MD"/>
                <w14:ligatures w14:val="none"/>
              </w:rPr>
              <w:t xml:space="preserve">În acest </w:t>
            </w:r>
            <w:r w:rsidR="00FA00FF">
              <w:rPr>
                <w:rFonts w:ascii="Times New Roman" w:eastAsia="Times New Roman" w:hAnsi="Times New Roman" w:cs="Times New Roman"/>
                <w:color w:val="000000"/>
                <w:kern w:val="0"/>
                <w:lang w:eastAsia="ro-MD"/>
                <w14:ligatures w14:val="none"/>
              </w:rPr>
              <w:t>post</w:t>
            </w:r>
            <w:r w:rsidRPr="006E125A">
              <w:rPr>
                <w:rFonts w:ascii="Times New Roman" w:eastAsia="Times New Roman" w:hAnsi="Times New Roman" w:cs="Times New Roman"/>
                <w:color w:val="000000"/>
                <w:kern w:val="0"/>
                <w:lang w:eastAsia="ro-MD"/>
                <w14:ligatures w14:val="none"/>
              </w:rPr>
              <w:t xml:space="preserve"> de asemenea se reflectă </w:t>
            </w:r>
            <w:proofErr w:type="spellStart"/>
            <w:r w:rsidRPr="006E125A">
              <w:rPr>
                <w:rFonts w:ascii="Times New Roman" w:eastAsia="Times New Roman" w:hAnsi="Times New Roman" w:cs="Times New Roman"/>
                <w:color w:val="000000"/>
                <w:kern w:val="0"/>
                <w:lang w:eastAsia="ro-MD"/>
                <w14:ligatures w14:val="none"/>
              </w:rPr>
              <w:t>deţinerile</w:t>
            </w:r>
            <w:proofErr w:type="spellEnd"/>
            <w:r w:rsidRPr="006E125A">
              <w:rPr>
                <w:rFonts w:ascii="Times New Roman" w:eastAsia="Times New Roman" w:hAnsi="Times New Roman" w:cs="Times New Roman"/>
                <w:color w:val="000000"/>
                <w:kern w:val="0"/>
                <w:lang w:eastAsia="ro-MD"/>
                <w14:ligatures w14:val="none"/>
              </w:rPr>
              <w:t xml:space="preserve"> care fac obiectul unei derogări temporare, care sunt specificate la postul 21</w:t>
            </w:r>
            <w:r w:rsidR="00240804">
              <w:rPr>
                <w:rFonts w:ascii="Times New Roman" w:eastAsia="Times New Roman" w:hAnsi="Times New Roman" w:cs="Times New Roman"/>
                <w:color w:val="000000"/>
                <w:kern w:val="0"/>
                <w:lang w:eastAsia="ro-MD"/>
                <w14:ligatures w14:val="none"/>
              </w:rPr>
              <w:t>.</w:t>
            </w:r>
            <w:r w:rsidRPr="006E125A">
              <w:rPr>
                <w:rFonts w:ascii="Times New Roman" w:eastAsia="Times New Roman" w:hAnsi="Times New Roman" w:cs="Times New Roman"/>
                <w:color w:val="000000"/>
                <w:kern w:val="0"/>
                <w:lang w:eastAsia="ro-MD"/>
                <w14:ligatures w14:val="none"/>
              </w:rPr>
              <w:t xml:space="preserve"> (rândul </w:t>
            </w:r>
            <w:r w:rsidR="00AC7E90">
              <w:rPr>
                <w:rFonts w:ascii="Times New Roman" w:eastAsia="Times New Roman" w:hAnsi="Times New Roman" w:cs="Times New Roman"/>
                <w:color w:val="000000"/>
                <w:kern w:val="0"/>
                <w:lang w:eastAsia="ro-MD"/>
                <w14:ligatures w14:val="none"/>
              </w:rPr>
              <w:t>0</w:t>
            </w:r>
            <w:r w:rsidRPr="006E125A">
              <w:rPr>
                <w:rFonts w:ascii="Times New Roman" w:eastAsia="Times New Roman" w:hAnsi="Times New Roman" w:cs="Times New Roman"/>
                <w:color w:val="000000"/>
                <w:kern w:val="0"/>
                <w:lang w:eastAsia="ro-MD"/>
                <w14:ligatures w14:val="none"/>
              </w:rPr>
              <w:t>680).</w:t>
            </w:r>
          </w:p>
        </w:tc>
        <w:tc>
          <w:tcPr>
            <w:tcW w:w="713" w:type="dxa"/>
          </w:tcPr>
          <w:p w14:paraId="79A5A270"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776C369" w14:textId="62558A76" w:rsidTr="00627FFD">
        <w:trPr>
          <w:tblCellSpacing w:w="0" w:type="dxa"/>
        </w:trPr>
        <w:tc>
          <w:tcPr>
            <w:tcW w:w="729" w:type="dxa"/>
            <w:gridSpan w:val="2"/>
            <w:hideMark/>
          </w:tcPr>
          <w:p w14:paraId="05A72D50"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0250</w:t>
            </w:r>
          </w:p>
        </w:tc>
        <w:tc>
          <w:tcPr>
            <w:tcW w:w="8043" w:type="dxa"/>
            <w:hideMark/>
          </w:tcPr>
          <w:p w14:paraId="79821AEB" w14:textId="06FE682E"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12.1.1. Dețineri directe brute de fonduri proprii de nivel 1 de bază ale entităților din sectorul financiar în care banca nu deține o investiție semnificativă</w:t>
            </w:r>
          </w:p>
          <w:p w14:paraId="6A56C956" w14:textId="77777777" w:rsidR="00115C61"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Punct</w:t>
            </w:r>
            <w:r>
              <w:rPr>
                <w:rFonts w:ascii="Times New Roman" w:eastAsia="Times New Roman" w:hAnsi="Times New Roman" w:cs="Times New Roman"/>
                <w:color w:val="000000"/>
                <w:kern w:val="0"/>
                <w:lang w:eastAsia="ro-MD"/>
                <w14:ligatures w14:val="none"/>
              </w:rPr>
              <w:t>ul</w:t>
            </w:r>
            <w:r w:rsidRPr="008C359C">
              <w:rPr>
                <w:rFonts w:ascii="Times New Roman" w:eastAsia="Times New Roman" w:hAnsi="Times New Roman" w:cs="Times New Roman"/>
                <w:color w:val="000000"/>
                <w:kern w:val="0"/>
                <w:lang w:eastAsia="ro-MD"/>
                <w14:ligatures w14:val="none"/>
              </w:rPr>
              <w:t xml:space="preserve"> 54</w:t>
            </w:r>
            <w:r>
              <w:rPr>
                <w:rFonts w:ascii="Times New Roman" w:eastAsia="Times New Roman" w:hAnsi="Times New Roman" w:cs="Times New Roman"/>
                <w:color w:val="000000"/>
                <w:kern w:val="0"/>
                <w:lang w:eastAsia="ro-MD"/>
                <w14:ligatures w14:val="none"/>
              </w:rPr>
              <w:t>, punctele 5</w:t>
            </w:r>
            <w:r w:rsidR="00B6247F">
              <w:rPr>
                <w:rFonts w:ascii="Times New Roman" w:eastAsia="Times New Roman" w:hAnsi="Times New Roman" w:cs="Times New Roman"/>
                <w:color w:val="000000"/>
                <w:kern w:val="0"/>
                <w:lang w:eastAsia="ro-MD"/>
                <w14:ligatures w14:val="none"/>
              </w:rPr>
              <w:t>6</w:t>
            </w:r>
            <w:r w:rsidRPr="008C359C">
              <w:rPr>
                <w:rFonts w:ascii="Times New Roman" w:eastAsia="Times New Roman" w:hAnsi="Times New Roman" w:cs="Times New Roman"/>
                <w:color w:val="000000"/>
                <w:kern w:val="0"/>
                <w:lang w:eastAsia="ro-MD"/>
                <w14:ligatures w14:val="none"/>
              </w:rPr>
              <w:t xml:space="preserve">-60 din </w:t>
            </w:r>
            <w:r>
              <w:rPr>
                <w:rFonts w:ascii="Times New Roman" w:eastAsia="Times New Roman" w:hAnsi="Times New Roman" w:cs="Times New Roman"/>
                <w:color w:val="000000"/>
                <w:kern w:val="0"/>
                <w:lang w:eastAsia="ro-MD"/>
                <w14:ligatures w14:val="none"/>
              </w:rPr>
              <w:t>Regulamentul nr.109/2018</w:t>
            </w:r>
            <w:r w:rsidRPr="008C359C">
              <w:rPr>
                <w:rFonts w:ascii="Times New Roman" w:eastAsia="Times New Roman" w:hAnsi="Times New Roman" w:cs="Times New Roman"/>
                <w:color w:val="000000"/>
                <w:kern w:val="0"/>
                <w:lang w:eastAsia="ro-MD"/>
                <w14:ligatures w14:val="none"/>
              </w:rPr>
              <w:t>.</w:t>
            </w:r>
          </w:p>
          <w:p w14:paraId="7DBEE301" w14:textId="0D82B49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directe de fonduri proprii de nivel 1 de bază ale entităților din sectorul financiar în care </w:t>
            </w:r>
            <w:r>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 excluzând:</w:t>
            </w:r>
          </w:p>
          <w:tbl>
            <w:tblPr>
              <w:tblW w:w="5000" w:type="pct"/>
              <w:tblCellSpacing w:w="0" w:type="dxa"/>
              <w:tblLayout w:type="fixed"/>
              <w:tblCellMar>
                <w:left w:w="0" w:type="dxa"/>
                <w:right w:w="0" w:type="dxa"/>
              </w:tblCellMar>
              <w:tblLook w:val="04A0" w:firstRow="1" w:lastRow="0" w:firstColumn="1" w:lastColumn="0" w:noHBand="0" w:noVBand="1"/>
            </w:tblPr>
            <w:tblGrid>
              <w:gridCol w:w="404"/>
              <w:gridCol w:w="7619"/>
            </w:tblGrid>
            <w:tr w:rsidR="00815E38" w:rsidRPr="00260C32" w14:paraId="02D72435" w14:textId="77777777" w:rsidTr="00492BA4">
              <w:trPr>
                <w:tblCellSpacing w:w="0" w:type="dxa"/>
              </w:trPr>
              <w:tc>
                <w:tcPr>
                  <w:tcW w:w="397" w:type="dxa"/>
                  <w:hideMark/>
                </w:tcPr>
                <w:p w14:paraId="1F17AA15" w14:textId="77777777" w:rsidR="00815E38" w:rsidRPr="00260C32" w:rsidRDefault="00815E38"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(a)</w:t>
                  </w:r>
                </w:p>
              </w:tc>
              <w:tc>
                <w:tcPr>
                  <w:tcW w:w="7494" w:type="dxa"/>
                  <w:hideMark/>
                </w:tcPr>
                <w:p w14:paraId="69E49FE6" w14:textId="77777777" w:rsidR="00815E38" w:rsidRPr="00260C32" w:rsidRDefault="00815E38"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pozițiile aferente angajamentelor de preluare fermă deținute timp de cinci zile lucrătoare sau mai puțin;</w:t>
                  </w:r>
                </w:p>
              </w:tc>
            </w:tr>
          </w:tbl>
          <w:p w14:paraId="1294BD14" w14:textId="77777777" w:rsidR="00815E38" w:rsidRPr="00260C32" w:rsidRDefault="00815E38" w:rsidP="006F30A7">
            <w:pPr>
              <w:spacing w:after="0" w:line="240" w:lineRule="auto"/>
              <w:rPr>
                <w:rFonts w:ascii="Times New Roman" w:eastAsia="Times New Roman" w:hAnsi="Times New Roman" w:cs="Times New Roman"/>
                <w:vanish/>
                <w:color w:val="000000"/>
                <w:kern w:val="0"/>
                <w:lang w:eastAsia="ro-MD"/>
                <w14:ligatures w14:val="none"/>
              </w:rPr>
            </w:pPr>
          </w:p>
          <w:tbl>
            <w:tblPr>
              <w:tblW w:w="5000" w:type="pct"/>
              <w:tblCellSpacing w:w="0" w:type="dxa"/>
              <w:tblLayout w:type="fixed"/>
              <w:tblCellMar>
                <w:left w:w="0" w:type="dxa"/>
                <w:right w:w="0" w:type="dxa"/>
              </w:tblCellMar>
              <w:tblLook w:val="04A0" w:firstRow="1" w:lastRow="0" w:firstColumn="1" w:lastColumn="0" w:noHBand="0" w:noVBand="1"/>
            </w:tblPr>
            <w:tblGrid>
              <w:gridCol w:w="404"/>
              <w:gridCol w:w="7619"/>
            </w:tblGrid>
            <w:tr w:rsidR="00815E38" w:rsidRPr="00260C32" w14:paraId="2C449376" w14:textId="77777777" w:rsidTr="00492BA4">
              <w:trPr>
                <w:tblCellSpacing w:w="0" w:type="dxa"/>
              </w:trPr>
              <w:tc>
                <w:tcPr>
                  <w:tcW w:w="397" w:type="dxa"/>
                  <w:hideMark/>
                </w:tcPr>
                <w:p w14:paraId="6F26681B" w14:textId="77777777" w:rsidR="00815E38" w:rsidRPr="00260C32" w:rsidRDefault="00815E38"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(b)</w:t>
                  </w:r>
                </w:p>
              </w:tc>
              <w:tc>
                <w:tcPr>
                  <w:tcW w:w="7494" w:type="dxa"/>
                  <w:hideMark/>
                </w:tcPr>
                <w:p w14:paraId="2F74BB5C" w14:textId="11441749" w:rsidR="00815E38" w:rsidRPr="00260C32" w:rsidRDefault="00115C61"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 xml:space="preserve">deținerile care sunt tratate drept dețineri reciproce în conformitate cu </w:t>
                  </w:r>
                  <w:r w:rsidRPr="00B46497">
                    <w:rPr>
                      <w:rFonts w:ascii="Times New Roman" w:eastAsia="Times New Roman" w:hAnsi="Times New Roman" w:cs="Times New Roman"/>
                      <w:kern w:val="0"/>
                      <w:lang w:eastAsia="ro-MD"/>
                      <w14:ligatures w14:val="none"/>
                    </w:rPr>
                    <w:t xml:space="preserve">punctul 30 subpunctul 6) din </w:t>
                  </w:r>
                  <w:r>
                    <w:rPr>
                      <w:rFonts w:ascii="Times New Roman" w:eastAsia="Times New Roman" w:hAnsi="Times New Roman" w:cs="Times New Roman"/>
                      <w:kern w:val="0"/>
                      <w:lang w:eastAsia="ro-MD"/>
                      <w14:ligatures w14:val="none"/>
                    </w:rPr>
                    <w:t>Regulamentul nr.109/2018</w:t>
                  </w:r>
                </w:p>
              </w:tc>
            </w:tr>
          </w:tbl>
          <w:p w14:paraId="5DD9E3F1" w14:textId="77777777" w:rsidR="00815E38" w:rsidRPr="00260C32" w:rsidRDefault="00815E38" w:rsidP="006F30A7">
            <w:pPr>
              <w:spacing w:after="0" w:line="240" w:lineRule="auto"/>
              <w:rPr>
                <w:rFonts w:ascii="Times New Roman" w:eastAsia="Times New Roman" w:hAnsi="Times New Roman" w:cs="Times New Roman"/>
                <w:vanish/>
                <w:color w:val="000000"/>
                <w:kern w:val="0"/>
                <w:lang w:eastAsia="ro-MD"/>
                <w14:ligatures w14:val="none"/>
              </w:rPr>
            </w:pPr>
          </w:p>
          <w:p w14:paraId="272EBF89"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p>
        </w:tc>
        <w:tc>
          <w:tcPr>
            <w:tcW w:w="713" w:type="dxa"/>
          </w:tcPr>
          <w:p w14:paraId="06ADC0BD"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76565AEC" w14:textId="52C7CD67" w:rsidTr="00627FFD">
        <w:trPr>
          <w:tblCellSpacing w:w="0" w:type="dxa"/>
        </w:trPr>
        <w:tc>
          <w:tcPr>
            <w:tcW w:w="729" w:type="dxa"/>
            <w:gridSpan w:val="2"/>
            <w:hideMark/>
          </w:tcPr>
          <w:p w14:paraId="3233686A"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0260</w:t>
            </w:r>
          </w:p>
        </w:tc>
        <w:tc>
          <w:tcPr>
            <w:tcW w:w="8043" w:type="dxa"/>
            <w:hideMark/>
          </w:tcPr>
          <w:p w14:paraId="7939791B"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12.1.2. (-) Poziții scurte de semn opus permise în ceea ce privește deținerile directe brute incluse mai sus</w:t>
            </w:r>
          </w:p>
          <w:p w14:paraId="4F99C477" w14:textId="77777777" w:rsidR="00115C61"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55</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sidRPr="008C359C">
              <w:rPr>
                <w:rFonts w:ascii="Times New Roman" w:eastAsia="Times New Roman" w:hAnsi="Times New Roman" w:cs="Times New Roman"/>
                <w:color w:val="000000"/>
                <w:kern w:val="0"/>
                <w:lang w:eastAsia="ro-MD"/>
                <w14:ligatures w14:val="none"/>
              </w:rPr>
              <w:t>.</w:t>
            </w:r>
          </w:p>
          <w:p w14:paraId="58D82027" w14:textId="5399D553"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55</w:t>
            </w:r>
            <w:r w:rsidR="00996820">
              <w:rPr>
                <w:rFonts w:ascii="Times New Roman" w:eastAsia="Times New Roman" w:hAnsi="Times New Roman" w:cs="Times New Roman"/>
                <w:color w:val="000000"/>
                <w:kern w:val="0"/>
                <w:lang w:eastAsia="ro-MD"/>
                <w14:ligatures w14:val="none"/>
              </w:rPr>
              <w:t xml:space="preserve"> subpunctul 1)</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sidRPr="00260C32" w:rsidDel="002C123F">
              <w:rPr>
                <w:rFonts w:ascii="Times New Roman" w:eastAsia="Times New Roman" w:hAnsi="Times New Roman" w:cs="Times New Roman"/>
                <w:color w:val="000000"/>
                <w:kern w:val="0"/>
                <w:lang w:eastAsia="ro-MD"/>
                <w14:ligatures w14:val="none"/>
              </w:rPr>
              <w:t xml:space="preserve"> </w:t>
            </w:r>
            <w:r w:rsidRPr="00260C32">
              <w:rPr>
                <w:rFonts w:ascii="Times New Roman" w:eastAsia="Times New Roman" w:hAnsi="Times New Roman" w:cs="Times New Roman"/>
                <w:color w:val="000000"/>
                <w:kern w:val="0"/>
                <w:lang w:eastAsia="ro-MD"/>
                <w14:ligatures w14:val="none"/>
              </w:rPr>
              <w:t>permite compensarea pozițiilor scurte în aceeași expunere-suport cu condiția ca data scadenței poziției scurte să fie aceeași cu data scadenței poziției lungi ori să survină după această dată sau scadența reziduală a poziției scurte să fie de cel puțin un an.</w:t>
            </w:r>
          </w:p>
        </w:tc>
        <w:tc>
          <w:tcPr>
            <w:tcW w:w="713" w:type="dxa"/>
          </w:tcPr>
          <w:p w14:paraId="561FD1D7"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6C169721" w14:textId="1DC214C0" w:rsidTr="00627FFD">
        <w:trPr>
          <w:tblCellSpacing w:w="0" w:type="dxa"/>
        </w:trPr>
        <w:tc>
          <w:tcPr>
            <w:tcW w:w="729" w:type="dxa"/>
            <w:gridSpan w:val="2"/>
            <w:hideMark/>
          </w:tcPr>
          <w:p w14:paraId="69EAF902"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0270</w:t>
            </w:r>
          </w:p>
        </w:tc>
        <w:tc>
          <w:tcPr>
            <w:tcW w:w="8043" w:type="dxa"/>
            <w:hideMark/>
          </w:tcPr>
          <w:p w14:paraId="765FA381" w14:textId="041CE238"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12.2. Dețineri indirecte de fonduri proprii de nivel 1 de bază ale entităților din sectorul financiar în care banca nu deține o investiție semnificativă</w:t>
            </w:r>
          </w:p>
          <w:p w14:paraId="4E108DA3" w14:textId="3C757730"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Punct</w:t>
            </w:r>
            <w:r>
              <w:rPr>
                <w:rFonts w:ascii="Times New Roman" w:eastAsia="Times New Roman" w:hAnsi="Times New Roman" w:cs="Times New Roman"/>
                <w:color w:val="000000"/>
                <w:kern w:val="0"/>
                <w:lang w:eastAsia="ro-MD"/>
                <w14:ligatures w14:val="none"/>
              </w:rPr>
              <w:t>e</w:t>
            </w:r>
            <w:r w:rsidRPr="008C359C">
              <w:rPr>
                <w:rFonts w:ascii="Times New Roman" w:eastAsia="Times New Roman" w:hAnsi="Times New Roman" w:cs="Times New Roman"/>
                <w:color w:val="000000"/>
                <w:kern w:val="0"/>
                <w:lang w:eastAsia="ro-MD"/>
                <w14:ligatures w14:val="none"/>
              </w:rPr>
              <w:t>l</w:t>
            </w:r>
            <w:r>
              <w:rPr>
                <w:rFonts w:ascii="Times New Roman" w:eastAsia="Times New Roman" w:hAnsi="Times New Roman" w:cs="Times New Roman"/>
                <w:color w:val="000000"/>
                <w:kern w:val="0"/>
                <w:lang w:eastAsia="ro-MD"/>
                <w14:ligatures w14:val="none"/>
              </w:rPr>
              <w:t xml:space="preserve">e </w:t>
            </w:r>
            <w:r w:rsidR="00996820">
              <w:rPr>
                <w:rFonts w:ascii="Times New Roman" w:eastAsia="Times New Roman" w:hAnsi="Times New Roman" w:cs="Times New Roman"/>
                <w:color w:val="000000"/>
                <w:kern w:val="0"/>
                <w:lang w:eastAsia="ro-MD"/>
                <w14:ligatures w14:val="none"/>
              </w:rPr>
              <w:t xml:space="preserve">4, </w:t>
            </w:r>
            <w:r>
              <w:rPr>
                <w:rFonts w:ascii="Times New Roman" w:eastAsia="Times New Roman" w:hAnsi="Times New Roman" w:cs="Times New Roman"/>
                <w:color w:val="000000"/>
                <w:kern w:val="0"/>
                <w:lang w:eastAsia="ro-MD"/>
                <w14:ligatures w14:val="none"/>
              </w:rPr>
              <w:t>54 și</w:t>
            </w:r>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55</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tc>
        <w:tc>
          <w:tcPr>
            <w:tcW w:w="713" w:type="dxa"/>
          </w:tcPr>
          <w:p w14:paraId="39A2D5F4"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538FC7EC" w14:textId="36F6C111" w:rsidTr="00627FFD">
        <w:trPr>
          <w:tblCellSpacing w:w="0" w:type="dxa"/>
        </w:trPr>
        <w:tc>
          <w:tcPr>
            <w:tcW w:w="729" w:type="dxa"/>
            <w:gridSpan w:val="2"/>
            <w:hideMark/>
          </w:tcPr>
          <w:p w14:paraId="39B0C2ED"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0280</w:t>
            </w:r>
          </w:p>
        </w:tc>
        <w:tc>
          <w:tcPr>
            <w:tcW w:w="8043" w:type="dxa"/>
            <w:hideMark/>
          </w:tcPr>
          <w:p w14:paraId="4D32D457" w14:textId="65D265D0"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12.2.1. Dețineri indirecte brute de fonduri proprii de nivel 1 de bază ale entităților din sectorul financiar în care banca nu deține o investiție semnificativă</w:t>
            </w:r>
          </w:p>
          <w:p w14:paraId="7FD99B97" w14:textId="77777777" w:rsidR="00115C61"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Punct</w:t>
            </w:r>
            <w:r>
              <w:rPr>
                <w:rFonts w:ascii="Times New Roman" w:eastAsia="Times New Roman" w:hAnsi="Times New Roman" w:cs="Times New Roman"/>
                <w:color w:val="000000"/>
                <w:kern w:val="0"/>
                <w:lang w:eastAsia="ro-MD"/>
                <w14:ligatures w14:val="none"/>
              </w:rPr>
              <w:t>e</w:t>
            </w:r>
            <w:r w:rsidRPr="008C359C">
              <w:rPr>
                <w:rFonts w:ascii="Times New Roman" w:eastAsia="Times New Roman" w:hAnsi="Times New Roman" w:cs="Times New Roman"/>
                <w:color w:val="000000"/>
                <w:kern w:val="0"/>
                <w:lang w:eastAsia="ro-MD"/>
                <w14:ligatures w14:val="none"/>
              </w:rPr>
              <w:t>l</w:t>
            </w:r>
            <w:r>
              <w:rPr>
                <w:rFonts w:ascii="Times New Roman" w:eastAsia="Times New Roman" w:hAnsi="Times New Roman" w:cs="Times New Roman"/>
                <w:color w:val="000000"/>
                <w:kern w:val="0"/>
                <w:lang w:eastAsia="ro-MD"/>
                <w14:ligatures w14:val="none"/>
              </w:rPr>
              <w:t xml:space="preserve">e </w:t>
            </w:r>
            <w:r w:rsidR="00CC7600">
              <w:rPr>
                <w:rFonts w:ascii="Times New Roman" w:eastAsia="Times New Roman" w:hAnsi="Times New Roman" w:cs="Times New Roman"/>
                <w:color w:val="000000"/>
                <w:kern w:val="0"/>
                <w:lang w:eastAsia="ro-MD"/>
                <w14:ligatures w14:val="none"/>
              </w:rPr>
              <w:t xml:space="preserve">4, </w:t>
            </w:r>
            <w:r>
              <w:rPr>
                <w:rFonts w:ascii="Times New Roman" w:eastAsia="Times New Roman" w:hAnsi="Times New Roman" w:cs="Times New Roman"/>
                <w:color w:val="000000"/>
                <w:kern w:val="0"/>
                <w:lang w:eastAsia="ro-MD"/>
                <w14:ligatures w14:val="none"/>
              </w:rPr>
              <w:t>54 și</w:t>
            </w:r>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55</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p w14:paraId="1B086D90" w14:textId="3F000C03"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care trebuie raportat este cel al deținerilor indirecte din portofoliul de tranzacționare în instrumentele de capital ale entităților din sectorul financiar care iau forma unor dețineri de titluri de valoare bazate pe indici. Acesta se obține prin calcularea expunerii-suport față de instrumentele de capital ale entităților din sectorul financiar incluse în indici.</w:t>
            </w:r>
          </w:p>
          <w:p w14:paraId="2D5FE98E" w14:textId="3FCE4E24"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CC7600">
              <w:rPr>
                <w:rFonts w:ascii="Times New Roman" w:eastAsia="Times New Roman" w:hAnsi="Times New Roman" w:cs="Times New Roman"/>
                <w:color w:val="000000"/>
                <w:kern w:val="0"/>
                <w:lang w:eastAsia="ro-MD"/>
                <w14:ligatures w14:val="none"/>
              </w:rPr>
              <w:t xml:space="preserve">Nu se includ deținerile care sunt tratate drept dețineri reciproce în conformitate cu </w:t>
            </w:r>
            <w:r w:rsidR="00CC7600" w:rsidRPr="00CC7600">
              <w:rPr>
                <w:rFonts w:ascii="Times New Roman" w:eastAsia="Times New Roman" w:hAnsi="Times New Roman" w:cs="Times New Roman"/>
                <w:color w:val="000000"/>
                <w:kern w:val="0"/>
                <w:lang w:eastAsia="ro-MD"/>
                <w14:ligatures w14:val="none"/>
              </w:rPr>
              <w:t>punctul 30 subpunctul 6) din Regulamentul nr.109/2018</w:t>
            </w:r>
            <w:r w:rsidRPr="00CC7600">
              <w:rPr>
                <w:rFonts w:ascii="Times New Roman" w:eastAsia="Times New Roman" w:hAnsi="Times New Roman" w:cs="Times New Roman"/>
                <w:color w:val="000000"/>
                <w:kern w:val="0"/>
                <w:lang w:eastAsia="ro-MD"/>
                <w14:ligatures w14:val="none"/>
              </w:rPr>
              <w:t>.</w:t>
            </w:r>
          </w:p>
        </w:tc>
        <w:tc>
          <w:tcPr>
            <w:tcW w:w="713" w:type="dxa"/>
          </w:tcPr>
          <w:p w14:paraId="33597155"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0241EE0C" w14:textId="095DA0A6" w:rsidTr="00627FFD">
        <w:trPr>
          <w:tblCellSpacing w:w="0" w:type="dxa"/>
        </w:trPr>
        <w:tc>
          <w:tcPr>
            <w:tcW w:w="729" w:type="dxa"/>
            <w:gridSpan w:val="2"/>
            <w:hideMark/>
          </w:tcPr>
          <w:p w14:paraId="4DF592AF"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0290</w:t>
            </w:r>
          </w:p>
        </w:tc>
        <w:tc>
          <w:tcPr>
            <w:tcW w:w="8043" w:type="dxa"/>
            <w:hideMark/>
          </w:tcPr>
          <w:p w14:paraId="61091744"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12.2.2. (-) Poziții scurte de semn opus permise în ceea ce privește deținerile indirecte brute incluse mai sus</w:t>
            </w:r>
          </w:p>
          <w:p w14:paraId="697309A5" w14:textId="77777777" w:rsidR="00115C61"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Punct</w:t>
            </w:r>
            <w:r w:rsidR="0071547F">
              <w:rPr>
                <w:rFonts w:ascii="Times New Roman" w:eastAsia="Times New Roman" w:hAnsi="Times New Roman" w:cs="Times New Roman"/>
                <w:color w:val="000000"/>
                <w:kern w:val="0"/>
                <w:lang w:eastAsia="ro-MD"/>
                <w14:ligatures w14:val="none"/>
              </w:rPr>
              <w:t>ele</w:t>
            </w:r>
            <w:r w:rsidRPr="008C359C">
              <w:rPr>
                <w:rFonts w:ascii="Times New Roman" w:eastAsia="Times New Roman" w:hAnsi="Times New Roman" w:cs="Times New Roman"/>
                <w:color w:val="000000"/>
                <w:kern w:val="0"/>
                <w:lang w:eastAsia="ro-MD"/>
                <w14:ligatures w14:val="none"/>
              </w:rPr>
              <w:t xml:space="preserve"> </w:t>
            </w:r>
            <w:r w:rsidR="00CC7600">
              <w:rPr>
                <w:rFonts w:ascii="Times New Roman" w:eastAsia="Times New Roman" w:hAnsi="Times New Roman" w:cs="Times New Roman"/>
                <w:color w:val="000000"/>
                <w:kern w:val="0"/>
                <w:lang w:eastAsia="ro-MD"/>
                <w14:ligatures w14:val="none"/>
              </w:rPr>
              <w:t xml:space="preserve">4 și </w:t>
            </w:r>
            <w:r>
              <w:rPr>
                <w:rFonts w:ascii="Times New Roman" w:eastAsia="Times New Roman" w:hAnsi="Times New Roman" w:cs="Times New Roman"/>
                <w:color w:val="000000"/>
                <w:kern w:val="0"/>
                <w:lang w:eastAsia="ro-MD"/>
                <w14:ligatures w14:val="none"/>
              </w:rPr>
              <w:t>55</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sidRPr="00260C32" w:rsidDel="002800C6">
              <w:rPr>
                <w:rFonts w:ascii="Times New Roman" w:eastAsia="Times New Roman" w:hAnsi="Times New Roman" w:cs="Times New Roman"/>
                <w:color w:val="000000"/>
                <w:kern w:val="0"/>
                <w:lang w:eastAsia="ro-MD"/>
                <w14:ligatures w14:val="none"/>
              </w:rPr>
              <w:t xml:space="preserve"> </w:t>
            </w:r>
          </w:p>
          <w:p w14:paraId="723BFC10" w14:textId="47999196"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55</w:t>
            </w:r>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 xml:space="preserve">subpunctul 1) </w:t>
            </w:r>
            <w:r w:rsidRPr="008C359C">
              <w:rPr>
                <w:rFonts w:ascii="Times New Roman" w:eastAsia="Times New Roman" w:hAnsi="Times New Roman" w:cs="Times New Roman"/>
                <w:color w:val="000000"/>
                <w:kern w:val="0"/>
                <w:lang w:eastAsia="ro-MD"/>
                <w14:ligatures w14:val="none"/>
              </w:rPr>
              <w:t xml:space="preserve">din </w:t>
            </w:r>
            <w:r>
              <w:rPr>
                <w:rFonts w:ascii="Times New Roman" w:eastAsia="Times New Roman" w:hAnsi="Times New Roman" w:cs="Times New Roman"/>
                <w:color w:val="000000"/>
                <w:kern w:val="0"/>
                <w:lang w:eastAsia="ro-MD"/>
                <w14:ligatures w14:val="none"/>
              </w:rPr>
              <w:t>Regulamentul nr.109/2018</w:t>
            </w:r>
            <w:r w:rsidRPr="00260C32" w:rsidDel="002800C6">
              <w:rPr>
                <w:rFonts w:ascii="Times New Roman" w:eastAsia="Times New Roman" w:hAnsi="Times New Roman" w:cs="Times New Roman"/>
                <w:color w:val="000000"/>
                <w:kern w:val="0"/>
                <w:lang w:eastAsia="ro-MD"/>
                <w14:ligatures w14:val="none"/>
              </w:rPr>
              <w:t xml:space="preserve"> </w:t>
            </w:r>
            <w:r w:rsidRPr="00260C32">
              <w:rPr>
                <w:rFonts w:ascii="Times New Roman" w:eastAsia="Times New Roman" w:hAnsi="Times New Roman" w:cs="Times New Roman"/>
                <w:color w:val="000000"/>
                <w:kern w:val="0"/>
                <w:lang w:eastAsia="ro-MD"/>
                <w14:ligatures w14:val="none"/>
              </w:rPr>
              <w:t>permite compensarea pozițiilor scurte în aceeași expunere-suport cu condiția ca data scadenței poziției scurte să fie aceeași cu data scadenței poziției lungi ori să survină după această dată sau scadența reziduală a poziției scurte să fie de cel puțin un an.</w:t>
            </w:r>
          </w:p>
        </w:tc>
        <w:tc>
          <w:tcPr>
            <w:tcW w:w="713" w:type="dxa"/>
          </w:tcPr>
          <w:p w14:paraId="67E8C0D1"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DC9021C" w14:textId="6739FAD3" w:rsidTr="00627FFD">
        <w:trPr>
          <w:tblCellSpacing w:w="0" w:type="dxa"/>
        </w:trPr>
        <w:tc>
          <w:tcPr>
            <w:tcW w:w="729" w:type="dxa"/>
            <w:gridSpan w:val="2"/>
            <w:hideMark/>
          </w:tcPr>
          <w:p w14:paraId="3655FC21"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0291</w:t>
            </w:r>
          </w:p>
        </w:tc>
        <w:tc>
          <w:tcPr>
            <w:tcW w:w="8043" w:type="dxa"/>
            <w:hideMark/>
          </w:tcPr>
          <w:p w14:paraId="1BB6598E" w14:textId="6238344C"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12.3.1. Dețineri sintetice de fonduri proprii de nivel 1 de bază ale entităților din sectorul financiar în care banca nu deține o investiție semnificativă</w:t>
            </w:r>
          </w:p>
          <w:p w14:paraId="3D9665B7" w14:textId="260FA61B"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Punct</w:t>
            </w:r>
            <w:r>
              <w:rPr>
                <w:rFonts w:ascii="Times New Roman" w:eastAsia="Times New Roman" w:hAnsi="Times New Roman" w:cs="Times New Roman"/>
                <w:color w:val="000000"/>
                <w:kern w:val="0"/>
                <w:lang w:eastAsia="ro-MD"/>
                <w14:ligatures w14:val="none"/>
              </w:rPr>
              <w:t>e</w:t>
            </w:r>
            <w:r w:rsidRPr="008C359C">
              <w:rPr>
                <w:rFonts w:ascii="Times New Roman" w:eastAsia="Times New Roman" w:hAnsi="Times New Roman" w:cs="Times New Roman"/>
                <w:color w:val="000000"/>
                <w:kern w:val="0"/>
                <w:lang w:eastAsia="ro-MD"/>
                <w14:ligatures w14:val="none"/>
              </w:rPr>
              <w:t>l</w:t>
            </w:r>
            <w:r>
              <w:rPr>
                <w:rFonts w:ascii="Times New Roman" w:eastAsia="Times New Roman" w:hAnsi="Times New Roman" w:cs="Times New Roman"/>
                <w:color w:val="000000"/>
                <w:kern w:val="0"/>
                <w:lang w:eastAsia="ro-MD"/>
                <w14:ligatures w14:val="none"/>
              </w:rPr>
              <w:t xml:space="preserve">e </w:t>
            </w:r>
            <w:r w:rsidR="00CC7600">
              <w:rPr>
                <w:rFonts w:ascii="Times New Roman" w:eastAsia="Times New Roman" w:hAnsi="Times New Roman" w:cs="Times New Roman"/>
                <w:color w:val="000000"/>
                <w:kern w:val="0"/>
                <w:lang w:eastAsia="ro-MD"/>
                <w14:ligatures w14:val="none"/>
              </w:rPr>
              <w:t xml:space="preserve">4, </w:t>
            </w:r>
            <w:r>
              <w:rPr>
                <w:rFonts w:ascii="Times New Roman" w:eastAsia="Times New Roman" w:hAnsi="Times New Roman" w:cs="Times New Roman"/>
                <w:color w:val="000000"/>
                <w:kern w:val="0"/>
                <w:lang w:eastAsia="ro-MD"/>
                <w14:ligatures w14:val="none"/>
              </w:rPr>
              <w:t>54 și</w:t>
            </w:r>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55</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tc>
        <w:tc>
          <w:tcPr>
            <w:tcW w:w="713" w:type="dxa"/>
          </w:tcPr>
          <w:p w14:paraId="365855E2"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7AA15BC6" w14:textId="75E381C9" w:rsidTr="00627FFD">
        <w:trPr>
          <w:tblCellSpacing w:w="0" w:type="dxa"/>
        </w:trPr>
        <w:tc>
          <w:tcPr>
            <w:tcW w:w="729" w:type="dxa"/>
            <w:gridSpan w:val="2"/>
            <w:hideMark/>
          </w:tcPr>
          <w:p w14:paraId="3362C3D7"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0292</w:t>
            </w:r>
          </w:p>
        </w:tc>
        <w:tc>
          <w:tcPr>
            <w:tcW w:w="8043" w:type="dxa"/>
            <w:hideMark/>
          </w:tcPr>
          <w:p w14:paraId="6EFFD682" w14:textId="7A5C8C88"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12.3.2. Dețineri sintetice brute de fonduri proprii de nivel 1 de bază ale entităților din sectorul financiar în care banca nu deține o investiție semnificativă</w:t>
            </w:r>
          </w:p>
          <w:p w14:paraId="67D53D66" w14:textId="29D08FB6"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Punct</w:t>
            </w:r>
            <w:r>
              <w:rPr>
                <w:rFonts w:ascii="Times New Roman" w:eastAsia="Times New Roman" w:hAnsi="Times New Roman" w:cs="Times New Roman"/>
                <w:color w:val="000000"/>
                <w:kern w:val="0"/>
                <w:lang w:eastAsia="ro-MD"/>
                <w14:ligatures w14:val="none"/>
              </w:rPr>
              <w:t>e</w:t>
            </w:r>
            <w:r w:rsidRPr="008C359C">
              <w:rPr>
                <w:rFonts w:ascii="Times New Roman" w:eastAsia="Times New Roman" w:hAnsi="Times New Roman" w:cs="Times New Roman"/>
                <w:color w:val="000000"/>
                <w:kern w:val="0"/>
                <w:lang w:eastAsia="ro-MD"/>
                <w14:ligatures w14:val="none"/>
              </w:rPr>
              <w:t>l</w:t>
            </w:r>
            <w:r>
              <w:rPr>
                <w:rFonts w:ascii="Times New Roman" w:eastAsia="Times New Roman" w:hAnsi="Times New Roman" w:cs="Times New Roman"/>
                <w:color w:val="000000"/>
                <w:kern w:val="0"/>
                <w:lang w:eastAsia="ro-MD"/>
                <w14:ligatures w14:val="none"/>
              </w:rPr>
              <w:t xml:space="preserve">e </w:t>
            </w:r>
            <w:r w:rsidR="00CC7600">
              <w:rPr>
                <w:rFonts w:ascii="Times New Roman" w:eastAsia="Times New Roman" w:hAnsi="Times New Roman" w:cs="Times New Roman"/>
                <w:color w:val="000000"/>
                <w:kern w:val="0"/>
                <w:lang w:eastAsia="ro-MD"/>
                <w14:ligatures w14:val="none"/>
              </w:rPr>
              <w:t xml:space="preserve">4, </w:t>
            </w:r>
            <w:r>
              <w:rPr>
                <w:rFonts w:ascii="Times New Roman" w:eastAsia="Times New Roman" w:hAnsi="Times New Roman" w:cs="Times New Roman"/>
                <w:color w:val="000000"/>
                <w:kern w:val="0"/>
                <w:lang w:eastAsia="ro-MD"/>
                <w14:ligatures w14:val="none"/>
              </w:rPr>
              <w:t>55 și</w:t>
            </w:r>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56</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tc>
        <w:tc>
          <w:tcPr>
            <w:tcW w:w="713" w:type="dxa"/>
          </w:tcPr>
          <w:p w14:paraId="33F6EF2F"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0E596C95" w14:textId="2342BEF5" w:rsidTr="00627FFD">
        <w:trPr>
          <w:tblCellSpacing w:w="0" w:type="dxa"/>
        </w:trPr>
        <w:tc>
          <w:tcPr>
            <w:tcW w:w="729" w:type="dxa"/>
            <w:gridSpan w:val="2"/>
            <w:hideMark/>
          </w:tcPr>
          <w:p w14:paraId="1B4AC673"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lastRenderedPageBreak/>
              <w:t>0293</w:t>
            </w:r>
          </w:p>
        </w:tc>
        <w:tc>
          <w:tcPr>
            <w:tcW w:w="8043" w:type="dxa"/>
            <w:hideMark/>
          </w:tcPr>
          <w:p w14:paraId="1EABE5A6"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12.3.3. (-) Poziții scurte de semn opus permise în ceea ce privește deținerile sintetice brute incluse mai sus</w:t>
            </w:r>
          </w:p>
          <w:p w14:paraId="0A01DD8F" w14:textId="77777777" w:rsidR="00115C61"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Punct</w:t>
            </w:r>
            <w:r w:rsidR="0071547F">
              <w:rPr>
                <w:rFonts w:ascii="Times New Roman" w:eastAsia="Times New Roman" w:hAnsi="Times New Roman" w:cs="Times New Roman"/>
                <w:color w:val="000000"/>
                <w:kern w:val="0"/>
                <w:lang w:eastAsia="ro-MD"/>
                <w14:ligatures w14:val="none"/>
              </w:rPr>
              <w:t>ele</w:t>
            </w:r>
            <w:r w:rsidRPr="008C359C">
              <w:rPr>
                <w:rFonts w:ascii="Times New Roman" w:eastAsia="Times New Roman" w:hAnsi="Times New Roman" w:cs="Times New Roman"/>
                <w:color w:val="000000"/>
                <w:kern w:val="0"/>
                <w:lang w:eastAsia="ro-MD"/>
                <w14:ligatures w14:val="none"/>
              </w:rPr>
              <w:t xml:space="preserve"> </w:t>
            </w:r>
            <w:r w:rsidR="00CC7600">
              <w:rPr>
                <w:rFonts w:ascii="Times New Roman" w:eastAsia="Times New Roman" w:hAnsi="Times New Roman" w:cs="Times New Roman"/>
                <w:color w:val="000000"/>
                <w:kern w:val="0"/>
                <w:lang w:eastAsia="ro-MD"/>
                <w14:ligatures w14:val="none"/>
              </w:rPr>
              <w:t xml:space="preserve">4 și </w:t>
            </w:r>
            <w:r>
              <w:rPr>
                <w:rFonts w:ascii="Times New Roman" w:eastAsia="Times New Roman" w:hAnsi="Times New Roman" w:cs="Times New Roman"/>
                <w:color w:val="000000"/>
                <w:kern w:val="0"/>
                <w:lang w:eastAsia="ro-MD"/>
                <w14:ligatures w14:val="none"/>
              </w:rPr>
              <w:t>55</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sidRPr="00260C32" w:rsidDel="002800C6">
              <w:rPr>
                <w:rFonts w:ascii="Times New Roman" w:eastAsia="Times New Roman" w:hAnsi="Times New Roman" w:cs="Times New Roman"/>
                <w:color w:val="000000"/>
                <w:kern w:val="0"/>
                <w:lang w:eastAsia="ro-MD"/>
                <w14:ligatures w14:val="none"/>
              </w:rPr>
              <w:t xml:space="preserve"> </w:t>
            </w:r>
          </w:p>
          <w:p w14:paraId="646B95A9" w14:textId="0004CC4E" w:rsidR="00815E38" w:rsidRPr="00260C32" w:rsidRDefault="00CC7600"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P</w:t>
            </w:r>
            <w:r w:rsidRPr="008C359C">
              <w:rPr>
                <w:rFonts w:ascii="Times New Roman" w:eastAsia="Times New Roman" w:hAnsi="Times New Roman" w:cs="Times New Roman"/>
                <w:color w:val="000000"/>
                <w:kern w:val="0"/>
                <w:lang w:eastAsia="ro-MD"/>
                <w14:ligatures w14:val="none"/>
              </w:rPr>
              <w:t xml:space="preserve">unctul </w:t>
            </w:r>
            <w:r>
              <w:rPr>
                <w:rFonts w:ascii="Times New Roman" w:eastAsia="Times New Roman" w:hAnsi="Times New Roman" w:cs="Times New Roman"/>
                <w:color w:val="000000"/>
                <w:kern w:val="0"/>
                <w:lang w:eastAsia="ro-MD"/>
                <w14:ligatures w14:val="none"/>
              </w:rPr>
              <w:t>55</w:t>
            </w:r>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 xml:space="preserve">subpunctul 1) </w:t>
            </w:r>
            <w:r w:rsidRPr="008C359C">
              <w:rPr>
                <w:rFonts w:ascii="Times New Roman" w:eastAsia="Times New Roman" w:hAnsi="Times New Roman" w:cs="Times New Roman"/>
                <w:color w:val="000000"/>
                <w:kern w:val="0"/>
                <w:lang w:eastAsia="ro-MD"/>
                <w14:ligatures w14:val="none"/>
              </w:rPr>
              <w:t xml:space="preserve">din </w:t>
            </w:r>
            <w:r>
              <w:rPr>
                <w:rFonts w:ascii="Times New Roman" w:eastAsia="Times New Roman" w:hAnsi="Times New Roman" w:cs="Times New Roman"/>
                <w:color w:val="000000"/>
                <w:kern w:val="0"/>
                <w:lang w:eastAsia="ro-MD"/>
                <w14:ligatures w14:val="none"/>
              </w:rPr>
              <w:t>Regulamentul nr.109/2018</w:t>
            </w:r>
            <w:r w:rsidR="00115C61">
              <w:rPr>
                <w:rFonts w:ascii="Times New Roman" w:eastAsia="Times New Roman" w:hAnsi="Times New Roman" w:cs="Times New Roman"/>
                <w:color w:val="000000"/>
                <w:kern w:val="0"/>
                <w:lang w:eastAsia="ro-MD"/>
                <w14:ligatures w14:val="none"/>
              </w:rPr>
              <w:t xml:space="preserve"> </w:t>
            </w:r>
            <w:r w:rsidR="00815E38" w:rsidRPr="00260C32">
              <w:rPr>
                <w:rFonts w:ascii="Times New Roman" w:eastAsia="Times New Roman" w:hAnsi="Times New Roman" w:cs="Times New Roman"/>
                <w:color w:val="000000"/>
                <w:kern w:val="0"/>
                <w:lang w:eastAsia="ro-MD"/>
                <w14:ligatures w14:val="none"/>
              </w:rPr>
              <w:t>permite compensarea pozițiilor scurte în aceeași expunere-suport cu condiția ca data scadenței poziției scurte să fie aceeași cu data scadenței poziției lungi ori să survină după această dată sau scadența reziduală a poziției scurte să fie de cel puțin un an.</w:t>
            </w:r>
          </w:p>
        </w:tc>
        <w:tc>
          <w:tcPr>
            <w:tcW w:w="713" w:type="dxa"/>
          </w:tcPr>
          <w:p w14:paraId="52A49186"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7AC0A20" w14:textId="0E6F9753" w:rsidTr="00627FFD">
        <w:trPr>
          <w:tblCellSpacing w:w="0" w:type="dxa"/>
        </w:trPr>
        <w:tc>
          <w:tcPr>
            <w:tcW w:w="729" w:type="dxa"/>
            <w:gridSpan w:val="2"/>
            <w:hideMark/>
          </w:tcPr>
          <w:p w14:paraId="17A75118"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0300</w:t>
            </w:r>
          </w:p>
        </w:tc>
        <w:tc>
          <w:tcPr>
            <w:tcW w:w="8043" w:type="dxa"/>
            <w:hideMark/>
          </w:tcPr>
          <w:p w14:paraId="08DECBB5" w14:textId="6167EB29"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13</w:t>
            </w:r>
            <w:r w:rsidR="0071547F"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Dețineri de fonduri proprii de nivel 1 suplimentar ale entităților din sectorul financiar în care banca nu deține o investiție semnificativă, excluzând pozițiile scurte</w:t>
            </w:r>
          </w:p>
          <w:p w14:paraId="663984E4" w14:textId="74022D1B" w:rsidR="00815E38" w:rsidRPr="00B46497" w:rsidRDefault="00815E38" w:rsidP="006F30A7">
            <w:pPr>
              <w:spacing w:after="0" w:line="240" w:lineRule="auto"/>
              <w:rPr>
                <w:rFonts w:ascii="Arial" w:eastAsia="Times New Roman" w:hAnsi="Arial" w:cs="Arial"/>
                <w:kern w:val="0"/>
                <w:sz w:val="24"/>
                <w:szCs w:val="24"/>
                <w:lang w:eastAsia="ro-MD"/>
                <w14:ligatures w14:val="none"/>
              </w:rPr>
            </w:pPr>
            <w:r w:rsidRPr="00B46497">
              <w:rPr>
                <w:rFonts w:ascii="Times New Roman" w:eastAsia="Times New Roman" w:hAnsi="Times New Roman" w:cs="Times New Roman"/>
                <w:color w:val="000000"/>
                <w:kern w:val="0"/>
                <w:lang w:eastAsia="ro-MD"/>
                <w14:ligatures w14:val="none"/>
              </w:rPr>
              <w:t xml:space="preserve">Punctele 89-95 din </w:t>
            </w:r>
            <w:r>
              <w:rPr>
                <w:rFonts w:ascii="Times New Roman" w:eastAsia="Times New Roman" w:hAnsi="Times New Roman" w:cs="Times New Roman"/>
                <w:color w:val="000000"/>
                <w:kern w:val="0"/>
                <w:lang w:eastAsia="ro-MD"/>
                <w14:ligatures w14:val="none"/>
              </w:rPr>
              <w:t>Regulamentul nr.109/2018</w:t>
            </w:r>
            <w:r w:rsidRPr="00B46497">
              <w:rPr>
                <w:rFonts w:ascii="Times New Roman" w:eastAsia="Times New Roman" w:hAnsi="Times New Roman" w:cs="Times New Roman"/>
                <w:color w:val="000000"/>
                <w:kern w:val="0"/>
                <w:lang w:eastAsia="ro-MD"/>
                <w14:ligatures w14:val="none"/>
              </w:rPr>
              <w:t>.</w:t>
            </w:r>
          </w:p>
        </w:tc>
        <w:tc>
          <w:tcPr>
            <w:tcW w:w="713" w:type="dxa"/>
          </w:tcPr>
          <w:p w14:paraId="6A0D163A"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500B2447" w14:textId="131AAF6D" w:rsidTr="00627FFD">
        <w:trPr>
          <w:tblCellSpacing w:w="0" w:type="dxa"/>
        </w:trPr>
        <w:tc>
          <w:tcPr>
            <w:tcW w:w="729" w:type="dxa"/>
            <w:gridSpan w:val="2"/>
            <w:hideMark/>
          </w:tcPr>
          <w:p w14:paraId="2E0D4BA9"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0310</w:t>
            </w:r>
          </w:p>
        </w:tc>
        <w:tc>
          <w:tcPr>
            <w:tcW w:w="8043" w:type="dxa"/>
            <w:hideMark/>
          </w:tcPr>
          <w:p w14:paraId="4F1C6AA9" w14:textId="58BA9BE8"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13.1. Dețineri directe de fonduri proprii de nivel 1 suplimentar ale entităților din sectorul financiar în care banca nu deține o investiție semnificativă</w:t>
            </w:r>
          </w:p>
          <w:p w14:paraId="1034AE30" w14:textId="56ECAAD1" w:rsidR="00815E38" w:rsidRPr="00B46497" w:rsidRDefault="00815E38" w:rsidP="006F30A7">
            <w:pPr>
              <w:spacing w:after="0" w:line="240" w:lineRule="auto"/>
              <w:rPr>
                <w:rFonts w:ascii="Arial" w:eastAsia="Times New Roman" w:hAnsi="Arial" w:cs="Arial"/>
                <w:kern w:val="0"/>
                <w:sz w:val="24"/>
                <w:szCs w:val="24"/>
                <w:lang w:eastAsia="ro-MD"/>
                <w14:ligatures w14:val="none"/>
              </w:rPr>
            </w:pPr>
            <w:r w:rsidRPr="00B46497">
              <w:rPr>
                <w:rFonts w:ascii="Times New Roman" w:eastAsia="Times New Roman" w:hAnsi="Times New Roman" w:cs="Times New Roman"/>
                <w:color w:val="000000"/>
                <w:kern w:val="0"/>
                <w:lang w:eastAsia="ro-MD"/>
                <w14:ligatures w14:val="none"/>
              </w:rPr>
              <w:t>Punct</w:t>
            </w:r>
            <w:r w:rsidR="0071547F">
              <w:rPr>
                <w:rFonts w:ascii="Times New Roman" w:eastAsia="Times New Roman" w:hAnsi="Times New Roman" w:cs="Times New Roman"/>
                <w:color w:val="000000"/>
                <w:kern w:val="0"/>
                <w:lang w:eastAsia="ro-MD"/>
                <w14:ligatures w14:val="none"/>
              </w:rPr>
              <w:t>ele</w:t>
            </w:r>
            <w:r w:rsidRPr="00B46497">
              <w:rPr>
                <w:rFonts w:ascii="Times New Roman" w:eastAsia="Times New Roman" w:hAnsi="Times New Roman" w:cs="Times New Roman"/>
                <w:color w:val="000000"/>
                <w:kern w:val="0"/>
                <w:lang w:eastAsia="ro-MD"/>
                <w14:ligatures w14:val="none"/>
              </w:rPr>
              <w:t xml:space="preserve"> 89, 90 </w:t>
            </w:r>
            <w:proofErr w:type="spellStart"/>
            <w:r w:rsidRPr="00B46497">
              <w:rPr>
                <w:rFonts w:ascii="Times New Roman" w:eastAsia="Times New Roman" w:hAnsi="Times New Roman" w:cs="Times New Roman"/>
                <w:color w:val="000000"/>
                <w:kern w:val="0"/>
                <w:lang w:eastAsia="ro-MD"/>
                <w14:ligatures w14:val="none"/>
              </w:rPr>
              <w:t>şi</w:t>
            </w:r>
            <w:proofErr w:type="spellEnd"/>
            <w:r w:rsidRPr="00B46497">
              <w:rPr>
                <w:rFonts w:ascii="Times New Roman" w:eastAsia="Times New Roman" w:hAnsi="Times New Roman" w:cs="Times New Roman"/>
                <w:color w:val="000000"/>
                <w:kern w:val="0"/>
                <w:lang w:eastAsia="ro-MD"/>
                <w14:ligatures w14:val="none"/>
              </w:rPr>
              <w:t xml:space="preserve"> 92 din </w:t>
            </w:r>
            <w:r>
              <w:rPr>
                <w:rFonts w:ascii="Times New Roman" w:eastAsia="Times New Roman" w:hAnsi="Times New Roman" w:cs="Times New Roman"/>
                <w:color w:val="000000"/>
                <w:kern w:val="0"/>
                <w:lang w:eastAsia="ro-MD"/>
                <w14:ligatures w14:val="none"/>
              </w:rPr>
              <w:t>Regulamentul nr.109/2018</w:t>
            </w:r>
            <w:r w:rsidRPr="00B46497">
              <w:rPr>
                <w:rFonts w:ascii="Times New Roman" w:eastAsia="Times New Roman" w:hAnsi="Times New Roman" w:cs="Times New Roman"/>
                <w:color w:val="000000"/>
                <w:kern w:val="0"/>
                <w:lang w:eastAsia="ro-MD"/>
                <w14:ligatures w14:val="none"/>
              </w:rPr>
              <w:t>.</w:t>
            </w:r>
          </w:p>
        </w:tc>
        <w:tc>
          <w:tcPr>
            <w:tcW w:w="713" w:type="dxa"/>
          </w:tcPr>
          <w:p w14:paraId="01C8A1D9"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138CC69A" w14:textId="08F5AC9F" w:rsidTr="00627FFD">
        <w:trPr>
          <w:tblCellSpacing w:w="0" w:type="dxa"/>
        </w:trPr>
        <w:tc>
          <w:tcPr>
            <w:tcW w:w="729" w:type="dxa"/>
            <w:gridSpan w:val="2"/>
            <w:hideMark/>
          </w:tcPr>
          <w:p w14:paraId="567BA483"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0320</w:t>
            </w:r>
          </w:p>
        </w:tc>
        <w:tc>
          <w:tcPr>
            <w:tcW w:w="8043" w:type="dxa"/>
            <w:hideMark/>
          </w:tcPr>
          <w:p w14:paraId="606324EE" w14:textId="73C050FF"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13.1.1. Dețineri directe brute de fonduri proprii de nivel 1 suplimentar ale entităților din sectorul financiar în care banca nu deține o investiție semnificativă</w:t>
            </w:r>
          </w:p>
          <w:p w14:paraId="4C831476" w14:textId="77777777" w:rsidR="00115C61"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Punct</w:t>
            </w:r>
            <w:r>
              <w:rPr>
                <w:rFonts w:ascii="Times New Roman" w:eastAsia="Times New Roman" w:hAnsi="Times New Roman" w:cs="Times New Roman"/>
                <w:color w:val="000000"/>
                <w:kern w:val="0"/>
                <w:lang w:eastAsia="ro-MD"/>
                <w14:ligatures w14:val="none"/>
              </w:rPr>
              <w:t>ele</w:t>
            </w:r>
            <w:r w:rsidRPr="008C359C">
              <w:rPr>
                <w:rFonts w:ascii="Times New Roman" w:eastAsia="Times New Roman" w:hAnsi="Times New Roman" w:cs="Times New Roman"/>
                <w:color w:val="000000"/>
                <w:kern w:val="0"/>
                <w:lang w:eastAsia="ro-MD"/>
                <w14:ligatures w14:val="none"/>
              </w:rPr>
              <w:t xml:space="preserve"> 89</w:t>
            </w:r>
            <w:r>
              <w:rPr>
                <w:rFonts w:ascii="Times New Roman" w:eastAsia="Times New Roman" w:hAnsi="Times New Roman" w:cs="Times New Roman"/>
                <w:color w:val="000000"/>
                <w:kern w:val="0"/>
                <w:lang w:eastAsia="ro-MD"/>
                <w14:ligatures w14:val="none"/>
              </w:rPr>
              <w:t xml:space="preserve"> și </w:t>
            </w:r>
            <w:r w:rsidRPr="008C359C">
              <w:rPr>
                <w:rFonts w:ascii="Times New Roman" w:eastAsia="Times New Roman" w:hAnsi="Times New Roman" w:cs="Times New Roman"/>
                <w:color w:val="000000"/>
                <w:kern w:val="0"/>
                <w:lang w:eastAsia="ro-MD"/>
                <w14:ligatures w14:val="none"/>
              </w:rPr>
              <w:t xml:space="preserve">92 din </w:t>
            </w:r>
            <w:r>
              <w:rPr>
                <w:rFonts w:ascii="Times New Roman" w:eastAsia="Times New Roman" w:hAnsi="Times New Roman" w:cs="Times New Roman"/>
                <w:color w:val="000000"/>
                <w:kern w:val="0"/>
                <w:lang w:eastAsia="ro-MD"/>
                <w14:ligatures w14:val="none"/>
              </w:rPr>
              <w:t>Regulamentul nr.109/2018</w:t>
            </w:r>
            <w:r w:rsidRPr="00260C32" w:rsidDel="00DE78C5">
              <w:rPr>
                <w:rFonts w:ascii="Times New Roman" w:eastAsia="Times New Roman" w:hAnsi="Times New Roman" w:cs="Times New Roman"/>
                <w:color w:val="000000"/>
                <w:kern w:val="0"/>
                <w:lang w:eastAsia="ro-MD"/>
                <w14:ligatures w14:val="none"/>
              </w:rPr>
              <w:t xml:space="preserve"> </w:t>
            </w:r>
          </w:p>
          <w:p w14:paraId="700296DC" w14:textId="4117E398"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directe de fonduri proprii de nivel 1 suplimentar ale entităților din sectorul financiar în care </w:t>
            </w:r>
            <w:r>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 excluzând:</w:t>
            </w:r>
          </w:p>
          <w:tbl>
            <w:tblPr>
              <w:tblW w:w="5000" w:type="pct"/>
              <w:tblCellSpacing w:w="0" w:type="dxa"/>
              <w:tblLayout w:type="fixed"/>
              <w:tblCellMar>
                <w:left w:w="0" w:type="dxa"/>
                <w:right w:w="0" w:type="dxa"/>
              </w:tblCellMar>
              <w:tblLook w:val="04A0" w:firstRow="1" w:lastRow="0" w:firstColumn="1" w:lastColumn="0" w:noHBand="0" w:noVBand="1"/>
            </w:tblPr>
            <w:tblGrid>
              <w:gridCol w:w="404"/>
              <w:gridCol w:w="7619"/>
            </w:tblGrid>
            <w:tr w:rsidR="00815E38" w:rsidRPr="00260C32" w14:paraId="6DD1E7DB" w14:textId="77777777" w:rsidTr="004041EC">
              <w:trPr>
                <w:tblCellSpacing w:w="0" w:type="dxa"/>
              </w:trPr>
              <w:tc>
                <w:tcPr>
                  <w:tcW w:w="397" w:type="dxa"/>
                  <w:hideMark/>
                </w:tcPr>
                <w:p w14:paraId="2E6262F2" w14:textId="77777777" w:rsidR="00815E38" w:rsidRPr="00260C32" w:rsidRDefault="00815E38"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(a)</w:t>
                  </w:r>
                </w:p>
              </w:tc>
              <w:tc>
                <w:tcPr>
                  <w:tcW w:w="7494" w:type="dxa"/>
                  <w:hideMark/>
                </w:tcPr>
                <w:p w14:paraId="0F7A9C7C" w14:textId="77777777" w:rsidR="00815E38" w:rsidRPr="00260C32" w:rsidRDefault="00815E38"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pozițiile aferente angajamentelor de preluare fermă deținute timp de cinci zile lucrătoare sau mai puțin; și</w:t>
                  </w:r>
                </w:p>
              </w:tc>
            </w:tr>
          </w:tbl>
          <w:p w14:paraId="28B8C036" w14:textId="77777777" w:rsidR="00815E38" w:rsidRPr="00260C32" w:rsidRDefault="00815E38" w:rsidP="006F30A7">
            <w:pPr>
              <w:spacing w:after="0" w:line="240" w:lineRule="auto"/>
              <w:rPr>
                <w:rFonts w:ascii="Times New Roman" w:eastAsia="Times New Roman" w:hAnsi="Times New Roman" w:cs="Times New Roman"/>
                <w:vanish/>
                <w:color w:val="000000"/>
                <w:kern w:val="0"/>
                <w:lang w:eastAsia="ro-MD"/>
                <w14:ligatures w14:val="none"/>
              </w:rPr>
            </w:pPr>
          </w:p>
          <w:tbl>
            <w:tblPr>
              <w:tblW w:w="5000" w:type="pct"/>
              <w:tblCellSpacing w:w="0" w:type="dxa"/>
              <w:tblLayout w:type="fixed"/>
              <w:tblCellMar>
                <w:left w:w="0" w:type="dxa"/>
                <w:right w:w="0" w:type="dxa"/>
              </w:tblCellMar>
              <w:tblLook w:val="04A0" w:firstRow="1" w:lastRow="0" w:firstColumn="1" w:lastColumn="0" w:noHBand="0" w:noVBand="1"/>
            </w:tblPr>
            <w:tblGrid>
              <w:gridCol w:w="404"/>
              <w:gridCol w:w="7619"/>
            </w:tblGrid>
            <w:tr w:rsidR="00815E38" w:rsidRPr="00260C32" w14:paraId="33F716A1" w14:textId="77777777" w:rsidTr="004041EC">
              <w:trPr>
                <w:tblCellSpacing w:w="0" w:type="dxa"/>
              </w:trPr>
              <w:tc>
                <w:tcPr>
                  <w:tcW w:w="397" w:type="dxa"/>
                  <w:hideMark/>
                </w:tcPr>
                <w:p w14:paraId="52B290A3" w14:textId="77777777" w:rsidR="00815E38" w:rsidRPr="00260C32" w:rsidRDefault="00815E38"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(b)</w:t>
                  </w:r>
                </w:p>
              </w:tc>
              <w:tc>
                <w:tcPr>
                  <w:tcW w:w="7494" w:type="dxa"/>
                  <w:hideMark/>
                </w:tcPr>
                <w:p w14:paraId="27639FD3" w14:textId="0B3D28AA" w:rsidR="00815E38" w:rsidRPr="00260C32" w:rsidRDefault="00815E38"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 xml:space="preserve">deținerile care sunt tratate drept dețineri reciproce în conformitate cu </w:t>
                  </w:r>
                  <w:r w:rsidRPr="00B46497">
                    <w:rPr>
                      <w:rFonts w:ascii="Times New Roman" w:eastAsia="Times New Roman" w:hAnsi="Times New Roman" w:cs="Times New Roman"/>
                      <w:kern w:val="0"/>
                      <w:lang w:eastAsia="ro-MD"/>
                      <w14:ligatures w14:val="none"/>
                    </w:rPr>
                    <w:t xml:space="preserve">punctul 87 subpunctul 2) din </w:t>
                  </w:r>
                  <w:r>
                    <w:rPr>
                      <w:rFonts w:ascii="Times New Roman" w:eastAsia="Times New Roman" w:hAnsi="Times New Roman" w:cs="Times New Roman"/>
                      <w:kern w:val="0"/>
                      <w:lang w:eastAsia="ro-MD"/>
                      <w14:ligatures w14:val="none"/>
                    </w:rPr>
                    <w:t>Regulamentul nr.109/2018</w:t>
                  </w:r>
                  <w:r w:rsidRPr="00B46497">
                    <w:rPr>
                      <w:rFonts w:ascii="Times New Roman" w:eastAsia="Times New Roman" w:hAnsi="Times New Roman" w:cs="Times New Roman"/>
                      <w:kern w:val="0"/>
                      <w:lang w:eastAsia="ro-MD"/>
                      <w14:ligatures w14:val="none"/>
                    </w:rPr>
                    <w:t>.</w:t>
                  </w:r>
                </w:p>
              </w:tc>
            </w:tr>
          </w:tbl>
          <w:p w14:paraId="292BE213"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p>
        </w:tc>
        <w:tc>
          <w:tcPr>
            <w:tcW w:w="713" w:type="dxa"/>
          </w:tcPr>
          <w:p w14:paraId="53EBF860"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13739A94" w14:textId="1EA45695" w:rsidTr="00627FFD">
        <w:trPr>
          <w:tblCellSpacing w:w="0" w:type="dxa"/>
        </w:trPr>
        <w:tc>
          <w:tcPr>
            <w:tcW w:w="729" w:type="dxa"/>
            <w:gridSpan w:val="2"/>
            <w:hideMark/>
          </w:tcPr>
          <w:p w14:paraId="1AABB14D"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0330</w:t>
            </w:r>
          </w:p>
        </w:tc>
        <w:tc>
          <w:tcPr>
            <w:tcW w:w="8043" w:type="dxa"/>
            <w:hideMark/>
          </w:tcPr>
          <w:p w14:paraId="47BDA905"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13.1.2. (-) Poziții scurte de semn opus permise în ceea ce privește deținerile directe brute incluse mai sus</w:t>
            </w:r>
          </w:p>
          <w:p w14:paraId="5209FAAF" w14:textId="3CDF4164"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Punctul 90 din </w:t>
            </w:r>
            <w:r>
              <w:rPr>
                <w:rFonts w:ascii="Times New Roman" w:eastAsia="Times New Roman" w:hAnsi="Times New Roman" w:cs="Times New Roman"/>
                <w:color w:val="000000"/>
                <w:kern w:val="0"/>
                <w:lang w:eastAsia="ro-MD"/>
                <w14:ligatures w14:val="none"/>
              </w:rPr>
              <w:t>Regulamentul nr.109/2018</w:t>
            </w:r>
            <w:r w:rsidRPr="008C359C">
              <w:rPr>
                <w:rFonts w:ascii="Times New Roman" w:eastAsia="Times New Roman" w:hAnsi="Times New Roman" w:cs="Times New Roman"/>
                <w:color w:val="000000"/>
                <w:kern w:val="0"/>
                <w:lang w:eastAsia="ro-MD"/>
                <w14:ligatures w14:val="none"/>
              </w:rPr>
              <w:t>.</w:t>
            </w:r>
          </w:p>
          <w:p w14:paraId="63E2EB8E" w14:textId="1D409ACB" w:rsidR="00815E38" w:rsidRPr="00260C32" w:rsidRDefault="0071547F" w:rsidP="006F30A7">
            <w:pPr>
              <w:pStyle w:val="lf"/>
              <w:spacing w:before="0" w:beforeAutospacing="0" w:after="0" w:afterAutospacing="0"/>
              <w:rPr>
                <w:color w:val="000000"/>
              </w:rPr>
            </w:pPr>
            <w:r w:rsidRPr="004041EC">
              <w:rPr>
                <w:color w:val="000000"/>
                <w:sz w:val="22"/>
                <w:szCs w:val="22"/>
              </w:rPr>
              <w:t xml:space="preserve">Punctul 90 </w:t>
            </w:r>
            <w:r w:rsidR="00F419A2">
              <w:rPr>
                <w:color w:val="000000"/>
                <w:sz w:val="22"/>
                <w:szCs w:val="22"/>
              </w:rPr>
              <w:t xml:space="preserve">subpunctul 1) </w:t>
            </w:r>
            <w:r w:rsidRPr="004041EC">
              <w:rPr>
                <w:color w:val="000000"/>
                <w:sz w:val="22"/>
                <w:szCs w:val="22"/>
              </w:rPr>
              <w:t>din Regulamentul nr.109/2018</w:t>
            </w:r>
            <w:r w:rsidR="00115C61">
              <w:rPr>
                <w:color w:val="000000"/>
                <w:sz w:val="22"/>
                <w:szCs w:val="22"/>
              </w:rPr>
              <w:t xml:space="preserve"> </w:t>
            </w:r>
            <w:r w:rsidR="00815E38" w:rsidRPr="004041EC">
              <w:rPr>
                <w:color w:val="000000"/>
                <w:sz w:val="22"/>
                <w:szCs w:val="22"/>
              </w:rPr>
              <w:t>permite compensarea pozițiilor scurte în aceeași expunere-suport cu condiția ca data scadenței poziției scurte să fie aceeași cu data scadenței poziției lungi ori să survină după această dată sau scadența reziduală a poziției scurte să fie de cel puțin un an.</w:t>
            </w:r>
          </w:p>
        </w:tc>
        <w:tc>
          <w:tcPr>
            <w:tcW w:w="713" w:type="dxa"/>
          </w:tcPr>
          <w:p w14:paraId="219A42E9"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7FB19E76" w14:textId="3605A1A3" w:rsidTr="00627FFD">
        <w:trPr>
          <w:tblCellSpacing w:w="0" w:type="dxa"/>
        </w:trPr>
        <w:tc>
          <w:tcPr>
            <w:tcW w:w="729" w:type="dxa"/>
            <w:gridSpan w:val="2"/>
            <w:hideMark/>
          </w:tcPr>
          <w:p w14:paraId="54FDDA22"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0340</w:t>
            </w:r>
          </w:p>
        </w:tc>
        <w:tc>
          <w:tcPr>
            <w:tcW w:w="8043" w:type="dxa"/>
            <w:hideMark/>
          </w:tcPr>
          <w:p w14:paraId="29A6374D" w14:textId="283F4B30"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13.2. Dețineri indirecte de fonduri proprii de nivel 1 suplimentar ale entităților din sectorul financiar în care banca nu deține o investiție semnificativă</w:t>
            </w:r>
          </w:p>
          <w:p w14:paraId="68A43C7E" w14:textId="517CCB07" w:rsidR="00815E38" w:rsidRPr="00B46497" w:rsidRDefault="00815E38" w:rsidP="006F30A7">
            <w:pPr>
              <w:spacing w:after="0" w:line="240" w:lineRule="auto"/>
              <w:rPr>
                <w:rFonts w:ascii="Arial" w:eastAsia="Times New Roman" w:hAnsi="Arial" w:cs="Arial"/>
                <w:kern w:val="0"/>
                <w:sz w:val="24"/>
                <w:szCs w:val="24"/>
                <w:lang w:eastAsia="ro-MD"/>
                <w14:ligatures w14:val="none"/>
              </w:rPr>
            </w:pPr>
            <w:r w:rsidRPr="00B46497">
              <w:rPr>
                <w:rFonts w:ascii="Times New Roman" w:eastAsia="Times New Roman" w:hAnsi="Times New Roman" w:cs="Times New Roman"/>
                <w:color w:val="000000"/>
                <w:kern w:val="0"/>
                <w:lang w:eastAsia="ro-MD"/>
                <w14:ligatures w14:val="none"/>
              </w:rPr>
              <w:t>Punct</w:t>
            </w:r>
            <w:r>
              <w:rPr>
                <w:rFonts w:ascii="Times New Roman" w:eastAsia="Times New Roman" w:hAnsi="Times New Roman" w:cs="Times New Roman"/>
                <w:color w:val="000000"/>
                <w:kern w:val="0"/>
                <w:lang w:eastAsia="ro-MD"/>
                <w14:ligatures w14:val="none"/>
              </w:rPr>
              <w:t>ele</w:t>
            </w:r>
            <w:r w:rsidRPr="00B46497">
              <w:rPr>
                <w:rFonts w:ascii="Times New Roman" w:eastAsia="Times New Roman" w:hAnsi="Times New Roman" w:cs="Times New Roman"/>
                <w:color w:val="000000"/>
                <w:kern w:val="0"/>
                <w:lang w:eastAsia="ro-MD"/>
                <w14:ligatures w14:val="none"/>
              </w:rPr>
              <w:t xml:space="preserve"> </w:t>
            </w:r>
            <w:r w:rsidR="00FB75CB">
              <w:rPr>
                <w:rFonts w:ascii="Times New Roman" w:eastAsia="Times New Roman" w:hAnsi="Times New Roman" w:cs="Times New Roman"/>
                <w:color w:val="000000"/>
                <w:kern w:val="0"/>
                <w:lang w:eastAsia="ro-MD"/>
                <w14:ligatures w14:val="none"/>
              </w:rPr>
              <w:t xml:space="preserve">4, </w:t>
            </w:r>
            <w:r w:rsidRPr="00B46497">
              <w:rPr>
                <w:rFonts w:ascii="Times New Roman" w:eastAsia="Times New Roman" w:hAnsi="Times New Roman" w:cs="Times New Roman"/>
                <w:color w:val="000000"/>
                <w:kern w:val="0"/>
                <w:lang w:eastAsia="ro-MD"/>
                <w14:ligatures w14:val="none"/>
              </w:rPr>
              <w:t xml:space="preserve">89 </w:t>
            </w:r>
            <w:proofErr w:type="spellStart"/>
            <w:r w:rsidRPr="00B46497">
              <w:rPr>
                <w:rFonts w:ascii="Times New Roman" w:eastAsia="Times New Roman" w:hAnsi="Times New Roman" w:cs="Times New Roman"/>
                <w:color w:val="000000"/>
                <w:kern w:val="0"/>
                <w:lang w:eastAsia="ro-MD"/>
                <w14:ligatures w14:val="none"/>
              </w:rPr>
              <w:t>şi</w:t>
            </w:r>
            <w:proofErr w:type="spellEnd"/>
            <w:r w:rsidRPr="00B46497">
              <w:rPr>
                <w:rFonts w:ascii="Times New Roman" w:eastAsia="Times New Roman" w:hAnsi="Times New Roman" w:cs="Times New Roman"/>
                <w:color w:val="000000"/>
                <w:kern w:val="0"/>
                <w:lang w:eastAsia="ro-MD"/>
                <w14:ligatures w14:val="none"/>
              </w:rPr>
              <w:t xml:space="preserve"> 90 din </w:t>
            </w:r>
            <w:r>
              <w:rPr>
                <w:rFonts w:ascii="Times New Roman" w:eastAsia="Times New Roman" w:hAnsi="Times New Roman" w:cs="Times New Roman"/>
                <w:color w:val="000000"/>
                <w:kern w:val="0"/>
                <w:lang w:eastAsia="ro-MD"/>
                <w14:ligatures w14:val="none"/>
              </w:rPr>
              <w:t>Regulamentul nr.109/2018</w:t>
            </w:r>
            <w:r w:rsidRPr="00B46497">
              <w:rPr>
                <w:rFonts w:ascii="Times New Roman" w:eastAsia="Times New Roman" w:hAnsi="Times New Roman" w:cs="Times New Roman"/>
                <w:color w:val="000000"/>
                <w:kern w:val="0"/>
                <w:lang w:eastAsia="ro-MD"/>
                <w14:ligatures w14:val="none"/>
              </w:rPr>
              <w:t>.</w:t>
            </w:r>
          </w:p>
        </w:tc>
        <w:tc>
          <w:tcPr>
            <w:tcW w:w="713" w:type="dxa"/>
          </w:tcPr>
          <w:p w14:paraId="1116BE83"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1D439D0F" w14:textId="30976854" w:rsidTr="00627FFD">
        <w:trPr>
          <w:tblCellSpacing w:w="0" w:type="dxa"/>
        </w:trPr>
        <w:tc>
          <w:tcPr>
            <w:tcW w:w="729" w:type="dxa"/>
            <w:gridSpan w:val="2"/>
            <w:hideMark/>
          </w:tcPr>
          <w:p w14:paraId="5C191C43"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0350</w:t>
            </w:r>
          </w:p>
        </w:tc>
        <w:tc>
          <w:tcPr>
            <w:tcW w:w="8043" w:type="dxa"/>
            <w:hideMark/>
          </w:tcPr>
          <w:p w14:paraId="4A5E18DF" w14:textId="002D20DB"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13.2.1. Dețineri indirecte brute de fonduri proprii de nivel 1 suplimentar ale entităților din sectorul financiar în care banca nu deține o investiție semnificativă</w:t>
            </w:r>
          </w:p>
          <w:p w14:paraId="32B4004C" w14:textId="77777777" w:rsidR="00115C61"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Punct</w:t>
            </w:r>
            <w:r>
              <w:rPr>
                <w:rFonts w:ascii="Times New Roman" w:eastAsia="Times New Roman" w:hAnsi="Times New Roman" w:cs="Times New Roman"/>
                <w:color w:val="000000"/>
                <w:kern w:val="0"/>
                <w:lang w:eastAsia="ro-MD"/>
                <w14:ligatures w14:val="none"/>
              </w:rPr>
              <w:t>ele</w:t>
            </w:r>
            <w:r w:rsidRPr="008C359C">
              <w:rPr>
                <w:rFonts w:ascii="Times New Roman" w:eastAsia="Times New Roman" w:hAnsi="Times New Roman" w:cs="Times New Roman"/>
                <w:color w:val="000000"/>
                <w:kern w:val="0"/>
                <w:lang w:eastAsia="ro-MD"/>
                <w14:ligatures w14:val="none"/>
              </w:rPr>
              <w:t xml:space="preserve"> </w:t>
            </w:r>
            <w:r w:rsidR="00FB75CB">
              <w:rPr>
                <w:rFonts w:ascii="Times New Roman" w:eastAsia="Times New Roman" w:hAnsi="Times New Roman" w:cs="Times New Roman"/>
                <w:color w:val="000000"/>
                <w:kern w:val="0"/>
                <w:lang w:eastAsia="ro-MD"/>
                <w14:ligatures w14:val="none"/>
              </w:rPr>
              <w:t xml:space="preserve">4, </w:t>
            </w:r>
            <w:r w:rsidRPr="008C359C">
              <w:rPr>
                <w:rFonts w:ascii="Times New Roman" w:eastAsia="Times New Roman" w:hAnsi="Times New Roman" w:cs="Times New Roman"/>
                <w:color w:val="000000"/>
                <w:kern w:val="0"/>
                <w:lang w:eastAsia="ro-MD"/>
                <w14:ligatures w14:val="none"/>
              </w:rPr>
              <w:t xml:space="preserve">89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90 din </w:t>
            </w:r>
            <w:r>
              <w:rPr>
                <w:rFonts w:ascii="Times New Roman" w:eastAsia="Times New Roman" w:hAnsi="Times New Roman" w:cs="Times New Roman"/>
                <w:color w:val="000000"/>
                <w:kern w:val="0"/>
                <w:lang w:eastAsia="ro-MD"/>
                <w14:ligatures w14:val="none"/>
              </w:rPr>
              <w:t>Regula</w:t>
            </w:r>
            <w:r w:rsidR="00703E95">
              <w:rPr>
                <w:rFonts w:ascii="Times New Roman" w:eastAsia="Times New Roman" w:hAnsi="Times New Roman" w:cs="Times New Roman"/>
                <w:color w:val="000000"/>
                <w:kern w:val="0"/>
                <w:lang w:eastAsia="ro-MD"/>
                <w14:ligatures w14:val="none"/>
              </w:rPr>
              <w:t>m</w:t>
            </w:r>
            <w:r>
              <w:rPr>
                <w:rFonts w:ascii="Times New Roman" w:eastAsia="Times New Roman" w:hAnsi="Times New Roman" w:cs="Times New Roman"/>
                <w:color w:val="000000"/>
                <w:kern w:val="0"/>
                <w:lang w:eastAsia="ro-MD"/>
                <w14:ligatures w14:val="none"/>
              </w:rPr>
              <w:t>entul nr.109/2018</w:t>
            </w:r>
            <w:r w:rsidRPr="008C359C">
              <w:rPr>
                <w:rFonts w:ascii="Times New Roman" w:eastAsia="Times New Roman" w:hAnsi="Times New Roman" w:cs="Times New Roman"/>
                <w:color w:val="000000"/>
                <w:kern w:val="0"/>
                <w:lang w:eastAsia="ro-MD"/>
                <w14:ligatures w14:val="none"/>
              </w:rPr>
              <w:t>.</w:t>
            </w:r>
          </w:p>
          <w:p w14:paraId="1BDB324F" w14:textId="0BE6DCDF"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care trebuie raportat este cel al deținerilor indirecte din portofoliul de tranzacționare în instrumentele de capital ale entităților din sectorul financiar care iau forma unor dețineri de titluri de valoare bazate pe indici. Acesta se obține prin calcularea expunerii-suport față de instrumentele de capital ale entităților din sectorul financiar incluse în indici.</w:t>
            </w:r>
          </w:p>
          <w:p w14:paraId="4325D405" w14:textId="5F95CE24" w:rsidR="00815E38" w:rsidRPr="00B46497" w:rsidRDefault="00815E38" w:rsidP="006F30A7">
            <w:pPr>
              <w:spacing w:after="0" w:line="240" w:lineRule="auto"/>
              <w:rPr>
                <w:rFonts w:ascii="Arial" w:eastAsia="Times New Roman" w:hAnsi="Arial" w:cs="Arial"/>
                <w:kern w:val="0"/>
                <w:sz w:val="24"/>
                <w:szCs w:val="24"/>
                <w:lang w:eastAsia="ro-MD"/>
                <w14:ligatures w14:val="none"/>
              </w:rPr>
            </w:pPr>
            <w:proofErr w:type="spellStart"/>
            <w:r w:rsidRPr="00B46497">
              <w:rPr>
                <w:rFonts w:ascii="Times New Roman" w:eastAsia="Times New Roman" w:hAnsi="Times New Roman" w:cs="Times New Roman"/>
                <w:color w:val="000000"/>
                <w:kern w:val="0"/>
                <w:lang w:eastAsia="ro-MD"/>
                <w14:ligatures w14:val="none"/>
              </w:rPr>
              <w:t>Deţinerile</w:t>
            </w:r>
            <w:proofErr w:type="spellEnd"/>
            <w:r w:rsidRPr="00B46497">
              <w:rPr>
                <w:rFonts w:ascii="Times New Roman" w:eastAsia="Times New Roman" w:hAnsi="Times New Roman" w:cs="Times New Roman"/>
                <w:color w:val="000000"/>
                <w:kern w:val="0"/>
                <w:lang w:eastAsia="ro-MD"/>
                <w14:ligatures w14:val="none"/>
              </w:rPr>
              <w:t xml:space="preserve"> care sunt tratate drept </w:t>
            </w:r>
            <w:proofErr w:type="spellStart"/>
            <w:r w:rsidRPr="00B46497">
              <w:rPr>
                <w:rFonts w:ascii="Times New Roman" w:eastAsia="Times New Roman" w:hAnsi="Times New Roman" w:cs="Times New Roman"/>
                <w:color w:val="000000"/>
                <w:kern w:val="0"/>
                <w:lang w:eastAsia="ro-MD"/>
                <w14:ligatures w14:val="none"/>
              </w:rPr>
              <w:t>deţineri</w:t>
            </w:r>
            <w:proofErr w:type="spellEnd"/>
            <w:r w:rsidRPr="00B46497">
              <w:rPr>
                <w:rFonts w:ascii="Times New Roman" w:eastAsia="Times New Roman" w:hAnsi="Times New Roman" w:cs="Times New Roman"/>
                <w:color w:val="000000"/>
                <w:kern w:val="0"/>
                <w:lang w:eastAsia="ro-MD"/>
                <w14:ligatures w14:val="none"/>
              </w:rPr>
              <w:t xml:space="preserve"> reciproce în conformitate cu punctul </w:t>
            </w:r>
            <w:r w:rsidR="000647BB">
              <w:rPr>
                <w:rFonts w:ascii="Times New Roman" w:eastAsia="Times New Roman" w:hAnsi="Times New Roman" w:cs="Times New Roman"/>
                <w:color w:val="000000"/>
                <w:kern w:val="0"/>
                <w:lang w:eastAsia="ro-MD"/>
                <w14:ligatures w14:val="none"/>
              </w:rPr>
              <w:t>87</w:t>
            </w:r>
            <w:r w:rsidRPr="00B46497">
              <w:rPr>
                <w:rFonts w:ascii="Times New Roman" w:eastAsia="Times New Roman" w:hAnsi="Times New Roman" w:cs="Times New Roman"/>
                <w:color w:val="000000"/>
                <w:kern w:val="0"/>
                <w:lang w:eastAsia="ro-MD"/>
                <w14:ligatures w14:val="none"/>
              </w:rPr>
              <w:t xml:space="preserve"> subpunctul 2) din </w:t>
            </w:r>
            <w:r>
              <w:rPr>
                <w:rFonts w:ascii="Times New Roman" w:eastAsia="Times New Roman" w:hAnsi="Times New Roman" w:cs="Times New Roman"/>
                <w:color w:val="000000"/>
                <w:kern w:val="0"/>
                <w:lang w:eastAsia="ro-MD"/>
                <w14:ligatures w14:val="none"/>
              </w:rPr>
              <w:t>Regulamentul nr.109/2018</w:t>
            </w:r>
            <w:r w:rsidRPr="00B46497">
              <w:rPr>
                <w:rFonts w:ascii="Times New Roman" w:eastAsia="Times New Roman" w:hAnsi="Times New Roman" w:cs="Times New Roman"/>
                <w:color w:val="000000"/>
                <w:kern w:val="0"/>
                <w:lang w:eastAsia="ro-MD"/>
                <w14:ligatures w14:val="none"/>
              </w:rPr>
              <w:t xml:space="preserve"> nu sunt incluse.</w:t>
            </w:r>
          </w:p>
        </w:tc>
        <w:tc>
          <w:tcPr>
            <w:tcW w:w="713" w:type="dxa"/>
          </w:tcPr>
          <w:p w14:paraId="3B8A35F5"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29BA325C" w14:textId="4044D0DF" w:rsidTr="00627FFD">
        <w:trPr>
          <w:tblCellSpacing w:w="0" w:type="dxa"/>
        </w:trPr>
        <w:tc>
          <w:tcPr>
            <w:tcW w:w="729" w:type="dxa"/>
            <w:gridSpan w:val="2"/>
            <w:hideMark/>
          </w:tcPr>
          <w:p w14:paraId="45ED08BD"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0360</w:t>
            </w:r>
          </w:p>
        </w:tc>
        <w:tc>
          <w:tcPr>
            <w:tcW w:w="8043" w:type="dxa"/>
            <w:hideMark/>
          </w:tcPr>
          <w:p w14:paraId="31750EA8"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13.2.2. (-) Poziții scurte de semn opus permise în ceea ce privește deținerile indirecte brute incluse mai sus</w:t>
            </w:r>
          </w:p>
          <w:p w14:paraId="2EDBA9B0" w14:textId="77777777" w:rsidR="00115C61"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B46497">
              <w:rPr>
                <w:rFonts w:ascii="Times New Roman" w:eastAsia="Times New Roman" w:hAnsi="Times New Roman" w:cs="Times New Roman"/>
                <w:color w:val="000000"/>
                <w:kern w:val="0"/>
                <w:lang w:eastAsia="ro-MD"/>
                <w14:ligatures w14:val="none"/>
              </w:rPr>
              <w:t>Punct</w:t>
            </w:r>
            <w:r w:rsidR="000647BB">
              <w:rPr>
                <w:rFonts w:ascii="Times New Roman" w:eastAsia="Times New Roman" w:hAnsi="Times New Roman" w:cs="Times New Roman"/>
                <w:color w:val="000000"/>
                <w:kern w:val="0"/>
                <w:lang w:eastAsia="ro-MD"/>
                <w14:ligatures w14:val="none"/>
              </w:rPr>
              <w:t xml:space="preserve">ele 4 și </w:t>
            </w:r>
            <w:r w:rsidRPr="00B46497">
              <w:rPr>
                <w:rFonts w:ascii="Times New Roman" w:eastAsia="Times New Roman" w:hAnsi="Times New Roman" w:cs="Times New Roman"/>
                <w:color w:val="000000"/>
                <w:kern w:val="0"/>
                <w:lang w:eastAsia="ro-MD"/>
                <w14:ligatures w14:val="none"/>
              </w:rPr>
              <w:t xml:space="preserve">90 din </w:t>
            </w:r>
            <w:r>
              <w:rPr>
                <w:rFonts w:ascii="Times New Roman" w:eastAsia="Times New Roman" w:hAnsi="Times New Roman" w:cs="Times New Roman"/>
                <w:color w:val="000000"/>
                <w:kern w:val="0"/>
                <w:lang w:eastAsia="ro-MD"/>
                <w14:ligatures w14:val="none"/>
              </w:rPr>
              <w:t>Regulamentul nr.109/2018</w:t>
            </w:r>
          </w:p>
          <w:p w14:paraId="4CEFE1E7" w14:textId="02C27F4F"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Punctul 90 subpunctul 1) din </w:t>
            </w:r>
            <w:r>
              <w:rPr>
                <w:rFonts w:ascii="Times New Roman" w:eastAsia="Times New Roman" w:hAnsi="Times New Roman" w:cs="Times New Roman"/>
                <w:color w:val="000000"/>
                <w:kern w:val="0"/>
                <w:lang w:eastAsia="ro-MD"/>
                <w14:ligatures w14:val="none"/>
              </w:rPr>
              <w:t>Regulamentul nr.109/2018</w:t>
            </w:r>
            <w:r w:rsidR="00115C61">
              <w:rPr>
                <w:rFonts w:ascii="Times New Roman" w:eastAsia="Times New Roman" w:hAnsi="Times New Roman" w:cs="Times New Roman"/>
                <w:color w:val="000000"/>
                <w:kern w:val="0"/>
                <w:lang w:eastAsia="ro-MD"/>
                <w14:ligatures w14:val="none"/>
              </w:rPr>
              <w:t xml:space="preserve"> </w:t>
            </w:r>
            <w:r w:rsidRPr="00260C32">
              <w:rPr>
                <w:rFonts w:ascii="Times New Roman" w:eastAsia="Times New Roman" w:hAnsi="Times New Roman" w:cs="Times New Roman"/>
                <w:color w:val="000000"/>
                <w:kern w:val="0"/>
                <w:lang w:eastAsia="ro-MD"/>
                <w14:ligatures w14:val="none"/>
              </w:rPr>
              <w:t>permite compensarea pozițiilor scurte în aceeași expunere-suport cu condiția ca data scadenței poziției scurte să fie aceeași cu data scadenței poziției lungi ori să survină după această dată sau scadența reziduală a poziției scurte să fie de cel puțin un an.</w:t>
            </w:r>
          </w:p>
        </w:tc>
        <w:tc>
          <w:tcPr>
            <w:tcW w:w="713" w:type="dxa"/>
          </w:tcPr>
          <w:p w14:paraId="2B0DBED3"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71B88345" w14:textId="495E66E4" w:rsidTr="00627FFD">
        <w:trPr>
          <w:tblCellSpacing w:w="0" w:type="dxa"/>
        </w:trPr>
        <w:tc>
          <w:tcPr>
            <w:tcW w:w="729" w:type="dxa"/>
            <w:gridSpan w:val="2"/>
            <w:hideMark/>
          </w:tcPr>
          <w:p w14:paraId="672ACC49"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0361</w:t>
            </w:r>
          </w:p>
        </w:tc>
        <w:tc>
          <w:tcPr>
            <w:tcW w:w="8043" w:type="dxa"/>
            <w:hideMark/>
          </w:tcPr>
          <w:p w14:paraId="6FEBF6B1" w14:textId="441BE13B"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13.3. Dețineri sintetice de fonduri proprii de nivel 1 suplimentar ale entităților din sectorul financiar în care banca nu deține o investiție semnificativă</w:t>
            </w:r>
          </w:p>
          <w:p w14:paraId="4A63CCE6" w14:textId="3DFE6594"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Punct</w:t>
            </w:r>
            <w:r>
              <w:rPr>
                <w:rFonts w:ascii="Times New Roman" w:eastAsia="Times New Roman" w:hAnsi="Times New Roman" w:cs="Times New Roman"/>
                <w:color w:val="000000"/>
                <w:kern w:val="0"/>
                <w:lang w:eastAsia="ro-MD"/>
                <w14:ligatures w14:val="none"/>
              </w:rPr>
              <w:t>ele</w:t>
            </w:r>
            <w:r w:rsidR="000647BB">
              <w:rPr>
                <w:rFonts w:ascii="Times New Roman" w:eastAsia="Times New Roman" w:hAnsi="Times New Roman" w:cs="Times New Roman"/>
                <w:color w:val="000000"/>
                <w:kern w:val="0"/>
                <w:lang w:eastAsia="ro-MD"/>
                <w14:ligatures w14:val="none"/>
              </w:rPr>
              <w:t xml:space="preserve"> 4, </w:t>
            </w:r>
            <w:r w:rsidRPr="008C359C">
              <w:rPr>
                <w:rFonts w:ascii="Times New Roman" w:eastAsia="Times New Roman" w:hAnsi="Times New Roman" w:cs="Times New Roman"/>
                <w:color w:val="000000"/>
                <w:kern w:val="0"/>
                <w:lang w:eastAsia="ro-MD"/>
                <w14:ligatures w14:val="none"/>
              </w:rPr>
              <w:t xml:space="preserve"> 89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90 din </w:t>
            </w:r>
            <w:r>
              <w:rPr>
                <w:rFonts w:ascii="Times New Roman" w:eastAsia="Times New Roman" w:hAnsi="Times New Roman" w:cs="Times New Roman"/>
                <w:color w:val="000000"/>
                <w:kern w:val="0"/>
                <w:lang w:eastAsia="ro-MD"/>
                <w14:ligatures w14:val="none"/>
              </w:rPr>
              <w:t>Regulamentul nr.109/2018</w:t>
            </w:r>
          </w:p>
        </w:tc>
        <w:tc>
          <w:tcPr>
            <w:tcW w:w="713" w:type="dxa"/>
          </w:tcPr>
          <w:p w14:paraId="459E022F"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6F0BBCAE" w14:textId="59C6983E" w:rsidTr="00627FFD">
        <w:trPr>
          <w:tblCellSpacing w:w="0" w:type="dxa"/>
        </w:trPr>
        <w:tc>
          <w:tcPr>
            <w:tcW w:w="729" w:type="dxa"/>
            <w:gridSpan w:val="2"/>
            <w:hideMark/>
          </w:tcPr>
          <w:p w14:paraId="4E90E799"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0362</w:t>
            </w:r>
          </w:p>
        </w:tc>
        <w:tc>
          <w:tcPr>
            <w:tcW w:w="8043" w:type="dxa"/>
            <w:hideMark/>
          </w:tcPr>
          <w:p w14:paraId="2811CA66" w14:textId="7A7DD2BB"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13.3.1. Dețineri sintetice brute de fonduri proprii de nivel 1 suplimentar ale entităților din sectorul financiar în care banca nu deține o investiție semnificativă</w:t>
            </w:r>
          </w:p>
          <w:p w14:paraId="4D8E8185" w14:textId="7B92F4C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Punct</w:t>
            </w:r>
            <w:r>
              <w:rPr>
                <w:rFonts w:ascii="Times New Roman" w:eastAsia="Times New Roman" w:hAnsi="Times New Roman" w:cs="Times New Roman"/>
                <w:color w:val="000000"/>
                <w:kern w:val="0"/>
                <w:lang w:eastAsia="ro-MD"/>
                <w14:ligatures w14:val="none"/>
              </w:rPr>
              <w:t>ele</w:t>
            </w:r>
            <w:r w:rsidRPr="008C359C">
              <w:rPr>
                <w:rFonts w:ascii="Times New Roman" w:eastAsia="Times New Roman" w:hAnsi="Times New Roman" w:cs="Times New Roman"/>
                <w:color w:val="000000"/>
                <w:kern w:val="0"/>
                <w:lang w:eastAsia="ro-MD"/>
                <w14:ligatures w14:val="none"/>
              </w:rPr>
              <w:t xml:space="preserve"> </w:t>
            </w:r>
            <w:r w:rsidR="00F419A2">
              <w:rPr>
                <w:rFonts w:ascii="Times New Roman" w:eastAsia="Times New Roman" w:hAnsi="Times New Roman" w:cs="Times New Roman"/>
                <w:color w:val="000000"/>
                <w:kern w:val="0"/>
                <w:lang w:eastAsia="ro-MD"/>
                <w14:ligatures w14:val="none"/>
              </w:rPr>
              <w:t xml:space="preserve">4, </w:t>
            </w:r>
            <w:r w:rsidRPr="008C359C">
              <w:rPr>
                <w:rFonts w:ascii="Times New Roman" w:eastAsia="Times New Roman" w:hAnsi="Times New Roman" w:cs="Times New Roman"/>
                <w:color w:val="000000"/>
                <w:kern w:val="0"/>
                <w:lang w:eastAsia="ro-MD"/>
                <w14:ligatures w14:val="none"/>
              </w:rPr>
              <w:t xml:space="preserve">89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90 din </w:t>
            </w:r>
            <w:r>
              <w:rPr>
                <w:rFonts w:ascii="Times New Roman" w:eastAsia="Times New Roman" w:hAnsi="Times New Roman" w:cs="Times New Roman"/>
                <w:color w:val="000000"/>
                <w:kern w:val="0"/>
                <w:lang w:eastAsia="ro-MD"/>
                <w14:ligatures w14:val="none"/>
              </w:rPr>
              <w:t>Regulamentul nr.109/2018</w:t>
            </w:r>
          </w:p>
        </w:tc>
        <w:tc>
          <w:tcPr>
            <w:tcW w:w="713" w:type="dxa"/>
          </w:tcPr>
          <w:p w14:paraId="32CB7431"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6F0B4BA8" w14:textId="42354455" w:rsidTr="00627FFD">
        <w:trPr>
          <w:tblCellSpacing w:w="0" w:type="dxa"/>
        </w:trPr>
        <w:tc>
          <w:tcPr>
            <w:tcW w:w="729" w:type="dxa"/>
            <w:gridSpan w:val="2"/>
            <w:hideMark/>
          </w:tcPr>
          <w:p w14:paraId="30525899"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lastRenderedPageBreak/>
              <w:t>0363</w:t>
            </w:r>
          </w:p>
        </w:tc>
        <w:tc>
          <w:tcPr>
            <w:tcW w:w="8043" w:type="dxa"/>
            <w:hideMark/>
          </w:tcPr>
          <w:p w14:paraId="621DA2F2"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13.3.2. (-) Poziții scurte de semn opus permise în ceea ce privește deținerile sintetice brute incluse mai sus</w:t>
            </w:r>
          </w:p>
          <w:p w14:paraId="2601150D" w14:textId="50642223"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Punct</w:t>
            </w:r>
            <w:r w:rsidR="00F419A2">
              <w:rPr>
                <w:rFonts w:ascii="Times New Roman" w:eastAsia="Times New Roman" w:hAnsi="Times New Roman" w:cs="Times New Roman"/>
                <w:color w:val="000000"/>
                <w:kern w:val="0"/>
                <w:lang w:eastAsia="ro-MD"/>
                <w14:ligatures w14:val="none"/>
              </w:rPr>
              <w:t>ele</w:t>
            </w:r>
            <w:r w:rsidRPr="008C359C">
              <w:rPr>
                <w:rFonts w:ascii="Times New Roman" w:eastAsia="Times New Roman" w:hAnsi="Times New Roman" w:cs="Times New Roman"/>
                <w:color w:val="000000"/>
                <w:kern w:val="0"/>
                <w:lang w:eastAsia="ro-MD"/>
                <w14:ligatures w14:val="none"/>
              </w:rPr>
              <w:t xml:space="preserve"> </w:t>
            </w:r>
            <w:r w:rsidR="00F419A2">
              <w:rPr>
                <w:rFonts w:ascii="Times New Roman" w:eastAsia="Times New Roman" w:hAnsi="Times New Roman" w:cs="Times New Roman"/>
                <w:color w:val="000000"/>
                <w:kern w:val="0"/>
                <w:lang w:eastAsia="ro-MD"/>
                <w14:ligatures w14:val="none"/>
              </w:rPr>
              <w:t xml:space="preserve">4 și </w:t>
            </w:r>
            <w:r w:rsidRPr="008C359C">
              <w:rPr>
                <w:rFonts w:ascii="Times New Roman" w:eastAsia="Times New Roman" w:hAnsi="Times New Roman" w:cs="Times New Roman"/>
                <w:color w:val="000000"/>
                <w:kern w:val="0"/>
                <w:lang w:eastAsia="ro-MD"/>
                <w14:ligatures w14:val="none"/>
              </w:rPr>
              <w:t xml:space="preserve">90 din </w:t>
            </w:r>
            <w:r>
              <w:rPr>
                <w:rFonts w:ascii="Times New Roman" w:eastAsia="Times New Roman" w:hAnsi="Times New Roman" w:cs="Times New Roman"/>
                <w:color w:val="000000"/>
                <w:kern w:val="0"/>
                <w:lang w:eastAsia="ro-MD"/>
                <w14:ligatures w14:val="none"/>
              </w:rPr>
              <w:t>Regulamentul nr.109/2018</w:t>
            </w:r>
            <w:r w:rsidRPr="00260C32">
              <w:rPr>
                <w:rFonts w:ascii="Times New Roman" w:eastAsia="Times New Roman" w:hAnsi="Times New Roman" w:cs="Times New Roman"/>
                <w:color w:val="000000"/>
                <w:kern w:val="0"/>
                <w:lang w:eastAsia="ro-MD"/>
                <w14:ligatures w14:val="none"/>
              </w:rPr>
              <w:t>.</w:t>
            </w:r>
          </w:p>
          <w:p w14:paraId="12916639" w14:textId="34500A33" w:rsidR="00815E38" w:rsidRPr="00260C32" w:rsidRDefault="000615F4"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P</w:t>
            </w:r>
            <w:r w:rsidRPr="008C359C">
              <w:rPr>
                <w:rFonts w:ascii="Times New Roman" w:eastAsia="Times New Roman" w:hAnsi="Times New Roman" w:cs="Times New Roman"/>
                <w:color w:val="000000"/>
                <w:kern w:val="0"/>
                <w:lang w:eastAsia="ro-MD"/>
                <w14:ligatures w14:val="none"/>
              </w:rPr>
              <w:t xml:space="preserve">unctul 90 subpunctul 1) din </w:t>
            </w:r>
            <w:r>
              <w:rPr>
                <w:rFonts w:ascii="Times New Roman" w:eastAsia="Times New Roman" w:hAnsi="Times New Roman" w:cs="Times New Roman"/>
                <w:color w:val="000000"/>
                <w:kern w:val="0"/>
                <w:lang w:eastAsia="ro-MD"/>
                <w14:ligatures w14:val="none"/>
              </w:rPr>
              <w:t>Regulamentul nr.109/2018</w:t>
            </w:r>
            <w:r w:rsidR="00115C61">
              <w:rPr>
                <w:rFonts w:ascii="Times New Roman" w:eastAsia="Times New Roman" w:hAnsi="Times New Roman" w:cs="Times New Roman"/>
                <w:color w:val="000000"/>
                <w:kern w:val="0"/>
                <w:lang w:eastAsia="ro-MD"/>
                <w14:ligatures w14:val="none"/>
              </w:rPr>
              <w:t xml:space="preserve"> </w:t>
            </w:r>
            <w:r w:rsidR="00815E38" w:rsidRPr="00260C32">
              <w:rPr>
                <w:rFonts w:ascii="Times New Roman" w:eastAsia="Times New Roman" w:hAnsi="Times New Roman" w:cs="Times New Roman"/>
                <w:color w:val="000000"/>
                <w:kern w:val="0"/>
                <w:lang w:eastAsia="ro-MD"/>
                <w14:ligatures w14:val="none"/>
              </w:rPr>
              <w:t>permite compensarea pozițiilor scurte în aceeași expunere-suport cu condiția ca data scadenței poziției scurte să fie aceeași cu data scadenței poziției lungi ori să survină după această dată sau scadența reziduală a poziției scurte să fie de cel puțin un an.</w:t>
            </w:r>
          </w:p>
        </w:tc>
        <w:tc>
          <w:tcPr>
            <w:tcW w:w="713" w:type="dxa"/>
          </w:tcPr>
          <w:p w14:paraId="108B4421"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1974F061" w14:textId="49C151E5" w:rsidTr="00627FFD">
        <w:trPr>
          <w:tblCellSpacing w:w="0" w:type="dxa"/>
        </w:trPr>
        <w:tc>
          <w:tcPr>
            <w:tcW w:w="729" w:type="dxa"/>
            <w:gridSpan w:val="2"/>
            <w:hideMark/>
          </w:tcPr>
          <w:p w14:paraId="1F6259A7"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0370</w:t>
            </w:r>
          </w:p>
        </w:tc>
        <w:tc>
          <w:tcPr>
            <w:tcW w:w="8043" w:type="dxa"/>
            <w:hideMark/>
          </w:tcPr>
          <w:p w14:paraId="1B162B9E" w14:textId="151B2960"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14. Dețineri de fonduri proprii de nivel 2 ale entităților din sectorul financiar în care banca nu deține o investiție semnificativă, excluzând pozițiile scurte</w:t>
            </w:r>
          </w:p>
          <w:p w14:paraId="3C941EF8" w14:textId="7D81626C"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Punct</w:t>
            </w:r>
            <w:r>
              <w:rPr>
                <w:rFonts w:ascii="Times New Roman" w:eastAsia="Times New Roman" w:hAnsi="Times New Roman" w:cs="Times New Roman"/>
                <w:color w:val="000000"/>
                <w:kern w:val="0"/>
                <w:lang w:eastAsia="ro-MD"/>
                <w14:ligatures w14:val="none"/>
              </w:rPr>
              <w:t>ele</w:t>
            </w:r>
            <w:r w:rsidRPr="008C359C">
              <w:rPr>
                <w:rFonts w:ascii="Times New Roman" w:eastAsia="Times New Roman" w:hAnsi="Times New Roman" w:cs="Times New Roman"/>
                <w:color w:val="000000"/>
                <w:kern w:val="0"/>
                <w:lang w:eastAsia="ro-MD"/>
                <w14:ligatures w14:val="none"/>
              </w:rPr>
              <w:t xml:space="preserve"> </w:t>
            </w:r>
            <w:r w:rsidR="009A1B12">
              <w:rPr>
                <w:rFonts w:ascii="Times New Roman" w:eastAsia="Times New Roman" w:hAnsi="Times New Roman" w:cs="Times New Roman"/>
                <w:color w:val="000000"/>
                <w:kern w:val="0"/>
                <w:lang w:eastAsia="ro-MD"/>
                <w14:ligatures w14:val="none"/>
              </w:rPr>
              <w:t xml:space="preserve">103 - 109 </w:t>
            </w:r>
            <w:r w:rsidRPr="008C359C">
              <w:rPr>
                <w:rFonts w:ascii="Times New Roman" w:eastAsia="Times New Roman" w:hAnsi="Times New Roman" w:cs="Times New Roman"/>
                <w:color w:val="000000"/>
                <w:kern w:val="0"/>
                <w:lang w:eastAsia="ro-MD"/>
                <w14:ligatures w14:val="none"/>
              </w:rPr>
              <w:t xml:space="preserve">din </w:t>
            </w:r>
            <w:r>
              <w:rPr>
                <w:rFonts w:ascii="Times New Roman" w:eastAsia="Times New Roman" w:hAnsi="Times New Roman" w:cs="Times New Roman"/>
                <w:color w:val="000000"/>
                <w:kern w:val="0"/>
                <w:lang w:eastAsia="ro-MD"/>
                <w14:ligatures w14:val="none"/>
              </w:rPr>
              <w:t>Regulamentul nr.109/2018</w:t>
            </w:r>
          </w:p>
        </w:tc>
        <w:tc>
          <w:tcPr>
            <w:tcW w:w="713" w:type="dxa"/>
          </w:tcPr>
          <w:p w14:paraId="186FA8F8"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A4ECD8D" w14:textId="0EB1DF5B" w:rsidTr="00627FFD">
        <w:trPr>
          <w:tblCellSpacing w:w="0" w:type="dxa"/>
        </w:trPr>
        <w:tc>
          <w:tcPr>
            <w:tcW w:w="729" w:type="dxa"/>
            <w:gridSpan w:val="2"/>
            <w:hideMark/>
          </w:tcPr>
          <w:p w14:paraId="36367C60"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0380</w:t>
            </w:r>
          </w:p>
        </w:tc>
        <w:tc>
          <w:tcPr>
            <w:tcW w:w="8043" w:type="dxa"/>
            <w:hideMark/>
          </w:tcPr>
          <w:p w14:paraId="634E3F1F" w14:textId="166B8CF0"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14.1. Dețineri directe de fonduri proprii de nivel 2 ale entităților din sectorul financiar în care banca nu deține o investiție semnificativă</w:t>
            </w:r>
          </w:p>
          <w:p w14:paraId="4BD876B5" w14:textId="17A00A42"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B46497">
              <w:rPr>
                <w:rFonts w:ascii="Times New Roman" w:eastAsia="Times New Roman" w:hAnsi="Times New Roman" w:cs="Times New Roman"/>
                <w:color w:val="000000"/>
                <w:kern w:val="0"/>
                <w:lang w:eastAsia="ro-MD"/>
                <w14:ligatures w14:val="none"/>
              </w:rPr>
              <w:t xml:space="preserve">Punctele 103, 104 </w:t>
            </w:r>
            <w:proofErr w:type="spellStart"/>
            <w:r w:rsidRPr="00B46497">
              <w:rPr>
                <w:rFonts w:ascii="Times New Roman" w:eastAsia="Times New Roman" w:hAnsi="Times New Roman" w:cs="Times New Roman"/>
                <w:color w:val="000000"/>
                <w:kern w:val="0"/>
                <w:lang w:eastAsia="ro-MD"/>
                <w14:ligatures w14:val="none"/>
              </w:rPr>
              <w:t>şi</w:t>
            </w:r>
            <w:proofErr w:type="spellEnd"/>
            <w:r w:rsidRPr="00B46497">
              <w:rPr>
                <w:rFonts w:ascii="Times New Roman" w:eastAsia="Times New Roman" w:hAnsi="Times New Roman" w:cs="Times New Roman"/>
                <w:color w:val="000000"/>
                <w:kern w:val="0"/>
                <w:lang w:eastAsia="ro-MD"/>
                <w14:ligatures w14:val="none"/>
              </w:rPr>
              <w:t xml:space="preserve"> 106 din </w:t>
            </w:r>
            <w:r>
              <w:rPr>
                <w:rFonts w:ascii="Times New Roman" w:eastAsia="Times New Roman" w:hAnsi="Times New Roman" w:cs="Times New Roman"/>
                <w:color w:val="000000"/>
                <w:kern w:val="0"/>
                <w:lang w:eastAsia="ro-MD"/>
                <w14:ligatures w14:val="none"/>
              </w:rPr>
              <w:t>Regulamentul nr.109/2018</w:t>
            </w:r>
          </w:p>
        </w:tc>
        <w:tc>
          <w:tcPr>
            <w:tcW w:w="713" w:type="dxa"/>
          </w:tcPr>
          <w:p w14:paraId="58D24E72"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1941D314" w14:textId="17184196" w:rsidTr="00627FFD">
        <w:trPr>
          <w:tblCellSpacing w:w="0" w:type="dxa"/>
        </w:trPr>
        <w:tc>
          <w:tcPr>
            <w:tcW w:w="729" w:type="dxa"/>
            <w:gridSpan w:val="2"/>
            <w:hideMark/>
          </w:tcPr>
          <w:p w14:paraId="4C308538"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0390</w:t>
            </w:r>
          </w:p>
        </w:tc>
        <w:tc>
          <w:tcPr>
            <w:tcW w:w="8043" w:type="dxa"/>
            <w:hideMark/>
          </w:tcPr>
          <w:p w14:paraId="7C739DDE" w14:textId="13FDB009"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14.1.1. Dețineri directe brute de fonduri proprii de nivel 2 ale entităților din sectorul financiar în care banca nu deține o investiție semnificativă</w:t>
            </w:r>
          </w:p>
          <w:p w14:paraId="2D3CDFD0" w14:textId="77777777" w:rsidR="00115C61"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B46497">
              <w:rPr>
                <w:rFonts w:ascii="Times New Roman" w:eastAsia="Times New Roman" w:hAnsi="Times New Roman" w:cs="Times New Roman"/>
                <w:color w:val="000000"/>
                <w:kern w:val="0"/>
                <w:lang w:eastAsia="ro-MD"/>
                <w14:ligatures w14:val="none"/>
              </w:rPr>
              <w:t xml:space="preserve">Punctele 103 </w:t>
            </w:r>
            <w:proofErr w:type="spellStart"/>
            <w:r w:rsidRPr="00B46497">
              <w:rPr>
                <w:rFonts w:ascii="Times New Roman" w:eastAsia="Times New Roman" w:hAnsi="Times New Roman" w:cs="Times New Roman"/>
                <w:color w:val="000000"/>
                <w:kern w:val="0"/>
                <w:lang w:eastAsia="ro-MD"/>
                <w14:ligatures w14:val="none"/>
              </w:rPr>
              <w:t>şi</w:t>
            </w:r>
            <w:proofErr w:type="spellEnd"/>
            <w:r w:rsidRPr="00B46497">
              <w:rPr>
                <w:rFonts w:ascii="Times New Roman" w:eastAsia="Times New Roman" w:hAnsi="Times New Roman" w:cs="Times New Roman"/>
                <w:color w:val="000000"/>
                <w:kern w:val="0"/>
                <w:lang w:eastAsia="ro-MD"/>
                <w14:ligatures w14:val="none"/>
              </w:rPr>
              <w:t xml:space="preserve"> 106 din </w:t>
            </w:r>
            <w:r>
              <w:rPr>
                <w:rFonts w:ascii="Times New Roman" w:eastAsia="Times New Roman" w:hAnsi="Times New Roman" w:cs="Times New Roman"/>
                <w:color w:val="000000"/>
                <w:kern w:val="0"/>
                <w:lang w:eastAsia="ro-MD"/>
                <w14:ligatures w14:val="none"/>
              </w:rPr>
              <w:t>Regulamentul nr.109/2018</w:t>
            </w:r>
            <w:r w:rsidRPr="00B46497">
              <w:rPr>
                <w:rFonts w:ascii="Times New Roman" w:eastAsia="Times New Roman" w:hAnsi="Times New Roman" w:cs="Times New Roman"/>
                <w:color w:val="000000"/>
                <w:kern w:val="0"/>
                <w:lang w:eastAsia="ro-MD"/>
                <w14:ligatures w14:val="none"/>
              </w:rPr>
              <w:t>.</w:t>
            </w:r>
          </w:p>
          <w:p w14:paraId="0A3FBE80" w14:textId="7CD9090B"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directe de fonduri proprii de nivel 2 ale entităților din sectorul financiar în care </w:t>
            </w:r>
            <w:r>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nu deține o investiție semnificativă, excluzând:</w:t>
            </w:r>
          </w:p>
          <w:tbl>
            <w:tblPr>
              <w:tblW w:w="5000" w:type="pct"/>
              <w:tblCellSpacing w:w="0" w:type="dxa"/>
              <w:tblLayout w:type="fixed"/>
              <w:tblCellMar>
                <w:left w:w="0" w:type="dxa"/>
                <w:right w:w="0" w:type="dxa"/>
              </w:tblCellMar>
              <w:tblLook w:val="04A0" w:firstRow="1" w:lastRow="0" w:firstColumn="1" w:lastColumn="0" w:noHBand="0" w:noVBand="1"/>
            </w:tblPr>
            <w:tblGrid>
              <w:gridCol w:w="404"/>
              <w:gridCol w:w="7619"/>
            </w:tblGrid>
            <w:tr w:rsidR="00815E38" w:rsidRPr="00260C32" w14:paraId="159A4B7A" w14:textId="77777777" w:rsidTr="004041EC">
              <w:trPr>
                <w:tblCellSpacing w:w="0" w:type="dxa"/>
              </w:trPr>
              <w:tc>
                <w:tcPr>
                  <w:tcW w:w="397" w:type="dxa"/>
                  <w:hideMark/>
                </w:tcPr>
                <w:p w14:paraId="4A7BE714" w14:textId="77777777" w:rsidR="00815E38" w:rsidRPr="00260C32" w:rsidRDefault="00815E38"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(a)</w:t>
                  </w:r>
                </w:p>
              </w:tc>
              <w:tc>
                <w:tcPr>
                  <w:tcW w:w="7494" w:type="dxa"/>
                  <w:hideMark/>
                </w:tcPr>
                <w:p w14:paraId="0E5CB50C" w14:textId="77777777" w:rsidR="00815E38" w:rsidRPr="00260C32" w:rsidRDefault="00815E38"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pozițiile aferente angajamentelor de preluare fermă deținute timp de cinci zile lucrătoare sau mai puțin; și</w:t>
                  </w:r>
                </w:p>
              </w:tc>
            </w:tr>
          </w:tbl>
          <w:p w14:paraId="5B4E510C" w14:textId="77777777" w:rsidR="00815E38" w:rsidRPr="00260C32" w:rsidRDefault="00815E38" w:rsidP="006F30A7">
            <w:pPr>
              <w:spacing w:after="0" w:line="240" w:lineRule="auto"/>
              <w:rPr>
                <w:rFonts w:ascii="Times New Roman" w:eastAsia="Times New Roman" w:hAnsi="Times New Roman" w:cs="Times New Roman"/>
                <w:vanish/>
                <w:color w:val="000000"/>
                <w:kern w:val="0"/>
                <w:lang w:eastAsia="ro-MD"/>
                <w14:ligatures w14:val="none"/>
              </w:rPr>
            </w:pPr>
          </w:p>
          <w:tbl>
            <w:tblPr>
              <w:tblW w:w="5000" w:type="pct"/>
              <w:tblCellSpacing w:w="0" w:type="dxa"/>
              <w:tblLayout w:type="fixed"/>
              <w:tblCellMar>
                <w:left w:w="0" w:type="dxa"/>
                <w:right w:w="0" w:type="dxa"/>
              </w:tblCellMar>
              <w:tblLook w:val="04A0" w:firstRow="1" w:lastRow="0" w:firstColumn="1" w:lastColumn="0" w:noHBand="0" w:noVBand="1"/>
            </w:tblPr>
            <w:tblGrid>
              <w:gridCol w:w="404"/>
              <w:gridCol w:w="7619"/>
            </w:tblGrid>
            <w:tr w:rsidR="00815E38" w:rsidRPr="00260C32" w14:paraId="1650CDCF" w14:textId="77777777" w:rsidTr="004041EC">
              <w:trPr>
                <w:tblCellSpacing w:w="0" w:type="dxa"/>
              </w:trPr>
              <w:tc>
                <w:tcPr>
                  <w:tcW w:w="397" w:type="dxa"/>
                  <w:hideMark/>
                </w:tcPr>
                <w:p w14:paraId="66882F5F" w14:textId="77777777" w:rsidR="00815E38" w:rsidRPr="00260C32" w:rsidRDefault="00815E38"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(b)</w:t>
                  </w:r>
                </w:p>
              </w:tc>
              <w:tc>
                <w:tcPr>
                  <w:tcW w:w="7494" w:type="dxa"/>
                  <w:hideMark/>
                </w:tcPr>
                <w:p w14:paraId="118E2C93" w14:textId="193E17AF" w:rsidR="00815E38" w:rsidRPr="00260C32" w:rsidRDefault="00815E38"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 xml:space="preserve">deținerile care sunt tratate drept dețineri </w:t>
                  </w:r>
                  <w:r w:rsidRPr="00247A22">
                    <w:rPr>
                      <w:rFonts w:ascii="Times New Roman" w:eastAsia="Times New Roman" w:hAnsi="Times New Roman" w:cs="Times New Roman"/>
                      <w:kern w:val="0"/>
                      <w:lang w:eastAsia="ro-MD"/>
                      <w14:ligatures w14:val="none"/>
                    </w:rPr>
                    <w:t xml:space="preserve">reciproce în conformitate cu </w:t>
                  </w:r>
                  <w:r w:rsidR="00247A22">
                    <w:rPr>
                      <w:rFonts w:ascii="Times New Roman" w:eastAsia="Times New Roman" w:hAnsi="Times New Roman" w:cs="Times New Roman"/>
                      <w:kern w:val="0"/>
                      <w:lang w:eastAsia="ro-MD"/>
                      <w14:ligatures w14:val="none"/>
                    </w:rPr>
                    <w:t>p</w:t>
                  </w:r>
                  <w:r w:rsidR="00247A22" w:rsidRPr="008C359C">
                    <w:rPr>
                      <w:rFonts w:ascii="Times New Roman" w:eastAsia="Times New Roman" w:hAnsi="Times New Roman" w:cs="Times New Roman"/>
                      <w:color w:val="000000"/>
                      <w:kern w:val="0"/>
                      <w:lang w:eastAsia="ro-MD"/>
                      <w14:ligatures w14:val="none"/>
                    </w:rPr>
                    <w:t xml:space="preserve">unctul </w:t>
                  </w:r>
                  <w:r w:rsidR="00247A22">
                    <w:rPr>
                      <w:rFonts w:ascii="Times New Roman" w:eastAsia="Times New Roman" w:hAnsi="Times New Roman" w:cs="Times New Roman"/>
                      <w:color w:val="000000"/>
                      <w:kern w:val="0"/>
                      <w:lang w:eastAsia="ro-MD"/>
                      <w14:ligatures w14:val="none"/>
                    </w:rPr>
                    <w:t>1</w:t>
                  </w:r>
                  <w:r w:rsidR="00247A22" w:rsidRPr="008C359C">
                    <w:rPr>
                      <w:rFonts w:ascii="Times New Roman" w:eastAsia="Times New Roman" w:hAnsi="Times New Roman" w:cs="Times New Roman"/>
                      <w:color w:val="000000"/>
                      <w:kern w:val="0"/>
                      <w:lang w:eastAsia="ro-MD"/>
                      <w14:ligatures w14:val="none"/>
                    </w:rPr>
                    <w:t>0</w:t>
                  </w:r>
                  <w:r w:rsidR="00247A22">
                    <w:rPr>
                      <w:rFonts w:ascii="Times New Roman" w:eastAsia="Times New Roman" w:hAnsi="Times New Roman" w:cs="Times New Roman"/>
                      <w:color w:val="000000"/>
                      <w:kern w:val="0"/>
                      <w:lang w:eastAsia="ro-MD"/>
                      <w14:ligatures w14:val="none"/>
                    </w:rPr>
                    <w:t>0</w:t>
                  </w:r>
                  <w:r w:rsidR="00247A22" w:rsidRPr="008C359C">
                    <w:rPr>
                      <w:rFonts w:ascii="Times New Roman" w:eastAsia="Times New Roman" w:hAnsi="Times New Roman" w:cs="Times New Roman"/>
                      <w:color w:val="000000"/>
                      <w:kern w:val="0"/>
                      <w:lang w:eastAsia="ro-MD"/>
                      <w14:ligatures w14:val="none"/>
                    </w:rPr>
                    <w:t xml:space="preserve"> subpunctul </w:t>
                  </w:r>
                  <w:r w:rsidR="00247A22">
                    <w:rPr>
                      <w:rFonts w:ascii="Times New Roman" w:eastAsia="Times New Roman" w:hAnsi="Times New Roman" w:cs="Times New Roman"/>
                      <w:color w:val="000000"/>
                      <w:kern w:val="0"/>
                      <w:lang w:eastAsia="ro-MD"/>
                      <w14:ligatures w14:val="none"/>
                    </w:rPr>
                    <w:t>2</w:t>
                  </w:r>
                  <w:r w:rsidR="00247A22" w:rsidRPr="008C359C">
                    <w:rPr>
                      <w:rFonts w:ascii="Times New Roman" w:eastAsia="Times New Roman" w:hAnsi="Times New Roman" w:cs="Times New Roman"/>
                      <w:color w:val="000000"/>
                      <w:kern w:val="0"/>
                      <w:lang w:eastAsia="ro-MD"/>
                      <w14:ligatures w14:val="none"/>
                    </w:rPr>
                    <w:t xml:space="preserve">) din </w:t>
                  </w:r>
                  <w:r w:rsidR="00247A22">
                    <w:rPr>
                      <w:rFonts w:ascii="Times New Roman" w:eastAsia="Times New Roman" w:hAnsi="Times New Roman" w:cs="Times New Roman"/>
                      <w:color w:val="000000"/>
                      <w:kern w:val="0"/>
                      <w:lang w:eastAsia="ro-MD"/>
                      <w14:ligatures w14:val="none"/>
                    </w:rPr>
                    <w:t>Regulamentul nr.109/2018</w:t>
                  </w:r>
                  <w:r w:rsidRPr="00247A22">
                    <w:rPr>
                      <w:rFonts w:ascii="Times New Roman" w:eastAsia="Times New Roman" w:hAnsi="Times New Roman" w:cs="Times New Roman"/>
                      <w:kern w:val="0"/>
                      <w:lang w:eastAsia="ro-MD"/>
                      <w14:ligatures w14:val="none"/>
                    </w:rPr>
                    <w:t>.</w:t>
                  </w:r>
                </w:p>
              </w:tc>
            </w:tr>
          </w:tbl>
          <w:p w14:paraId="34F43FD6"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p>
        </w:tc>
        <w:tc>
          <w:tcPr>
            <w:tcW w:w="713" w:type="dxa"/>
          </w:tcPr>
          <w:p w14:paraId="1898C6A0"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93B4F55" w14:textId="3808A544" w:rsidTr="00627FFD">
        <w:trPr>
          <w:tblCellSpacing w:w="0" w:type="dxa"/>
        </w:trPr>
        <w:tc>
          <w:tcPr>
            <w:tcW w:w="729" w:type="dxa"/>
            <w:gridSpan w:val="2"/>
            <w:hideMark/>
          </w:tcPr>
          <w:p w14:paraId="0D4B740B"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0400</w:t>
            </w:r>
          </w:p>
        </w:tc>
        <w:tc>
          <w:tcPr>
            <w:tcW w:w="8043" w:type="dxa"/>
            <w:hideMark/>
          </w:tcPr>
          <w:p w14:paraId="22AF924E"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14.1.2. (-) Poziții scurte de semn opus permise în ceea ce privește deținerile directe brute incluse mai sus</w:t>
            </w:r>
          </w:p>
          <w:p w14:paraId="5866089D" w14:textId="77777777" w:rsidR="00115C61" w:rsidRDefault="00815E38" w:rsidP="006F30A7">
            <w:pPr>
              <w:spacing w:after="0" w:line="240" w:lineRule="auto"/>
              <w:rPr>
                <w:rFonts w:ascii="Arial" w:hAnsi="Arial" w:cs="Arial"/>
              </w:rPr>
            </w:pPr>
            <w:r w:rsidRPr="00B46497">
              <w:rPr>
                <w:rFonts w:ascii="Times New Roman" w:eastAsia="Times New Roman" w:hAnsi="Times New Roman" w:cs="Times New Roman"/>
                <w:color w:val="000000"/>
                <w:kern w:val="0"/>
                <w:lang w:eastAsia="ro-MD"/>
                <w14:ligatures w14:val="none"/>
              </w:rPr>
              <w:t xml:space="preserve">Punctul 104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p>
          <w:p w14:paraId="5BFE637B" w14:textId="641A1A0B"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Punctul 104 subpunctul 1)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r w:rsidRPr="00260C32">
              <w:rPr>
                <w:rFonts w:ascii="Times New Roman" w:eastAsia="Times New Roman" w:hAnsi="Times New Roman" w:cs="Times New Roman"/>
                <w:color w:val="000000"/>
                <w:kern w:val="0"/>
                <w:lang w:eastAsia="ro-MD"/>
                <w14:ligatures w14:val="none"/>
              </w:rPr>
              <w:t>permite compensarea pozițiilor scurte în aceeași expunere-suport cu condiția ca data scadenței poziției scurte să fie aceeași cu data scadenței poziției lungi ori să survină după această dată sau scadența reziduală a poziției scurte să fie de cel puțin un an.</w:t>
            </w:r>
          </w:p>
        </w:tc>
        <w:tc>
          <w:tcPr>
            <w:tcW w:w="713" w:type="dxa"/>
          </w:tcPr>
          <w:p w14:paraId="3EB903EF"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7A939807" w14:textId="5AD8C6AF" w:rsidTr="00627FFD">
        <w:trPr>
          <w:tblCellSpacing w:w="0" w:type="dxa"/>
        </w:trPr>
        <w:tc>
          <w:tcPr>
            <w:tcW w:w="729" w:type="dxa"/>
            <w:gridSpan w:val="2"/>
            <w:hideMark/>
          </w:tcPr>
          <w:p w14:paraId="035F4E11"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0410</w:t>
            </w:r>
          </w:p>
        </w:tc>
        <w:tc>
          <w:tcPr>
            <w:tcW w:w="8043" w:type="dxa"/>
            <w:hideMark/>
          </w:tcPr>
          <w:p w14:paraId="7A42A203" w14:textId="3138B342"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14.2. Dețineri indirecte de fonduri proprii de nivel 2 ale entităților din sectorul financiar în care banca nu deține o investiție semnificativă</w:t>
            </w:r>
          </w:p>
          <w:p w14:paraId="694E4400" w14:textId="2C5A768F"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sidR="00A132E1">
              <w:rPr>
                <w:rFonts w:ascii="Times New Roman" w:eastAsia="Times New Roman" w:hAnsi="Times New Roman" w:cs="Times New Roman"/>
                <w:color w:val="000000"/>
                <w:kern w:val="0"/>
                <w:lang w:eastAsia="ro-MD"/>
                <w14:ligatures w14:val="none"/>
              </w:rPr>
              <w:t xml:space="preserve">4, </w:t>
            </w:r>
            <w:r w:rsidRPr="008C359C">
              <w:rPr>
                <w:rFonts w:ascii="Times New Roman" w:eastAsia="Times New Roman" w:hAnsi="Times New Roman" w:cs="Times New Roman"/>
                <w:color w:val="000000"/>
                <w:kern w:val="0"/>
                <w:lang w:eastAsia="ro-MD"/>
                <w14:ligatures w14:val="none"/>
              </w:rPr>
              <w:t xml:space="preserve">103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10</w:t>
            </w:r>
            <w:r>
              <w:rPr>
                <w:rFonts w:ascii="Times New Roman" w:eastAsia="Times New Roman" w:hAnsi="Times New Roman" w:cs="Times New Roman"/>
                <w:color w:val="000000"/>
                <w:kern w:val="0"/>
                <w:lang w:eastAsia="ro-MD"/>
                <w14:ligatures w14:val="none"/>
              </w:rPr>
              <w:t>4</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tc>
        <w:tc>
          <w:tcPr>
            <w:tcW w:w="713" w:type="dxa"/>
          </w:tcPr>
          <w:p w14:paraId="494AFFC4"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7C7555FC" w14:textId="5D42D406" w:rsidTr="00627FFD">
        <w:trPr>
          <w:tblCellSpacing w:w="0" w:type="dxa"/>
        </w:trPr>
        <w:tc>
          <w:tcPr>
            <w:tcW w:w="729" w:type="dxa"/>
            <w:gridSpan w:val="2"/>
            <w:hideMark/>
          </w:tcPr>
          <w:p w14:paraId="0B3C3131"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0420</w:t>
            </w:r>
          </w:p>
        </w:tc>
        <w:tc>
          <w:tcPr>
            <w:tcW w:w="8043" w:type="dxa"/>
            <w:hideMark/>
          </w:tcPr>
          <w:p w14:paraId="1F37E6F7" w14:textId="23E6A230"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14.2.1. Dețineri indirecte brute de fonduri proprii de nivel 2 ale entităților din sectorul financiar în care banca nu deține o investiție semnificativă</w:t>
            </w:r>
          </w:p>
          <w:p w14:paraId="46B111AA" w14:textId="77777777" w:rsidR="00115C61"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sidR="00A132E1">
              <w:rPr>
                <w:rFonts w:ascii="Times New Roman" w:eastAsia="Times New Roman" w:hAnsi="Times New Roman" w:cs="Times New Roman"/>
                <w:color w:val="000000"/>
                <w:kern w:val="0"/>
                <w:lang w:eastAsia="ro-MD"/>
                <w14:ligatures w14:val="none"/>
              </w:rPr>
              <w:t xml:space="preserve">4, </w:t>
            </w:r>
            <w:r w:rsidRPr="008C359C">
              <w:rPr>
                <w:rFonts w:ascii="Times New Roman" w:eastAsia="Times New Roman" w:hAnsi="Times New Roman" w:cs="Times New Roman"/>
                <w:color w:val="000000"/>
                <w:kern w:val="0"/>
                <w:lang w:eastAsia="ro-MD"/>
                <w14:ligatures w14:val="none"/>
              </w:rPr>
              <w:t xml:space="preserve">103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10</w:t>
            </w:r>
            <w:r>
              <w:rPr>
                <w:rFonts w:ascii="Times New Roman" w:eastAsia="Times New Roman" w:hAnsi="Times New Roman" w:cs="Times New Roman"/>
                <w:color w:val="000000"/>
                <w:kern w:val="0"/>
                <w:lang w:eastAsia="ro-MD"/>
                <w14:ligatures w14:val="none"/>
              </w:rPr>
              <w:t>4</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p w14:paraId="413BDA31" w14:textId="1C8F7610"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care trebuie raportat este cel al deținerilor indirecte din portofoliul de tranzacționare în instrumentele de capital ale entităților din sectorul financiar care iau forma unor dețineri de titluri de valoare bazate pe indici. Acesta se obține prin calcularea expunerii-suport față de instrumentele de capital ale entităților din sectorul financiar incluse în indici.</w:t>
            </w:r>
          </w:p>
          <w:p w14:paraId="302E54BB" w14:textId="678919F4"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proofErr w:type="spellStart"/>
            <w:r w:rsidRPr="00B471D3">
              <w:rPr>
                <w:rFonts w:ascii="Times New Roman" w:eastAsia="Times New Roman" w:hAnsi="Times New Roman" w:cs="Times New Roman"/>
                <w:color w:val="000000"/>
                <w:kern w:val="0"/>
                <w:lang w:eastAsia="ro-MD"/>
                <w14:ligatures w14:val="none"/>
              </w:rPr>
              <w:t>Deţinerile</w:t>
            </w:r>
            <w:proofErr w:type="spellEnd"/>
            <w:r w:rsidRPr="00B471D3">
              <w:rPr>
                <w:rFonts w:ascii="Times New Roman" w:eastAsia="Times New Roman" w:hAnsi="Times New Roman" w:cs="Times New Roman"/>
                <w:color w:val="000000"/>
                <w:kern w:val="0"/>
                <w:lang w:eastAsia="ro-MD"/>
                <w14:ligatures w14:val="none"/>
              </w:rPr>
              <w:t xml:space="preserve">, care sunt tratate drept </w:t>
            </w:r>
            <w:proofErr w:type="spellStart"/>
            <w:r w:rsidRPr="00B471D3">
              <w:rPr>
                <w:rFonts w:ascii="Times New Roman" w:eastAsia="Times New Roman" w:hAnsi="Times New Roman" w:cs="Times New Roman"/>
                <w:color w:val="000000"/>
                <w:kern w:val="0"/>
                <w:lang w:eastAsia="ro-MD"/>
                <w14:ligatures w14:val="none"/>
              </w:rPr>
              <w:t>deţineri</w:t>
            </w:r>
            <w:proofErr w:type="spellEnd"/>
            <w:r w:rsidRPr="00B471D3">
              <w:rPr>
                <w:rFonts w:ascii="Times New Roman" w:eastAsia="Times New Roman" w:hAnsi="Times New Roman" w:cs="Times New Roman"/>
                <w:color w:val="000000"/>
                <w:kern w:val="0"/>
                <w:lang w:eastAsia="ro-MD"/>
                <w14:ligatures w14:val="none"/>
              </w:rPr>
              <w:t xml:space="preserve"> reciproce în conformitate cu punctul 100 subpunctul 2) din </w:t>
            </w:r>
            <w:r>
              <w:rPr>
                <w:rFonts w:ascii="Times New Roman" w:eastAsia="Times New Roman" w:hAnsi="Times New Roman" w:cs="Times New Roman"/>
                <w:color w:val="000000"/>
                <w:kern w:val="0"/>
                <w:lang w:eastAsia="ro-MD"/>
                <w14:ligatures w14:val="none"/>
              </w:rPr>
              <w:t>Regulamentul nr.109/2018</w:t>
            </w:r>
            <w:r w:rsidRPr="00B471D3">
              <w:rPr>
                <w:rFonts w:ascii="Times New Roman" w:eastAsia="Times New Roman" w:hAnsi="Times New Roman" w:cs="Times New Roman"/>
                <w:color w:val="000000"/>
                <w:kern w:val="0"/>
                <w:lang w:eastAsia="ro-MD"/>
                <w14:ligatures w14:val="none"/>
              </w:rPr>
              <w:t xml:space="preserve"> nu sunt incluse.</w:t>
            </w:r>
          </w:p>
        </w:tc>
        <w:tc>
          <w:tcPr>
            <w:tcW w:w="713" w:type="dxa"/>
          </w:tcPr>
          <w:p w14:paraId="67CCD181"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5EFB44EE" w14:textId="378E2E36" w:rsidTr="00627FFD">
        <w:trPr>
          <w:tblCellSpacing w:w="0" w:type="dxa"/>
        </w:trPr>
        <w:tc>
          <w:tcPr>
            <w:tcW w:w="729" w:type="dxa"/>
            <w:gridSpan w:val="2"/>
            <w:hideMark/>
          </w:tcPr>
          <w:p w14:paraId="3C708C66"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0430</w:t>
            </w:r>
          </w:p>
        </w:tc>
        <w:tc>
          <w:tcPr>
            <w:tcW w:w="8043" w:type="dxa"/>
            <w:hideMark/>
          </w:tcPr>
          <w:p w14:paraId="44C6F59A"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14.2.2. (-) Poziții scurte de semn opus permise în ceea ce privește deținerile indirecte brute incluse mai sus</w:t>
            </w:r>
          </w:p>
          <w:p w14:paraId="6FB5BB8F" w14:textId="77777777" w:rsidR="00115C61" w:rsidRDefault="00815E38" w:rsidP="006F30A7">
            <w:pPr>
              <w:spacing w:after="0" w:line="240" w:lineRule="auto"/>
              <w:rPr>
                <w:rFonts w:ascii="Arial" w:hAnsi="Arial" w:cs="Arial"/>
              </w:rPr>
            </w:pPr>
            <w:r w:rsidRPr="00B471D3">
              <w:rPr>
                <w:rFonts w:ascii="Times New Roman" w:eastAsia="Times New Roman" w:hAnsi="Times New Roman" w:cs="Times New Roman"/>
                <w:color w:val="000000"/>
                <w:kern w:val="0"/>
                <w:lang w:eastAsia="ro-MD"/>
                <w14:ligatures w14:val="none"/>
              </w:rPr>
              <w:t>Punct</w:t>
            </w:r>
            <w:r w:rsidR="00635999">
              <w:rPr>
                <w:rFonts w:ascii="Times New Roman" w:eastAsia="Times New Roman" w:hAnsi="Times New Roman" w:cs="Times New Roman"/>
                <w:color w:val="000000"/>
                <w:kern w:val="0"/>
                <w:lang w:eastAsia="ro-MD"/>
                <w14:ligatures w14:val="none"/>
              </w:rPr>
              <w:t>ele</w:t>
            </w:r>
            <w:r w:rsidRPr="00B471D3">
              <w:rPr>
                <w:rFonts w:ascii="Times New Roman" w:eastAsia="Times New Roman" w:hAnsi="Times New Roman" w:cs="Times New Roman"/>
                <w:color w:val="000000"/>
                <w:kern w:val="0"/>
                <w:lang w:eastAsia="ro-MD"/>
                <w14:ligatures w14:val="none"/>
              </w:rPr>
              <w:t xml:space="preserve"> </w:t>
            </w:r>
            <w:r w:rsidR="00635999">
              <w:rPr>
                <w:rFonts w:ascii="Times New Roman" w:eastAsia="Times New Roman" w:hAnsi="Times New Roman" w:cs="Times New Roman"/>
                <w:color w:val="000000"/>
                <w:kern w:val="0"/>
                <w:lang w:eastAsia="ro-MD"/>
                <w14:ligatures w14:val="none"/>
              </w:rPr>
              <w:t xml:space="preserve">4 și </w:t>
            </w:r>
            <w:r w:rsidRPr="00B471D3">
              <w:rPr>
                <w:rFonts w:ascii="Times New Roman" w:eastAsia="Times New Roman" w:hAnsi="Times New Roman" w:cs="Times New Roman"/>
                <w:color w:val="000000"/>
                <w:kern w:val="0"/>
                <w:lang w:eastAsia="ro-MD"/>
                <w14:ligatures w14:val="none"/>
              </w:rPr>
              <w:t xml:space="preserve">104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p>
          <w:p w14:paraId="7C01753B" w14:textId="5C317080" w:rsidR="00815E38" w:rsidRPr="00260C32" w:rsidRDefault="00635999"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P</w:t>
            </w:r>
            <w:r w:rsidRPr="008C359C">
              <w:rPr>
                <w:rFonts w:ascii="Times New Roman" w:eastAsia="Times New Roman" w:hAnsi="Times New Roman" w:cs="Times New Roman"/>
                <w:color w:val="000000"/>
                <w:kern w:val="0"/>
                <w:lang w:eastAsia="ro-MD"/>
                <w14:ligatures w14:val="none"/>
              </w:rPr>
              <w:t xml:space="preserve">unctul </w:t>
            </w:r>
            <w:r>
              <w:rPr>
                <w:rFonts w:ascii="Times New Roman" w:eastAsia="Times New Roman" w:hAnsi="Times New Roman" w:cs="Times New Roman"/>
                <w:color w:val="000000"/>
                <w:kern w:val="0"/>
                <w:lang w:eastAsia="ro-MD"/>
                <w14:ligatures w14:val="none"/>
              </w:rPr>
              <w:t>1</w:t>
            </w:r>
            <w:r w:rsidRPr="008C359C">
              <w:rPr>
                <w:rFonts w:ascii="Times New Roman" w:eastAsia="Times New Roman" w:hAnsi="Times New Roman" w:cs="Times New Roman"/>
                <w:color w:val="000000"/>
                <w:kern w:val="0"/>
                <w:lang w:eastAsia="ro-MD"/>
                <w14:ligatures w14:val="none"/>
              </w:rPr>
              <w:t>0</w:t>
            </w:r>
            <w:r>
              <w:rPr>
                <w:rFonts w:ascii="Times New Roman" w:eastAsia="Times New Roman" w:hAnsi="Times New Roman" w:cs="Times New Roman"/>
                <w:color w:val="000000"/>
                <w:kern w:val="0"/>
                <w:lang w:eastAsia="ro-MD"/>
                <w14:ligatures w14:val="none"/>
              </w:rPr>
              <w:t>4</w:t>
            </w:r>
            <w:r w:rsidRPr="008C359C">
              <w:rPr>
                <w:rFonts w:ascii="Times New Roman" w:eastAsia="Times New Roman" w:hAnsi="Times New Roman" w:cs="Times New Roman"/>
                <w:color w:val="000000"/>
                <w:kern w:val="0"/>
                <w:lang w:eastAsia="ro-MD"/>
                <w14:ligatures w14:val="none"/>
              </w:rPr>
              <w:t xml:space="preserve"> subpunctul 1) din </w:t>
            </w:r>
            <w:r>
              <w:rPr>
                <w:rFonts w:ascii="Times New Roman" w:eastAsia="Times New Roman" w:hAnsi="Times New Roman" w:cs="Times New Roman"/>
                <w:color w:val="000000"/>
                <w:kern w:val="0"/>
                <w:lang w:eastAsia="ro-MD"/>
                <w14:ligatures w14:val="none"/>
              </w:rPr>
              <w:t>Regulamentul nr.109/2018</w:t>
            </w:r>
            <w:r w:rsidR="00815E38" w:rsidRPr="00260C32">
              <w:rPr>
                <w:rFonts w:ascii="Times New Roman" w:eastAsia="Times New Roman" w:hAnsi="Times New Roman" w:cs="Times New Roman"/>
                <w:color w:val="000000"/>
                <w:kern w:val="0"/>
                <w:lang w:eastAsia="ro-MD"/>
                <w14:ligatures w14:val="none"/>
              </w:rPr>
              <w:t>permite compensarea pozițiilor scurte în aceeași expunere-suport cu condiția ca data scadenței poziției scurte să fie aceeași cu data scadenței poziției lungi ori să survină după această dată sau scadența reziduală a poziției scurte să fie de cel puțin un an.</w:t>
            </w:r>
          </w:p>
        </w:tc>
        <w:tc>
          <w:tcPr>
            <w:tcW w:w="713" w:type="dxa"/>
          </w:tcPr>
          <w:p w14:paraId="648F9A1E"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2AD3FECD" w14:textId="74185C31" w:rsidTr="00627FFD">
        <w:trPr>
          <w:tblCellSpacing w:w="0" w:type="dxa"/>
        </w:trPr>
        <w:tc>
          <w:tcPr>
            <w:tcW w:w="729" w:type="dxa"/>
            <w:gridSpan w:val="2"/>
            <w:hideMark/>
          </w:tcPr>
          <w:p w14:paraId="689038E6"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0431</w:t>
            </w:r>
          </w:p>
        </w:tc>
        <w:tc>
          <w:tcPr>
            <w:tcW w:w="8043" w:type="dxa"/>
            <w:hideMark/>
          </w:tcPr>
          <w:p w14:paraId="7FE3B29B" w14:textId="1562E9FA"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14.3. Dețineri sintetice de fonduri proprii de nivel 2 ale entităților din sectorul financiar în care banca nu deține o investiție semnificativă</w:t>
            </w:r>
          </w:p>
          <w:p w14:paraId="5D47E974" w14:textId="03622150"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sidR="00635999">
              <w:rPr>
                <w:rFonts w:ascii="Times New Roman" w:eastAsia="Times New Roman" w:hAnsi="Times New Roman" w:cs="Times New Roman"/>
                <w:color w:val="000000"/>
                <w:kern w:val="0"/>
                <w:lang w:eastAsia="ro-MD"/>
                <w14:ligatures w14:val="none"/>
              </w:rPr>
              <w:t xml:space="preserve">4, </w:t>
            </w:r>
            <w:r w:rsidRPr="008C359C">
              <w:rPr>
                <w:rFonts w:ascii="Times New Roman" w:eastAsia="Times New Roman" w:hAnsi="Times New Roman" w:cs="Times New Roman"/>
                <w:color w:val="000000"/>
                <w:kern w:val="0"/>
                <w:lang w:eastAsia="ro-MD"/>
                <w14:ligatures w14:val="none"/>
              </w:rPr>
              <w:t xml:space="preserve">103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10</w:t>
            </w:r>
            <w:r>
              <w:rPr>
                <w:rFonts w:ascii="Times New Roman" w:eastAsia="Times New Roman" w:hAnsi="Times New Roman" w:cs="Times New Roman"/>
                <w:color w:val="000000"/>
                <w:kern w:val="0"/>
                <w:lang w:eastAsia="ro-MD"/>
                <w14:ligatures w14:val="none"/>
              </w:rPr>
              <w:t>4</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tc>
        <w:tc>
          <w:tcPr>
            <w:tcW w:w="713" w:type="dxa"/>
          </w:tcPr>
          <w:p w14:paraId="6595C832"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9C2CD7A" w14:textId="3E2E24DE" w:rsidTr="00627FFD">
        <w:trPr>
          <w:tblCellSpacing w:w="0" w:type="dxa"/>
        </w:trPr>
        <w:tc>
          <w:tcPr>
            <w:tcW w:w="729" w:type="dxa"/>
            <w:gridSpan w:val="2"/>
            <w:hideMark/>
          </w:tcPr>
          <w:p w14:paraId="21E2DB63"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0432</w:t>
            </w:r>
          </w:p>
        </w:tc>
        <w:tc>
          <w:tcPr>
            <w:tcW w:w="8043" w:type="dxa"/>
            <w:hideMark/>
          </w:tcPr>
          <w:p w14:paraId="1707216F" w14:textId="67224C36"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14.3.1. Dețineri sintetice brute de fonduri proprii de nivel 2 ale entităților din sectorul financiar în care banca nu deține o investiție semnificativă</w:t>
            </w:r>
          </w:p>
          <w:p w14:paraId="079A6935" w14:textId="4F98D212"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sidR="00635999">
              <w:rPr>
                <w:rFonts w:ascii="Times New Roman" w:eastAsia="Times New Roman" w:hAnsi="Times New Roman" w:cs="Times New Roman"/>
                <w:color w:val="000000"/>
                <w:kern w:val="0"/>
                <w:lang w:eastAsia="ro-MD"/>
                <w14:ligatures w14:val="none"/>
              </w:rPr>
              <w:t xml:space="preserve">4, </w:t>
            </w:r>
            <w:r w:rsidRPr="008C359C">
              <w:rPr>
                <w:rFonts w:ascii="Times New Roman" w:eastAsia="Times New Roman" w:hAnsi="Times New Roman" w:cs="Times New Roman"/>
                <w:color w:val="000000"/>
                <w:kern w:val="0"/>
                <w:lang w:eastAsia="ro-MD"/>
                <w14:ligatures w14:val="none"/>
              </w:rPr>
              <w:t xml:space="preserve">103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10</w:t>
            </w:r>
            <w:r>
              <w:rPr>
                <w:rFonts w:ascii="Times New Roman" w:eastAsia="Times New Roman" w:hAnsi="Times New Roman" w:cs="Times New Roman"/>
                <w:color w:val="000000"/>
                <w:kern w:val="0"/>
                <w:lang w:eastAsia="ro-MD"/>
                <w14:ligatures w14:val="none"/>
              </w:rPr>
              <w:t>4</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tc>
        <w:tc>
          <w:tcPr>
            <w:tcW w:w="713" w:type="dxa"/>
          </w:tcPr>
          <w:p w14:paraId="0B493869"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6EE91C72" w14:textId="1305CCDE" w:rsidTr="00627FFD">
        <w:trPr>
          <w:tblCellSpacing w:w="0" w:type="dxa"/>
        </w:trPr>
        <w:tc>
          <w:tcPr>
            <w:tcW w:w="729" w:type="dxa"/>
            <w:gridSpan w:val="2"/>
            <w:hideMark/>
          </w:tcPr>
          <w:p w14:paraId="51519623"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lastRenderedPageBreak/>
              <w:t>0433</w:t>
            </w:r>
          </w:p>
        </w:tc>
        <w:tc>
          <w:tcPr>
            <w:tcW w:w="8043" w:type="dxa"/>
            <w:hideMark/>
          </w:tcPr>
          <w:p w14:paraId="41F9AE3B"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14.3.2. (-) Poziții scurte de semn opus permise în ceea ce privește deținerile sintetice brute incluse mai sus</w:t>
            </w:r>
          </w:p>
          <w:p w14:paraId="7F8C4F54" w14:textId="77777777" w:rsidR="00115C61" w:rsidRDefault="00815E38" w:rsidP="006F30A7">
            <w:pPr>
              <w:spacing w:after="0" w:line="240" w:lineRule="auto"/>
              <w:rPr>
                <w:rFonts w:ascii="Arial" w:hAnsi="Arial" w:cs="Arial"/>
              </w:rPr>
            </w:pPr>
            <w:r w:rsidRPr="00B471D3">
              <w:rPr>
                <w:rFonts w:ascii="Times New Roman" w:eastAsia="Times New Roman" w:hAnsi="Times New Roman" w:cs="Times New Roman"/>
                <w:color w:val="000000"/>
                <w:kern w:val="0"/>
                <w:lang w:eastAsia="ro-MD"/>
                <w14:ligatures w14:val="none"/>
              </w:rPr>
              <w:t>Punct</w:t>
            </w:r>
            <w:r w:rsidR="00387C07">
              <w:rPr>
                <w:rFonts w:ascii="Times New Roman" w:eastAsia="Times New Roman" w:hAnsi="Times New Roman" w:cs="Times New Roman"/>
                <w:color w:val="000000"/>
                <w:kern w:val="0"/>
                <w:lang w:eastAsia="ro-MD"/>
                <w14:ligatures w14:val="none"/>
              </w:rPr>
              <w:t>ele</w:t>
            </w:r>
            <w:r w:rsidRPr="00B471D3">
              <w:rPr>
                <w:rFonts w:ascii="Times New Roman" w:eastAsia="Times New Roman" w:hAnsi="Times New Roman" w:cs="Times New Roman"/>
                <w:color w:val="000000"/>
                <w:kern w:val="0"/>
                <w:lang w:eastAsia="ro-MD"/>
                <w14:ligatures w14:val="none"/>
              </w:rPr>
              <w:t xml:space="preserve"> </w:t>
            </w:r>
            <w:r w:rsidR="00635999">
              <w:rPr>
                <w:rFonts w:ascii="Times New Roman" w:eastAsia="Times New Roman" w:hAnsi="Times New Roman" w:cs="Times New Roman"/>
                <w:color w:val="000000"/>
                <w:kern w:val="0"/>
                <w:lang w:eastAsia="ro-MD"/>
                <w14:ligatures w14:val="none"/>
              </w:rPr>
              <w:t xml:space="preserve">4, </w:t>
            </w:r>
            <w:r w:rsidRPr="00B471D3">
              <w:rPr>
                <w:rFonts w:ascii="Times New Roman" w:eastAsia="Times New Roman" w:hAnsi="Times New Roman" w:cs="Times New Roman"/>
                <w:color w:val="000000"/>
                <w:kern w:val="0"/>
                <w:lang w:eastAsia="ro-MD"/>
                <w14:ligatures w14:val="none"/>
              </w:rPr>
              <w:t xml:space="preserve">104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p>
          <w:p w14:paraId="1FCF4DD1" w14:textId="5E18FC1A" w:rsidR="00815E38" w:rsidRPr="00260C32" w:rsidRDefault="00635999"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P</w:t>
            </w:r>
            <w:r w:rsidRPr="008C359C">
              <w:rPr>
                <w:rFonts w:ascii="Times New Roman" w:eastAsia="Times New Roman" w:hAnsi="Times New Roman" w:cs="Times New Roman"/>
                <w:color w:val="000000"/>
                <w:kern w:val="0"/>
                <w:lang w:eastAsia="ro-MD"/>
                <w14:ligatures w14:val="none"/>
              </w:rPr>
              <w:t xml:space="preserve">unctul </w:t>
            </w:r>
            <w:r>
              <w:rPr>
                <w:rFonts w:ascii="Times New Roman" w:eastAsia="Times New Roman" w:hAnsi="Times New Roman" w:cs="Times New Roman"/>
                <w:color w:val="000000"/>
                <w:kern w:val="0"/>
                <w:lang w:eastAsia="ro-MD"/>
                <w14:ligatures w14:val="none"/>
              </w:rPr>
              <w:t>104</w:t>
            </w:r>
            <w:r w:rsidRPr="008C359C">
              <w:rPr>
                <w:rFonts w:ascii="Times New Roman" w:eastAsia="Times New Roman" w:hAnsi="Times New Roman" w:cs="Times New Roman"/>
                <w:color w:val="000000"/>
                <w:kern w:val="0"/>
                <w:lang w:eastAsia="ro-MD"/>
                <w14:ligatures w14:val="none"/>
              </w:rPr>
              <w:t xml:space="preserve"> subpunctul 1) din </w:t>
            </w:r>
            <w:r>
              <w:rPr>
                <w:rFonts w:ascii="Times New Roman" w:eastAsia="Times New Roman" w:hAnsi="Times New Roman" w:cs="Times New Roman"/>
                <w:color w:val="000000"/>
                <w:kern w:val="0"/>
                <w:lang w:eastAsia="ro-MD"/>
                <w14:ligatures w14:val="none"/>
              </w:rPr>
              <w:t>Regulamentul nr.109/</w:t>
            </w:r>
            <w:r w:rsidRPr="00635999">
              <w:rPr>
                <w:rFonts w:ascii="Times New Roman" w:eastAsia="Times New Roman" w:hAnsi="Times New Roman" w:cs="Times New Roman"/>
                <w:color w:val="000000"/>
                <w:kern w:val="0"/>
                <w:lang w:eastAsia="ro-MD"/>
                <w14:ligatures w14:val="none"/>
              </w:rPr>
              <w:t>2018</w:t>
            </w:r>
            <w:r w:rsidR="00815E38" w:rsidRPr="00635999">
              <w:rPr>
                <w:rFonts w:ascii="Times New Roman" w:eastAsia="Times New Roman" w:hAnsi="Times New Roman" w:cs="Times New Roman"/>
                <w:color w:val="000000"/>
                <w:kern w:val="0"/>
                <w:lang w:eastAsia="ro-MD"/>
                <w14:ligatures w14:val="none"/>
              </w:rPr>
              <w:t>permite compensarea pozițiilor scurte în aceeași expunere-suport cu condiția ca data scadenței poziției scurte să fie aceeași cu data scadenței poziției lungi ori să survină după această dată sau scadența reziduală a poziției scurte să fie de cel puțin un an.</w:t>
            </w:r>
          </w:p>
        </w:tc>
        <w:tc>
          <w:tcPr>
            <w:tcW w:w="713" w:type="dxa"/>
          </w:tcPr>
          <w:p w14:paraId="60912761"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63821697" w14:textId="3BA0A010" w:rsidTr="00627FFD">
        <w:trPr>
          <w:tblCellSpacing w:w="0" w:type="dxa"/>
        </w:trPr>
        <w:tc>
          <w:tcPr>
            <w:tcW w:w="729" w:type="dxa"/>
            <w:gridSpan w:val="2"/>
            <w:hideMark/>
          </w:tcPr>
          <w:p w14:paraId="7FF5333A"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0440</w:t>
            </w:r>
          </w:p>
        </w:tc>
        <w:tc>
          <w:tcPr>
            <w:tcW w:w="8043" w:type="dxa"/>
            <w:hideMark/>
          </w:tcPr>
          <w:p w14:paraId="7CBB34F9" w14:textId="2A4F75A3"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15</w:t>
            </w:r>
            <w:r w:rsidR="000B3D14"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Dețineri de fonduri proprii de nivel 1 de bază ale entităților din sectorul financiar în care banca deține o investiție semnificativă, excluzând pozițiile scurte</w:t>
            </w:r>
          </w:p>
          <w:p w14:paraId="34EC2CDE" w14:textId="0F79DFC1"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Pr>
                <w:rFonts w:ascii="Times New Roman" w:eastAsia="Times New Roman" w:hAnsi="Times New Roman" w:cs="Times New Roman"/>
                <w:color w:val="000000"/>
                <w:kern w:val="0"/>
                <w:lang w:eastAsia="ro-MD"/>
                <w14:ligatures w14:val="none"/>
              </w:rPr>
              <w:t>54, 55</w:t>
            </w:r>
            <w:r w:rsidRPr="008C359C">
              <w:rPr>
                <w:rFonts w:ascii="Times New Roman" w:eastAsia="Times New Roman" w:hAnsi="Times New Roman" w:cs="Times New Roman"/>
                <w:color w:val="000000"/>
                <w:kern w:val="0"/>
                <w:lang w:eastAsia="ro-MD"/>
                <w14:ligatures w14:val="none"/>
              </w:rPr>
              <w:t xml:space="preserve">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62</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tc>
        <w:tc>
          <w:tcPr>
            <w:tcW w:w="713" w:type="dxa"/>
          </w:tcPr>
          <w:p w14:paraId="1C2947E7"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23A87A90" w14:textId="76B82455" w:rsidTr="00627FFD">
        <w:trPr>
          <w:tblCellSpacing w:w="0" w:type="dxa"/>
        </w:trPr>
        <w:tc>
          <w:tcPr>
            <w:tcW w:w="729" w:type="dxa"/>
            <w:gridSpan w:val="2"/>
            <w:hideMark/>
          </w:tcPr>
          <w:p w14:paraId="10A985CF"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0450</w:t>
            </w:r>
          </w:p>
        </w:tc>
        <w:tc>
          <w:tcPr>
            <w:tcW w:w="8043" w:type="dxa"/>
            <w:hideMark/>
          </w:tcPr>
          <w:p w14:paraId="527F1FB4" w14:textId="7D2497DB"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15.1. Dețineri directe de fonduri proprii de nivel 1 de bază ale entităților din sectorul financiar în care banca deține o investiție semnificativă</w:t>
            </w:r>
          </w:p>
          <w:p w14:paraId="71F01D7F" w14:textId="0379159C"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Pr>
                <w:rFonts w:ascii="Times New Roman" w:eastAsia="Times New Roman" w:hAnsi="Times New Roman" w:cs="Times New Roman"/>
                <w:color w:val="000000"/>
                <w:kern w:val="0"/>
                <w:lang w:eastAsia="ro-MD"/>
                <w14:ligatures w14:val="none"/>
              </w:rPr>
              <w:t>54, 55</w:t>
            </w:r>
            <w:r w:rsidRPr="008C359C">
              <w:rPr>
                <w:rFonts w:ascii="Times New Roman" w:eastAsia="Times New Roman" w:hAnsi="Times New Roman" w:cs="Times New Roman"/>
                <w:color w:val="000000"/>
                <w:kern w:val="0"/>
                <w:lang w:eastAsia="ro-MD"/>
                <w14:ligatures w14:val="none"/>
              </w:rPr>
              <w:t xml:space="preserve">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62</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tc>
        <w:tc>
          <w:tcPr>
            <w:tcW w:w="713" w:type="dxa"/>
          </w:tcPr>
          <w:p w14:paraId="1156D2A8"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1DBAC6C8" w14:textId="4ADC4196" w:rsidTr="00627FFD">
        <w:trPr>
          <w:tblCellSpacing w:w="0" w:type="dxa"/>
        </w:trPr>
        <w:tc>
          <w:tcPr>
            <w:tcW w:w="729" w:type="dxa"/>
            <w:gridSpan w:val="2"/>
            <w:hideMark/>
          </w:tcPr>
          <w:p w14:paraId="1172AFAC"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0460</w:t>
            </w:r>
          </w:p>
        </w:tc>
        <w:tc>
          <w:tcPr>
            <w:tcW w:w="8043" w:type="dxa"/>
            <w:hideMark/>
          </w:tcPr>
          <w:p w14:paraId="77CA064A" w14:textId="054D6593"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15.1.1. Dețineri directe brute de fonduri proprii de nivel 1 de bază ale entităților din sectorul financiar în care banca deține o investiție semnificativă</w:t>
            </w:r>
          </w:p>
          <w:p w14:paraId="0C1A34FD" w14:textId="77777777" w:rsidR="00115C61"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Pr>
                <w:rFonts w:ascii="Times New Roman" w:eastAsia="Times New Roman" w:hAnsi="Times New Roman" w:cs="Times New Roman"/>
                <w:color w:val="000000"/>
                <w:kern w:val="0"/>
                <w:lang w:eastAsia="ro-MD"/>
                <w14:ligatures w14:val="none"/>
              </w:rPr>
              <w:t>54, 55</w:t>
            </w:r>
            <w:r w:rsidRPr="008C359C">
              <w:rPr>
                <w:rFonts w:ascii="Times New Roman" w:eastAsia="Times New Roman" w:hAnsi="Times New Roman" w:cs="Times New Roman"/>
                <w:color w:val="000000"/>
                <w:kern w:val="0"/>
                <w:lang w:eastAsia="ro-MD"/>
                <w14:ligatures w14:val="none"/>
              </w:rPr>
              <w:t xml:space="preserve">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62</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sidR="00115C61">
              <w:rPr>
                <w:rFonts w:ascii="Times New Roman" w:eastAsia="Times New Roman" w:hAnsi="Times New Roman" w:cs="Times New Roman"/>
                <w:color w:val="000000"/>
                <w:kern w:val="0"/>
                <w:lang w:eastAsia="ro-MD"/>
                <w14:ligatures w14:val="none"/>
              </w:rPr>
              <w:t xml:space="preserve"> </w:t>
            </w:r>
          </w:p>
          <w:p w14:paraId="321987D4" w14:textId="5E749259"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directe de fonduri proprii de nivel 1 de bază ale entităților din sectorul financiar în care </w:t>
            </w:r>
            <w:r>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 excluzând:</w:t>
            </w:r>
          </w:p>
          <w:tbl>
            <w:tblPr>
              <w:tblW w:w="5000" w:type="pct"/>
              <w:tblCellSpacing w:w="0" w:type="dxa"/>
              <w:tblLayout w:type="fixed"/>
              <w:tblCellMar>
                <w:left w:w="0" w:type="dxa"/>
                <w:right w:w="0" w:type="dxa"/>
              </w:tblCellMar>
              <w:tblLook w:val="04A0" w:firstRow="1" w:lastRow="0" w:firstColumn="1" w:lastColumn="0" w:noHBand="0" w:noVBand="1"/>
            </w:tblPr>
            <w:tblGrid>
              <w:gridCol w:w="404"/>
              <w:gridCol w:w="7619"/>
            </w:tblGrid>
            <w:tr w:rsidR="00815E38" w:rsidRPr="00260C32" w14:paraId="41E1AA47" w14:textId="77777777" w:rsidTr="004041EC">
              <w:trPr>
                <w:tblCellSpacing w:w="0" w:type="dxa"/>
              </w:trPr>
              <w:tc>
                <w:tcPr>
                  <w:tcW w:w="397" w:type="dxa"/>
                  <w:hideMark/>
                </w:tcPr>
                <w:p w14:paraId="187CAA3B" w14:textId="77777777" w:rsidR="00815E38" w:rsidRPr="00260C32" w:rsidRDefault="00815E38"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(a)</w:t>
                  </w:r>
                </w:p>
              </w:tc>
              <w:tc>
                <w:tcPr>
                  <w:tcW w:w="7494" w:type="dxa"/>
                  <w:hideMark/>
                </w:tcPr>
                <w:p w14:paraId="019B6797" w14:textId="77777777" w:rsidR="00815E38" w:rsidRPr="00260C32" w:rsidRDefault="00815E38"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pozițiile aferente angajamentelor de preluare fermă deținute timp de cinci zile lucrătoare sau mai puțin;</w:t>
                  </w:r>
                </w:p>
              </w:tc>
            </w:tr>
          </w:tbl>
          <w:p w14:paraId="094E35E5" w14:textId="77777777" w:rsidR="00815E38" w:rsidRPr="00260C32" w:rsidRDefault="00815E38" w:rsidP="006F30A7">
            <w:pPr>
              <w:spacing w:after="0" w:line="240" w:lineRule="auto"/>
              <w:rPr>
                <w:rFonts w:ascii="Times New Roman" w:eastAsia="Times New Roman" w:hAnsi="Times New Roman" w:cs="Times New Roman"/>
                <w:vanish/>
                <w:color w:val="000000"/>
                <w:kern w:val="0"/>
                <w:lang w:eastAsia="ro-MD"/>
                <w14:ligatures w14:val="none"/>
              </w:rPr>
            </w:pPr>
          </w:p>
          <w:tbl>
            <w:tblPr>
              <w:tblW w:w="8047" w:type="dxa"/>
              <w:tblCellSpacing w:w="0" w:type="dxa"/>
              <w:tblLayout w:type="fixed"/>
              <w:tblCellMar>
                <w:left w:w="0" w:type="dxa"/>
                <w:right w:w="0" w:type="dxa"/>
              </w:tblCellMar>
              <w:tblLook w:val="04A0" w:firstRow="1" w:lastRow="0" w:firstColumn="1" w:lastColumn="0" w:noHBand="0" w:noVBand="1"/>
            </w:tblPr>
            <w:tblGrid>
              <w:gridCol w:w="405"/>
              <w:gridCol w:w="7642"/>
            </w:tblGrid>
            <w:tr w:rsidR="00815E38" w:rsidRPr="00260C32" w14:paraId="6C4598AC" w14:textId="77777777" w:rsidTr="00115C61">
              <w:trPr>
                <w:trHeight w:val="437"/>
                <w:tblCellSpacing w:w="0" w:type="dxa"/>
              </w:trPr>
              <w:tc>
                <w:tcPr>
                  <w:tcW w:w="405" w:type="dxa"/>
                  <w:hideMark/>
                </w:tcPr>
                <w:p w14:paraId="187657CD" w14:textId="77777777" w:rsidR="00815E38" w:rsidRPr="00260C32" w:rsidRDefault="00815E38"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(b)</w:t>
                  </w:r>
                </w:p>
              </w:tc>
              <w:tc>
                <w:tcPr>
                  <w:tcW w:w="7642" w:type="dxa"/>
                  <w:hideMark/>
                </w:tcPr>
                <w:p w14:paraId="0F132380" w14:textId="553F9916" w:rsidR="00815E38" w:rsidRPr="00260C32" w:rsidRDefault="00115C61"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 xml:space="preserve">deținerile care sunt tratate drept dețineri reciproce în </w:t>
                  </w:r>
                  <w:r w:rsidRPr="00387C07">
                    <w:rPr>
                      <w:rFonts w:ascii="Times New Roman" w:eastAsia="Times New Roman" w:hAnsi="Times New Roman" w:cs="Times New Roman"/>
                      <w:kern w:val="0"/>
                      <w:lang w:eastAsia="ro-MD"/>
                      <w14:ligatures w14:val="none"/>
                    </w:rPr>
                    <w:t>conformitate cu p</w:t>
                  </w:r>
                  <w:r w:rsidRPr="00387C07">
                    <w:rPr>
                      <w:rFonts w:ascii="Times New Roman" w:eastAsia="Times New Roman" w:hAnsi="Times New Roman" w:cs="Times New Roman"/>
                      <w:color w:val="000000"/>
                      <w:kern w:val="0"/>
                      <w:lang w:eastAsia="ro-MD"/>
                      <w14:ligatures w14:val="none"/>
                    </w:rPr>
                    <w:t>unctul 30 subpunctul 6) din Regulamentul nr.109/2018</w:t>
                  </w:r>
                  <w:r w:rsidRPr="00387C07">
                    <w:rPr>
                      <w:rFonts w:ascii="Times New Roman" w:eastAsia="Times New Roman" w:hAnsi="Times New Roman" w:cs="Times New Roman"/>
                      <w:kern w:val="0"/>
                      <w:lang w:eastAsia="ro-MD"/>
                      <w14:ligatures w14:val="none"/>
                    </w:rPr>
                    <w:t>.</w:t>
                  </w:r>
                </w:p>
              </w:tc>
            </w:tr>
          </w:tbl>
          <w:p w14:paraId="44FF0102" w14:textId="77777777" w:rsidR="00815E38" w:rsidRPr="00260C32" w:rsidRDefault="00815E38" w:rsidP="006F30A7">
            <w:pPr>
              <w:spacing w:after="0" w:line="240" w:lineRule="auto"/>
              <w:rPr>
                <w:rFonts w:ascii="Times New Roman" w:eastAsia="Times New Roman" w:hAnsi="Times New Roman" w:cs="Times New Roman"/>
                <w:vanish/>
                <w:color w:val="000000"/>
                <w:kern w:val="0"/>
                <w:lang w:eastAsia="ro-MD"/>
                <w14:ligatures w14:val="none"/>
              </w:rPr>
            </w:pPr>
          </w:p>
          <w:p w14:paraId="0F0DC13C"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p>
        </w:tc>
        <w:tc>
          <w:tcPr>
            <w:tcW w:w="713" w:type="dxa"/>
          </w:tcPr>
          <w:p w14:paraId="7ECCE710"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46A312A" w14:textId="15C94D45" w:rsidTr="00627FFD">
        <w:trPr>
          <w:tblCellSpacing w:w="0" w:type="dxa"/>
        </w:trPr>
        <w:tc>
          <w:tcPr>
            <w:tcW w:w="729" w:type="dxa"/>
            <w:gridSpan w:val="2"/>
            <w:hideMark/>
          </w:tcPr>
          <w:p w14:paraId="2168B209"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0470</w:t>
            </w:r>
          </w:p>
        </w:tc>
        <w:tc>
          <w:tcPr>
            <w:tcW w:w="8043" w:type="dxa"/>
            <w:hideMark/>
          </w:tcPr>
          <w:p w14:paraId="4882D2C5"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15.1.2. (-) Poziții scurte de semn opus permise în ceea ce privește deținerile directe brute incluse mai sus</w:t>
            </w:r>
          </w:p>
          <w:p w14:paraId="570855ED" w14:textId="77777777" w:rsidR="00115C61" w:rsidRDefault="00815E38" w:rsidP="006F30A7">
            <w:pPr>
              <w:spacing w:after="0" w:line="240" w:lineRule="auto"/>
              <w:rPr>
                <w:rFonts w:ascii="Arial" w:hAnsi="Arial" w:cs="Arial"/>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55</w:t>
            </w:r>
            <w:r w:rsidRPr="00B471D3">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p>
          <w:p w14:paraId="73C0BEF2" w14:textId="4C43906C"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55</w:t>
            </w:r>
            <w:r w:rsidRPr="00B471D3">
              <w:rPr>
                <w:rFonts w:ascii="Times New Roman" w:eastAsia="Times New Roman" w:hAnsi="Times New Roman" w:cs="Times New Roman"/>
                <w:color w:val="000000"/>
                <w:kern w:val="0"/>
                <w:lang w:eastAsia="ro-MD"/>
                <w14:ligatures w14:val="none"/>
              </w:rPr>
              <w:t xml:space="preserve"> subpunctul 1)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r w:rsidRPr="00260C32">
              <w:rPr>
                <w:rFonts w:ascii="Times New Roman" w:eastAsia="Times New Roman" w:hAnsi="Times New Roman" w:cs="Times New Roman"/>
                <w:color w:val="000000"/>
                <w:kern w:val="0"/>
                <w:lang w:eastAsia="ro-MD"/>
                <w14:ligatures w14:val="none"/>
              </w:rPr>
              <w:t>permite compensarea pozițiilor scurte în aceeași expunere-suport cu condiția ca data scadenței poziției scurte să fie aceeași cu data scadenței poziției lungi ori să survină după această dată sau scadența reziduală a poziției scurte să fie de cel puțin un an.</w:t>
            </w:r>
          </w:p>
        </w:tc>
        <w:tc>
          <w:tcPr>
            <w:tcW w:w="713" w:type="dxa"/>
          </w:tcPr>
          <w:p w14:paraId="66A61EAA"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90D5DCB" w14:textId="0DF34E5B" w:rsidTr="00627FFD">
        <w:trPr>
          <w:tblCellSpacing w:w="0" w:type="dxa"/>
        </w:trPr>
        <w:tc>
          <w:tcPr>
            <w:tcW w:w="729" w:type="dxa"/>
            <w:gridSpan w:val="2"/>
            <w:hideMark/>
          </w:tcPr>
          <w:p w14:paraId="38ECFDC9"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0480</w:t>
            </w:r>
          </w:p>
        </w:tc>
        <w:tc>
          <w:tcPr>
            <w:tcW w:w="8043" w:type="dxa"/>
            <w:hideMark/>
          </w:tcPr>
          <w:p w14:paraId="76D0E693" w14:textId="70AFBF9F"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15.2. Dețineri indirecte de fonduri proprii de nivel 1 de bază ale entităților din sectorul financiar în care banca deține o investiție semnificativă</w:t>
            </w:r>
          </w:p>
          <w:p w14:paraId="472A9E72" w14:textId="5395DAC5"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sidR="00387C07">
              <w:rPr>
                <w:rFonts w:ascii="Times New Roman" w:eastAsia="Times New Roman" w:hAnsi="Times New Roman" w:cs="Times New Roman"/>
                <w:color w:val="000000"/>
                <w:kern w:val="0"/>
                <w:lang w:eastAsia="ro-MD"/>
                <w14:ligatures w14:val="none"/>
              </w:rPr>
              <w:t xml:space="preserve">4, </w:t>
            </w:r>
            <w:r>
              <w:rPr>
                <w:rFonts w:ascii="Times New Roman" w:eastAsia="Times New Roman" w:hAnsi="Times New Roman" w:cs="Times New Roman"/>
                <w:color w:val="000000"/>
                <w:kern w:val="0"/>
                <w:lang w:eastAsia="ro-MD"/>
                <w14:ligatures w14:val="none"/>
              </w:rPr>
              <w:t xml:space="preserve">54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55</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tc>
        <w:tc>
          <w:tcPr>
            <w:tcW w:w="713" w:type="dxa"/>
          </w:tcPr>
          <w:p w14:paraId="4A11B06E"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096A9D27" w14:textId="23AA4EB8" w:rsidTr="00627FFD">
        <w:trPr>
          <w:tblCellSpacing w:w="0" w:type="dxa"/>
        </w:trPr>
        <w:tc>
          <w:tcPr>
            <w:tcW w:w="729" w:type="dxa"/>
            <w:gridSpan w:val="2"/>
            <w:hideMark/>
          </w:tcPr>
          <w:p w14:paraId="20D4218B"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0490</w:t>
            </w:r>
          </w:p>
        </w:tc>
        <w:tc>
          <w:tcPr>
            <w:tcW w:w="8043" w:type="dxa"/>
            <w:hideMark/>
          </w:tcPr>
          <w:p w14:paraId="0517A173" w14:textId="47AED2AA"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15.2.1. Dețineri indirecte brute de fonduri proprii de nivel 1 de bază ale entităților din sectorul financiar în care banca deține o investiție semnificativă</w:t>
            </w:r>
          </w:p>
          <w:p w14:paraId="40752CBB" w14:textId="77777777" w:rsidR="00115C61"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sidR="00387C07">
              <w:rPr>
                <w:rFonts w:ascii="Times New Roman" w:eastAsia="Times New Roman" w:hAnsi="Times New Roman" w:cs="Times New Roman"/>
                <w:color w:val="000000"/>
                <w:kern w:val="0"/>
                <w:lang w:eastAsia="ro-MD"/>
                <w14:ligatures w14:val="none"/>
              </w:rPr>
              <w:t xml:space="preserve">4, </w:t>
            </w:r>
            <w:r>
              <w:rPr>
                <w:rFonts w:ascii="Times New Roman" w:eastAsia="Times New Roman" w:hAnsi="Times New Roman" w:cs="Times New Roman"/>
                <w:color w:val="000000"/>
                <w:kern w:val="0"/>
                <w:lang w:eastAsia="ro-MD"/>
                <w14:ligatures w14:val="none"/>
              </w:rPr>
              <w:t xml:space="preserve">54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55</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p w14:paraId="75C3F7D4" w14:textId="5EFD8F74"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care trebuie raportat este cel al deținerilor indirecte din portofoliul de tranzacționare în instrumentele de capital ale entităților din sectorul financiar care iau forma unor dețineri de titluri de valoare bazate pe indici. Acesta se obține prin calcularea expunerii-suport față de instrumentele de capital ale entităților din sectorul financiar incluse în indici.</w:t>
            </w:r>
          </w:p>
          <w:p w14:paraId="7A076996" w14:textId="49EC48E8" w:rsidR="00815E38" w:rsidRPr="00B46497" w:rsidRDefault="00815E38" w:rsidP="006F30A7">
            <w:pPr>
              <w:spacing w:after="0" w:line="240" w:lineRule="auto"/>
              <w:rPr>
                <w:rFonts w:ascii="Arial" w:eastAsia="Times New Roman" w:hAnsi="Arial" w:cs="Arial"/>
                <w:kern w:val="0"/>
                <w:sz w:val="24"/>
                <w:szCs w:val="24"/>
                <w:lang w:eastAsia="ro-MD"/>
                <w14:ligatures w14:val="none"/>
              </w:rPr>
            </w:pPr>
            <w:proofErr w:type="spellStart"/>
            <w:r w:rsidRPr="00B46497">
              <w:rPr>
                <w:rFonts w:ascii="Times New Roman" w:eastAsia="Times New Roman" w:hAnsi="Times New Roman" w:cs="Times New Roman"/>
                <w:color w:val="000000"/>
                <w:kern w:val="0"/>
                <w:lang w:eastAsia="ro-MD"/>
                <w14:ligatures w14:val="none"/>
              </w:rPr>
              <w:t>Deţinerile</w:t>
            </w:r>
            <w:proofErr w:type="spellEnd"/>
            <w:r w:rsidRPr="00B46497">
              <w:rPr>
                <w:rFonts w:ascii="Times New Roman" w:eastAsia="Times New Roman" w:hAnsi="Times New Roman" w:cs="Times New Roman"/>
                <w:color w:val="000000"/>
                <w:kern w:val="0"/>
                <w:lang w:eastAsia="ro-MD"/>
                <w14:ligatures w14:val="none"/>
              </w:rPr>
              <w:t xml:space="preserve"> care sunt tratate drept </w:t>
            </w:r>
            <w:proofErr w:type="spellStart"/>
            <w:r w:rsidRPr="00B46497">
              <w:rPr>
                <w:rFonts w:ascii="Times New Roman" w:eastAsia="Times New Roman" w:hAnsi="Times New Roman" w:cs="Times New Roman"/>
                <w:color w:val="000000"/>
                <w:kern w:val="0"/>
                <w:lang w:eastAsia="ro-MD"/>
                <w14:ligatures w14:val="none"/>
              </w:rPr>
              <w:t>deţineri</w:t>
            </w:r>
            <w:proofErr w:type="spellEnd"/>
            <w:r w:rsidRPr="00B46497">
              <w:rPr>
                <w:rFonts w:ascii="Times New Roman" w:eastAsia="Times New Roman" w:hAnsi="Times New Roman" w:cs="Times New Roman"/>
                <w:color w:val="000000"/>
                <w:kern w:val="0"/>
                <w:lang w:eastAsia="ro-MD"/>
                <w14:ligatures w14:val="none"/>
              </w:rPr>
              <w:t xml:space="preserve"> reciproce în conformitate cu punctul 30 subpunctul 6) din </w:t>
            </w:r>
            <w:r>
              <w:rPr>
                <w:rFonts w:ascii="Times New Roman" w:eastAsia="Times New Roman" w:hAnsi="Times New Roman" w:cs="Times New Roman"/>
                <w:color w:val="000000"/>
                <w:kern w:val="0"/>
                <w:lang w:eastAsia="ro-MD"/>
                <w14:ligatures w14:val="none"/>
              </w:rPr>
              <w:t>Regulamentul nr.109/2018</w:t>
            </w:r>
            <w:r w:rsidRPr="00B46497">
              <w:rPr>
                <w:rFonts w:ascii="Times New Roman" w:eastAsia="Times New Roman" w:hAnsi="Times New Roman" w:cs="Times New Roman"/>
                <w:color w:val="000000"/>
                <w:kern w:val="0"/>
                <w:lang w:eastAsia="ro-MD"/>
                <w14:ligatures w14:val="none"/>
              </w:rPr>
              <w:t xml:space="preserve"> nu sunt incluse.</w:t>
            </w:r>
          </w:p>
        </w:tc>
        <w:tc>
          <w:tcPr>
            <w:tcW w:w="713" w:type="dxa"/>
          </w:tcPr>
          <w:p w14:paraId="579AABC1"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08635938" w14:textId="63BBECD1" w:rsidTr="00627FFD">
        <w:trPr>
          <w:tblCellSpacing w:w="0" w:type="dxa"/>
        </w:trPr>
        <w:tc>
          <w:tcPr>
            <w:tcW w:w="729" w:type="dxa"/>
            <w:gridSpan w:val="2"/>
            <w:hideMark/>
          </w:tcPr>
          <w:p w14:paraId="5A1B85CF"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0500</w:t>
            </w:r>
          </w:p>
        </w:tc>
        <w:tc>
          <w:tcPr>
            <w:tcW w:w="8043" w:type="dxa"/>
            <w:hideMark/>
          </w:tcPr>
          <w:p w14:paraId="6CE92938" w14:textId="77777777" w:rsidR="00815E38" w:rsidRPr="003E721D"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3E721D">
              <w:rPr>
                <w:rFonts w:ascii="Times New Roman" w:eastAsia="Times New Roman" w:hAnsi="Times New Roman" w:cs="Times New Roman"/>
                <w:b/>
                <w:bCs/>
                <w:color w:val="000000"/>
                <w:kern w:val="0"/>
                <w:lang w:eastAsia="ro-MD"/>
                <w14:ligatures w14:val="none"/>
              </w:rPr>
              <w:t>15.2.2. (-) Poziții scurte de semn opus permise în ceea ce privește deținerile indirecte brute incluse mai sus</w:t>
            </w:r>
          </w:p>
          <w:p w14:paraId="4510C476" w14:textId="77777777" w:rsidR="00115C61" w:rsidRDefault="00815E38" w:rsidP="006F30A7">
            <w:pPr>
              <w:spacing w:after="0" w:line="240" w:lineRule="auto"/>
              <w:rPr>
                <w:rFonts w:ascii="Arial" w:hAnsi="Arial" w:cs="Arial"/>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55</w:t>
            </w:r>
            <w:r w:rsidRPr="00B471D3">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p>
          <w:p w14:paraId="57D102C0" w14:textId="63FB0EAC"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55</w:t>
            </w:r>
            <w:r w:rsidRPr="00B471D3">
              <w:rPr>
                <w:rFonts w:ascii="Times New Roman" w:eastAsia="Times New Roman" w:hAnsi="Times New Roman" w:cs="Times New Roman"/>
                <w:color w:val="000000"/>
                <w:kern w:val="0"/>
                <w:lang w:eastAsia="ro-MD"/>
                <w14:ligatures w14:val="none"/>
              </w:rPr>
              <w:t xml:space="preserve"> subpunctul 1)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r w:rsidRPr="00260C32">
              <w:rPr>
                <w:rFonts w:ascii="Times New Roman" w:eastAsia="Times New Roman" w:hAnsi="Times New Roman" w:cs="Times New Roman"/>
                <w:color w:val="000000"/>
                <w:kern w:val="0"/>
                <w:lang w:eastAsia="ro-MD"/>
                <w14:ligatures w14:val="none"/>
              </w:rPr>
              <w:t>permite compensarea pozițiilor scurte în aceeași expunere-suport cu condiția ca data scadenței poziției scurte să fie aceeași cu data scadenței poziției lungi ori să survină după această dată sau scadența reziduală a poziției scurte să fie de cel puțin un an.</w:t>
            </w:r>
          </w:p>
        </w:tc>
        <w:tc>
          <w:tcPr>
            <w:tcW w:w="713" w:type="dxa"/>
          </w:tcPr>
          <w:p w14:paraId="3B7908BC"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77B7FF21" w14:textId="2D50E2F9" w:rsidTr="00627FFD">
        <w:trPr>
          <w:tblCellSpacing w:w="0" w:type="dxa"/>
        </w:trPr>
        <w:tc>
          <w:tcPr>
            <w:tcW w:w="729" w:type="dxa"/>
            <w:gridSpan w:val="2"/>
            <w:hideMark/>
          </w:tcPr>
          <w:p w14:paraId="6662682C"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0501</w:t>
            </w:r>
          </w:p>
        </w:tc>
        <w:tc>
          <w:tcPr>
            <w:tcW w:w="8043" w:type="dxa"/>
            <w:hideMark/>
          </w:tcPr>
          <w:p w14:paraId="68434DFA" w14:textId="5CAA5C04"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15.3. Dețineri sintetice de fonduri proprii de nivel 1 de bază ale entităților din sectorul financiar în care banca deține o investiție semnificativă</w:t>
            </w:r>
          </w:p>
          <w:p w14:paraId="79136288" w14:textId="3E6951E1"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B46497">
              <w:rPr>
                <w:rFonts w:ascii="Times New Roman" w:eastAsia="Times New Roman" w:hAnsi="Times New Roman" w:cs="Times New Roman"/>
                <w:color w:val="000000"/>
                <w:kern w:val="0"/>
                <w:lang w:eastAsia="ro-MD"/>
                <w14:ligatures w14:val="none"/>
              </w:rPr>
              <w:t>Punctele</w:t>
            </w:r>
            <w:r w:rsidR="00387C07">
              <w:rPr>
                <w:rFonts w:ascii="Times New Roman" w:eastAsia="Times New Roman" w:hAnsi="Times New Roman" w:cs="Times New Roman"/>
                <w:color w:val="000000"/>
                <w:kern w:val="0"/>
                <w:lang w:eastAsia="ro-MD"/>
                <w14:ligatures w14:val="none"/>
              </w:rPr>
              <w:t xml:space="preserve"> 4,</w:t>
            </w:r>
            <w:r w:rsidRPr="00B46497">
              <w:rPr>
                <w:rFonts w:ascii="Times New Roman" w:eastAsia="Times New Roman" w:hAnsi="Times New Roman" w:cs="Times New Roman"/>
                <w:color w:val="000000"/>
                <w:kern w:val="0"/>
                <w:lang w:eastAsia="ro-MD"/>
                <w14:ligatures w14:val="none"/>
              </w:rPr>
              <w:t xml:space="preserve"> 54 </w:t>
            </w:r>
            <w:proofErr w:type="spellStart"/>
            <w:r w:rsidRPr="00B46497">
              <w:rPr>
                <w:rFonts w:ascii="Times New Roman" w:eastAsia="Times New Roman" w:hAnsi="Times New Roman" w:cs="Times New Roman"/>
                <w:color w:val="000000"/>
                <w:kern w:val="0"/>
                <w:lang w:eastAsia="ro-MD"/>
                <w14:ligatures w14:val="none"/>
              </w:rPr>
              <w:t>şi</w:t>
            </w:r>
            <w:proofErr w:type="spellEnd"/>
            <w:r w:rsidRPr="00B46497">
              <w:rPr>
                <w:rFonts w:ascii="Times New Roman" w:eastAsia="Times New Roman" w:hAnsi="Times New Roman" w:cs="Times New Roman"/>
                <w:color w:val="000000"/>
                <w:kern w:val="0"/>
                <w:lang w:eastAsia="ro-MD"/>
                <w14:ligatures w14:val="none"/>
              </w:rPr>
              <w:t xml:space="preserve"> 55 din </w:t>
            </w:r>
            <w:r>
              <w:rPr>
                <w:rFonts w:ascii="Times New Roman" w:eastAsia="Times New Roman" w:hAnsi="Times New Roman" w:cs="Times New Roman"/>
                <w:color w:val="000000"/>
                <w:kern w:val="0"/>
                <w:lang w:eastAsia="ro-MD"/>
                <w14:ligatures w14:val="none"/>
              </w:rPr>
              <w:t>Regulamentul nr.109/2018</w:t>
            </w:r>
          </w:p>
        </w:tc>
        <w:tc>
          <w:tcPr>
            <w:tcW w:w="713" w:type="dxa"/>
          </w:tcPr>
          <w:p w14:paraId="132039A9"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71AB11B2" w14:textId="5650BBA5" w:rsidTr="00627FFD">
        <w:trPr>
          <w:tblCellSpacing w:w="0" w:type="dxa"/>
        </w:trPr>
        <w:tc>
          <w:tcPr>
            <w:tcW w:w="729" w:type="dxa"/>
            <w:gridSpan w:val="2"/>
            <w:hideMark/>
          </w:tcPr>
          <w:p w14:paraId="68C37B6A"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0502</w:t>
            </w:r>
          </w:p>
        </w:tc>
        <w:tc>
          <w:tcPr>
            <w:tcW w:w="8043" w:type="dxa"/>
            <w:hideMark/>
          </w:tcPr>
          <w:p w14:paraId="2E627709" w14:textId="6B3FA923"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15.3.1. Dețineri sintetice brute de fonduri proprii de nivel 1 de bază ale entităților din sectorul financiar în care banca deține o investiție semnificativă</w:t>
            </w:r>
          </w:p>
          <w:p w14:paraId="127D72D5" w14:textId="18698315"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sidR="00387C07">
              <w:rPr>
                <w:rFonts w:ascii="Times New Roman" w:eastAsia="Times New Roman" w:hAnsi="Times New Roman" w:cs="Times New Roman"/>
                <w:color w:val="000000"/>
                <w:kern w:val="0"/>
                <w:lang w:eastAsia="ro-MD"/>
                <w14:ligatures w14:val="none"/>
              </w:rPr>
              <w:t xml:space="preserve">4, </w:t>
            </w:r>
            <w:r w:rsidRPr="008C359C">
              <w:rPr>
                <w:rFonts w:ascii="Times New Roman" w:eastAsia="Times New Roman" w:hAnsi="Times New Roman" w:cs="Times New Roman"/>
                <w:color w:val="000000"/>
                <w:kern w:val="0"/>
                <w:lang w:eastAsia="ro-MD"/>
                <w14:ligatures w14:val="none"/>
              </w:rPr>
              <w:t xml:space="preserve">54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55 din </w:t>
            </w:r>
            <w:r>
              <w:rPr>
                <w:rFonts w:ascii="Times New Roman" w:eastAsia="Times New Roman" w:hAnsi="Times New Roman" w:cs="Times New Roman"/>
                <w:color w:val="000000"/>
                <w:kern w:val="0"/>
                <w:lang w:eastAsia="ro-MD"/>
                <w14:ligatures w14:val="none"/>
              </w:rPr>
              <w:t>Regulamentul nr.109/2018</w:t>
            </w:r>
          </w:p>
        </w:tc>
        <w:tc>
          <w:tcPr>
            <w:tcW w:w="713" w:type="dxa"/>
          </w:tcPr>
          <w:p w14:paraId="723B8C12"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3230D2B6" w14:textId="7179744A" w:rsidTr="00627FFD">
        <w:trPr>
          <w:tblCellSpacing w:w="0" w:type="dxa"/>
        </w:trPr>
        <w:tc>
          <w:tcPr>
            <w:tcW w:w="729" w:type="dxa"/>
            <w:gridSpan w:val="2"/>
            <w:hideMark/>
          </w:tcPr>
          <w:p w14:paraId="4AD2BBF8"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lastRenderedPageBreak/>
              <w:t>0503</w:t>
            </w:r>
          </w:p>
        </w:tc>
        <w:tc>
          <w:tcPr>
            <w:tcW w:w="8043" w:type="dxa"/>
            <w:hideMark/>
          </w:tcPr>
          <w:p w14:paraId="1181FEED" w14:textId="77777777"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15.3.2. (-) Poziții scurte de semn opus permise în ceea ce privește deținerile sintetice brute incluse mai sus</w:t>
            </w:r>
          </w:p>
          <w:p w14:paraId="14CA1050" w14:textId="77777777" w:rsidR="00115C61" w:rsidRDefault="00815E38" w:rsidP="006F30A7">
            <w:pPr>
              <w:spacing w:after="0" w:line="240" w:lineRule="auto"/>
              <w:rPr>
                <w:rFonts w:ascii="Arial" w:hAnsi="Arial" w:cs="Arial"/>
              </w:rPr>
            </w:pPr>
            <w:r w:rsidRPr="00B471D3">
              <w:rPr>
                <w:rFonts w:ascii="Times New Roman" w:eastAsia="Times New Roman" w:hAnsi="Times New Roman" w:cs="Times New Roman"/>
                <w:color w:val="000000"/>
                <w:kern w:val="0"/>
                <w:lang w:eastAsia="ro-MD"/>
                <w14:ligatures w14:val="none"/>
              </w:rPr>
              <w:t>Punct</w:t>
            </w:r>
            <w:r w:rsidR="00387C07">
              <w:rPr>
                <w:rFonts w:ascii="Times New Roman" w:eastAsia="Times New Roman" w:hAnsi="Times New Roman" w:cs="Times New Roman"/>
                <w:color w:val="000000"/>
                <w:kern w:val="0"/>
                <w:lang w:eastAsia="ro-MD"/>
                <w14:ligatures w14:val="none"/>
              </w:rPr>
              <w:t>ele</w:t>
            </w:r>
            <w:r w:rsidRPr="00B471D3">
              <w:rPr>
                <w:rFonts w:ascii="Times New Roman" w:eastAsia="Times New Roman" w:hAnsi="Times New Roman" w:cs="Times New Roman"/>
                <w:color w:val="000000"/>
                <w:kern w:val="0"/>
                <w:lang w:eastAsia="ro-MD"/>
                <w14:ligatures w14:val="none"/>
              </w:rPr>
              <w:t xml:space="preserve"> </w:t>
            </w:r>
            <w:r w:rsidR="00387C07">
              <w:rPr>
                <w:rFonts w:ascii="Times New Roman" w:eastAsia="Times New Roman" w:hAnsi="Times New Roman" w:cs="Times New Roman"/>
                <w:color w:val="000000"/>
                <w:kern w:val="0"/>
                <w:lang w:eastAsia="ro-MD"/>
                <w14:ligatures w14:val="none"/>
              </w:rPr>
              <w:t xml:space="preserve">4 și </w:t>
            </w:r>
            <w:r>
              <w:rPr>
                <w:rFonts w:ascii="Times New Roman" w:eastAsia="Times New Roman" w:hAnsi="Times New Roman" w:cs="Times New Roman"/>
                <w:color w:val="000000"/>
                <w:kern w:val="0"/>
                <w:lang w:eastAsia="ro-MD"/>
                <w14:ligatures w14:val="none"/>
              </w:rPr>
              <w:t>55</w:t>
            </w:r>
            <w:r w:rsidRPr="00B471D3">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p>
          <w:p w14:paraId="5C89EC08" w14:textId="526200EB" w:rsidR="00815E38" w:rsidRPr="00260C32" w:rsidRDefault="00387C07"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P</w:t>
            </w:r>
            <w:r w:rsidRPr="008C359C">
              <w:rPr>
                <w:rFonts w:ascii="Times New Roman" w:eastAsia="Times New Roman" w:hAnsi="Times New Roman" w:cs="Times New Roman"/>
                <w:color w:val="000000"/>
                <w:kern w:val="0"/>
                <w:lang w:eastAsia="ro-MD"/>
                <w14:ligatures w14:val="none"/>
              </w:rPr>
              <w:t xml:space="preserve">unctul </w:t>
            </w:r>
            <w:r>
              <w:rPr>
                <w:rFonts w:ascii="Times New Roman" w:eastAsia="Times New Roman" w:hAnsi="Times New Roman" w:cs="Times New Roman"/>
                <w:color w:val="000000"/>
                <w:kern w:val="0"/>
                <w:lang w:eastAsia="ro-MD"/>
                <w14:ligatures w14:val="none"/>
              </w:rPr>
              <w:t>55</w:t>
            </w:r>
            <w:r w:rsidRPr="008C359C">
              <w:rPr>
                <w:rFonts w:ascii="Times New Roman" w:eastAsia="Times New Roman" w:hAnsi="Times New Roman" w:cs="Times New Roman"/>
                <w:color w:val="000000"/>
                <w:kern w:val="0"/>
                <w:lang w:eastAsia="ro-MD"/>
                <w14:ligatures w14:val="none"/>
              </w:rPr>
              <w:t xml:space="preserve"> subpunctul 1) din </w:t>
            </w:r>
            <w:r>
              <w:rPr>
                <w:rFonts w:ascii="Times New Roman" w:eastAsia="Times New Roman" w:hAnsi="Times New Roman" w:cs="Times New Roman"/>
                <w:color w:val="000000"/>
                <w:kern w:val="0"/>
                <w:lang w:eastAsia="ro-MD"/>
                <w14:ligatures w14:val="none"/>
              </w:rPr>
              <w:t>Regulamentul nr.109/</w:t>
            </w:r>
            <w:r w:rsidRPr="00387C07">
              <w:rPr>
                <w:rFonts w:ascii="Times New Roman" w:eastAsia="Times New Roman" w:hAnsi="Times New Roman" w:cs="Times New Roman"/>
                <w:color w:val="000000"/>
                <w:kern w:val="0"/>
                <w:lang w:eastAsia="ro-MD"/>
                <w14:ligatures w14:val="none"/>
              </w:rPr>
              <w:t>2018</w:t>
            </w:r>
            <w:r w:rsidR="00815E38" w:rsidRPr="00387C07">
              <w:rPr>
                <w:rFonts w:ascii="Times New Roman" w:eastAsia="Times New Roman" w:hAnsi="Times New Roman" w:cs="Times New Roman"/>
                <w:color w:val="000000"/>
                <w:kern w:val="0"/>
                <w:lang w:eastAsia="ro-MD"/>
                <w14:ligatures w14:val="none"/>
              </w:rPr>
              <w:t xml:space="preserve"> permite compensarea pozițiilor scurte în aceeași expunere-suport cu condiția ca data scadenței poziției scurte să fie aceeași cu data scadenței poziției lungi ori să survină după această dată sau scadența reziduală a poziției scurte să fie de cel puțin un an.</w:t>
            </w:r>
          </w:p>
        </w:tc>
        <w:tc>
          <w:tcPr>
            <w:tcW w:w="713" w:type="dxa"/>
          </w:tcPr>
          <w:p w14:paraId="5B6F2E7F"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26B4A771" w14:textId="5357A277" w:rsidTr="00627FFD">
        <w:trPr>
          <w:tblCellSpacing w:w="0" w:type="dxa"/>
        </w:trPr>
        <w:tc>
          <w:tcPr>
            <w:tcW w:w="729" w:type="dxa"/>
            <w:gridSpan w:val="2"/>
            <w:hideMark/>
          </w:tcPr>
          <w:p w14:paraId="161067DC"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0504</w:t>
            </w:r>
          </w:p>
        </w:tc>
        <w:tc>
          <w:tcPr>
            <w:tcW w:w="8043" w:type="dxa"/>
            <w:hideMark/>
          </w:tcPr>
          <w:p w14:paraId="0E6D314D" w14:textId="06A06246" w:rsidR="00815E38" w:rsidRPr="006F30A7" w:rsidRDefault="004041EC"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 xml:space="preserve">15A  </w:t>
            </w:r>
            <w:r w:rsidR="00815E38" w:rsidRPr="006F30A7">
              <w:rPr>
                <w:rFonts w:ascii="Times New Roman" w:eastAsia="Times New Roman" w:hAnsi="Times New Roman" w:cs="Times New Roman"/>
                <w:b/>
                <w:bCs/>
                <w:color w:val="000000"/>
                <w:kern w:val="0"/>
                <w:lang w:eastAsia="ro-MD"/>
                <w14:ligatures w14:val="none"/>
              </w:rPr>
              <w:t>Investiții în fondurile proprii de nivel 1 de bază ale entităților din sectorul financiar în care banca deține o investiție semnificativă - supuse unei ponderi de risc de 250 %</w:t>
            </w:r>
          </w:p>
          <w:p w14:paraId="462A6D1F" w14:textId="77777777" w:rsidR="00115C61" w:rsidRPr="006F30A7" w:rsidRDefault="009C21B1"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Punctul 67 din Regulamentul nr.109/2018</w:t>
            </w:r>
          </w:p>
          <w:p w14:paraId="0BDCEFB6" w14:textId="5D34131B" w:rsidR="00815E38" w:rsidRPr="00096747"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096747">
              <w:rPr>
                <w:rFonts w:ascii="Times New Roman" w:eastAsia="Times New Roman" w:hAnsi="Times New Roman" w:cs="Times New Roman"/>
                <w:color w:val="000000"/>
                <w:kern w:val="0"/>
                <w:lang w:eastAsia="ro-MD"/>
                <w14:ligatures w14:val="none"/>
              </w:rPr>
              <w:t xml:space="preserve">Cuantumul investițiilor semnificative în fondurile proprii de nivel 1 de bază ale entităților din sectorul financiar care nu sunt deduse în temeiul </w:t>
            </w:r>
            <w:r w:rsidR="00096747" w:rsidRPr="00096747">
              <w:rPr>
                <w:rFonts w:ascii="Times New Roman" w:eastAsia="Times New Roman" w:hAnsi="Times New Roman" w:cs="Times New Roman"/>
                <w:color w:val="000000"/>
                <w:kern w:val="0"/>
                <w:lang w:eastAsia="ro-MD"/>
                <w14:ligatures w14:val="none"/>
              </w:rPr>
              <w:t>punctului 63 din Regulamentul nr.109/2018</w:t>
            </w:r>
            <w:r w:rsidRPr="00096747">
              <w:rPr>
                <w:rFonts w:ascii="Times New Roman" w:eastAsia="Times New Roman" w:hAnsi="Times New Roman" w:cs="Times New Roman"/>
                <w:color w:val="000000"/>
                <w:kern w:val="0"/>
                <w:lang w:eastAsia="ro-MD"/>
                <w14:ligatures w14:val="none"/>
              </w:rPr>
              <w:t xml:space="preserve">, dar sunt supuse unei ponderi de risc de 250 % în conformitate cu </w:t>
            </w:r>
            <w:r w:rsidR="00096747" w:rsidRPr="00096747">
              <w:rPr>
                <w:rFonts w:ascii="Times New Roman" w:eastAsia="Times New Roman" w:hAnsi="Times New Roman" w:cs="Times New Roman"/>
                <w:color w:val="000000"/>
                <w:kern w:val="0"/>
                <w:lang w:eastAsia="ro-MD"/>
                <w14:ligatures w14:val="none"/>
              </w:rPr>
              <w:t>punctul 67 din Regulamentul nr.109/2018</w:t>
            </w:r>
            <w:r w:rsidRPr="00096747">
              <w:rPr>
                <w:rFonts w:ascii="Times New Roman" w:eastAsia="Times New Roman" w:hAnsi="Times New Roman" w:cs="Times New Roman"/>
                <w:color w:val="000000"/>
                <w:kern w:val="0"/>
                <w:lang w:eastAsia="ro-MD"/>
                <w14:ligatures w14:val="none"/>
              </w:rPr>
              <w:t>.</w:t>
            </w:r>
          </w:p>
          <w:p w14:paraId="35E4D463"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096747">
              <w:rPr>
                <w:rFonts w:ascii="Times New Roman" w:eastAsia="Times New Roman" w:hAnsi="Times New Roman" w:cs="Times New Roman"/>
                <w:color w:val="000000"/>
                <w:kern w:val="0"/>
                <w:lang w:eastAsia="ro-MD"/>
                <w14:ligatures w14:val="none"/>
              </w:rPr>
              <w:t>Cuantumul raportat este cuantumul investițiilor semnificative înainte de aplicarea ponderii de risc.</w:t>
            </w:r>
          </w:p>
        </w:tc>
        <w:tc>
          <w:tcPr>
            <w:tcW w:w="713" w:type="dxa"/>
          </w:tcPr>
          <w:p w14:paraId="64009162"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59482BFE" w14:textId="04D65ADC" w:rsidTr="00627FFD">
        <w:trPr>
          <w:tblCellSpacing w:w="0" w:type="dxa"/>
        </w:trPr>
        <w:tc>
          <w:tcPr>
            <w:tcW w:w="729" w:type="dxa"/>
            <w:gridSpan w:val="2"/>
            <w:hideMark/>
          </w:tcPr>
          <w:p w14:paraId="7B886CD8"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0510</w:t>
            </w:r>
          </w:p>
        </w:tc>
        <w:tc>
          <w:tcPr>
            <w:tcW w:w="8043" w:type="dxa"/>
            <w:hideMark/>
          </w:tcPr>
          <w:p w14:paraId="3BC48FA8" w14:textId="13F9392C"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16</w:t>
            </w:r>
            <w:r w:rsidR="00380518"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Dețineri de fonduri proprii de nivel 1 suplimentar ale entităților din sectorul financiar în care banca deține o investiție semnificativă, excluzând pozițiile scurte</w:t>
            </w:r>
          </w:p>
          <w:p w14:paraId="7EC7FD2A" w14:textId="7EB8119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Pr>
                <w:rFonts w:ascii="Times New Roman" w:eastAsia="Times New Roman" w:hAnsi="Times New Roman" w:cs="Times New Roman"/>
                <w:color w:val="000000"/>
                <w:kern w:val="0"/>
                <w:lang w:eastAsia="ro-MD"/>
                <w14:ligatures w14:val="none"/>
              </w:rPr>
              <w:t>89</w:t>
            </w:r>
            <w:r w:rsidRPr="008C359C">
              <w:rPr>
                <w:rFonts w:ascii="Times New Roman" w:eastAsia="Times New Roman" w:hAnsi="Times New Roman" w:cs="Times New Roman"/>
                <w:color w:val="000000"/>
                <w:kern w:val="0"/>
                <w:lang w:eastAsia="ro-MD"/>
                <w14:ligatures w14:val="none"/>
              </w:rPr>
              <w:t xml:space="preserve">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90</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tc>
        <w:tc>
          <w:tcPr>
            <w:tcW w:w="713" w:type="dxa"/>
          </w:tcPr>
          <w:p w14:paraId="2E685FDF"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04BC2CC0" w14:textId="7532BF75" w:rsidTr="00627FFD">
        <w:trPr>
          <w:tblCellSpacing w:w="0" w:type="dxa"/>
        </w:trPr>
        <w:tc>
          <w:tcPr>
            <w:tcW w:w="729" w:type="dxa"/>
            <w:gridSpan w:val="2"/>
            <w:hideMark/>
          </w:tcPr>
          <w:p w14:paraId="40CC934E"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0520</w:t>
            </w:r>
          </w:p>
        </w:tc>
        <w:tc>
          <w:tcPr>
            <w:tcW w:w="8043" w:type="dxa"/>
            <w:hideMark/>
          </w:tcPr>
          <w:p w14:paraId="033BDD9F" w14:textId="27CBE67B"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16.1. Dețineri directe de fonduri proprii de nivel 1 suplimentar ale entităților din sectorul financiar în care banca deține o investiție semnificativă</w:t>
            </w:r>
          </w:p>
          <w:p w14:paraId="2AB1DEC6" w14:textId="29DE73DB"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Pr>
                <w:rFonts w:ascii="Times New Roman" w:eastAsia="Times New Roman" w:hAnsi="Times New Roman" w:cs="Times New Roman"/>
                <w:color w:val="000000"/>
                <w:kern w:val="0"/>
                <w:lang w:eastAsia="ro-MD"/>
                <w14:ligatures w14:val="none"/>
              </w:rPr>
              <w:t>89</w:t>
            </w:r>
            <w:r w:rsidRPr="008C359C">
              <w:rPr>
                <w:rFonts w:ascii="Times New Roman" w:eastAsia="Times New Roman" w:hAnsi="Times New Roman" w:cs="Times New Roman"/>
                <w:color w:val="000000"/>
                <w:kern w:val="0"/>
                <w:lang w:eastAsia="ro-MD"/>
                <w14:ligatures w14:val="none"/>
              </w:rPr>
              <w:t xml:space="preserve">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90</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tc>
        <w:tc>
          <w:tcPr>
            <w:tcW w:w="713" w:type="dxa"/>
          </w:tcPr>
          <w:p w14:paraId="36E7D65A"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EB1874C" w14:textId="7717156E" w:rsidTr="00627FFD">
        <w:trPr>
          <w:tblCellSpacing w:w="0" w:type="dxa"/>
        </w:trPr>
        <w:tc>
          <w:tcPr>
            <w:tcW w:w="729" w:type="dxa"/>
            <w:gridSpan w:val="2"/>
            <w:hideMark/>
          </w:tcPr>
          <w:p w14:paraId="420D6B8F"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0530</w:t>
            </w:r>
          </w:p>
        </w:tc>
        <w:tc>
          <w:tcPr>
            <w:tcW w:w="8043" w:type="dxa"/>
            <w:hideMark/>
          </w:tcPr>
          <w:p w14:paraId="17E4346E" w14:textId="44AC8686"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16.1.1. Dețineri directe brute de fonduri proprii de nivel 1 suplimentar ale entităților din sectorul financiar în care banca deține o investiție semnificativă</w:t>
            </w:r>
          </w:p>
          <w:p w14:paraId="11DF75AB" w14:textId="77777777" w:rsidR="00FA00FF" w:rsidRDefault="00815E38" w:rsidP="006F30A7">
            <w:pPr>
              <w:spacing w:after="0" w:line="240" w:lineRule="auto"/>
              <w:rPr>
                <w:rFonts w:ascii="Arial" w:hAnsi="Arial" w:cs="Arial"/>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89</w:t>
            </w:r>
            <w:r w:rsidRPr="00B471D3">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p>
          <w:p w14:paraId="515F6B93" w14:textId="10D33686"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directe de fonduri proprii de nivel 1 suplimentar ale entităților din sectorul financiar în care </w:t>
            </w:r>
            <w:r>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 excluzând:</w:t>
            </w:r>
          </w:p>
          <w:tbl>
            <w:tblPr>
              <w:tblW w:w="5000" w:type="pct"/>
              <w:tblCellSpacing w:w="0" w:type="dxa"/>
              <w:tblLayout w:type="fixed"/>
              <w:tblCellMar>
                <w:left w:w="0" w:type="dxa"/>
                <w:right w:w="0" w:type="dxa"/>
              </w:tblCellMar>
              <w:tblLook w:val="04A0" w:firstRow="1" w:lastRow="0" w:firstColumn="1" w:lastColumn="0" w:noHBand="0" w:noVBand="1"/>
            </w:tblPr>
            <w:tblGrid>
              <w:gridCol w:w="404"/>
              <w:gridCol w:w="7619"/>
            </w:tblGrid>
            <w:tr w:rsidR="00815E38" w:rsidRPr="00260C32" w14:paraId="280FC6FD" w14:textId="77777777" w:rsidTr="004041EC">
              <w:trPr>
                <w:tblCellSpacing w:w="0" w:type="dxa"/>
              </w:trPr>
              <w:tc>
                <w:tcPr>
                  <w:tcW w:w="397" w:type="dxa"/>
                  <w:hideMark/>
                </w:tcPr>
                <w:p w14:paraId="54AED273" w14:textId="77777777" w:rsidR="00815E38" w:rsidRPr="00260C32" w:rsidRDefault="00815E38"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(a)</w:t>
                  </w:r>
                </w:p>
              </w:tc>
              <w:tc>
                <w:tcPr>
                  <w:tcW w:w="7494" w:type="dxa"/>
                  <w:hideMark/>
                </w:tcPr>
                <w:p w14:paraId="51CC5CC5" w14:textId="2D6BA970" w:rsidR="00815E38" w:rsidRPr="00260C32" w:rsidRDefault="00815E38"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 xml:space="preserve">pozițiile aferente angajamentelor de preluare fermă deținute timp de cinci zile lucrătoare sau mai puțin </w:t>
                  </w:r>
                  <w:r w:rsidR="00380518">
                    <w:rPr>
                      <w:rFonts w:ascii="Times New Roman" w:eastAsia="Times New Roman" w:hAnsi="Times New Roman" w:cs="Times New Roman"/>
                      <w:kern w:val="0"/>
                      <w:lang w:eastAsia="ro-MD"/>
                      <w14:ligatures w14:val="none"/>
                    </w:rPr>
                    <w:t>(p</w:t>
                  </w:r>
                  <w:r w:rsidR="00380518" w:rsidRPr="008C359C">
                    <w:rPr>
                      <w:rFonts w:ascii="Times New Roman" w:eastAsia="Times New Roman" w:hAnsi="Times New Roman" w:cs="Times New Roman"/>
                      <w:color w:val="000000"/>
                      <w:kern w:val="0"/>
                      <w:lang w:eastAsia="ro-MD"/>
                      <w14:ligatures w14:val="none"/>
                    </w:rPr>
                    <w:t xml:space="preserve">unctul </w:t>
                  </w:r>
                  <w:r w:rsidR="00380518">
                    <w:rPr>
                      <w:rFonts w:ascii="Times New Roman" w:eastAsia="Times New Roman" w:hAnsi="Times New Roman" w:cs="Times New Roman"/>
                      <w:color w:val="000000"/>
                      <w:kern w:val="0"/>
                      <w:lang w:eastAsia="ro-MD"/>
                      <w14:ligatures w14:val="none"/>
                    </w:rPr>
                    <w:t>87</w:t>
                  </w:r>
                  <w:r w:rsidR="00380518" w:rsidRPr="008C359C">
                    <w:rPr>
                      <w:rFonts w:ascii="Times New Roman" w:eastAsia="Times New Roman" w:hAnsi="Times New Roman" w:cs="Times New Roman"/>
                      <w:color w:val="000000"/>
                      <w:kern w:val="0"/>
                      <w:lang w:eastAsia="ro-MD"/>
                      <w14:ligatures w14:val="none"/>
                    </w:rPr>
                    <w:t xml:space="preserve"> subpunctul </w:t>
                  </w:r>
                  <w:r w:rsidR="00380518">
                    <w:rPr>
                      <w:rFonts w:ascii="Times New Roman" w:eastAsia="Times New Roman" w:hAnsi="Times New Roman" w:cs="Times New Roman"/>
                      <w:color w:val="000000"/>
                      <w:kern w:val="0"/>
                      <w:lang w:eastAsia="ro-MD"/>
                      <w14:ligatures w14:val="none"/>
                    </w:rPr>
                    <w:t>4</w:t>
                  </w:r>
                  <w:r w:rsidR="00380518" w:rsidRPr="008C359C">
                    <w:rPr>
                      <w:rFonts w:ascii="Times New Roman" w:eastAsia="Times New Roman" w:hAnsi="Times New Roman" w:cs="Times New Roman"/>
                      <w:color w:val="000000"/>
                      <w:kern w:val="0"/>
                      <w:lang w:eastAsia="ro-MD"/>
                      <w14:ligatures w14:val="none"/>
                    </w:rPr>
                    <w:t xml:space="preserve">) din </w:t>
                  </w:r>
                  <w:r w:rsidR="00380518">
                    <w:rPr>
                      <w:rFonts w:ascii="Times New Roman" w:eastAsia="Times New Roman" w:hAnsi="Times New Roman" w:cs="Times New Roman"/>
                      <w:color w:val="000000"/>
                      <w:kern w:val="0"/>
                      <w:lang w:eastAsia="ro-MD"/>
                      <w14:ligatures w14:val="none"/>
                    </w:rPr>
                    <w:t>Regulamentul nr.109/2018)</w:t>
                  </w:r>
                  <w:r w:rsidRPr="00260C32">
                    <w:rPr>
                      <w:rFonts w:ascii="Times New Roman" w:eastAsia="Times New Roman" w:hAnsi="Times New Roman" w:cs="Times New Roman"/>
                      <w:kern w:val="0"/>
                      <w:lang w:eastAsia="ro-MD"/>
                      <w14:ligatures w14:val="none"/>
                    </w:rPr>
                    <w:t>; și</w:t>
                  </w:r>
                </w:p>
              </w:tc>
            </w:tr>
          </w:tbl>
          <w:p w14:paraId="00518E16" w14:textId="77777777" w:rsidR="00815E38" w:rsidRPr="00260C32" w:rsidRDefault="00815E38" w:rsidP="006F30A7">
            <w:pPr>
              <w:spacing w:after="0" w:line="240" w:lineRule="auto"/>
              <w:rPr>
                <w:rFonts w:ascii="Times New Roman" w:eastAsia="Times New Roman" w:hAnsi="Times New Roman" w:cs="Times New Roman"/>
                <w:vanish/>
                <w:color w:val="000000"/>
                <w:kern w:val="0"/>
                <w:lang w:eastAsia="ro-MD"/>
                <w14:ligatures w14:val="none"/>
              </w:rPr>
            </w:pPr>
          </w:p>
          <w:tbl>
            <w:tblPr>
              <w:tblW w:w="5000" w:type="pct"/>
              <w:tblCellSpacing w:w="0" w:type="dxa"/>
              <w:tblLayout w:type="fixed"/>
              <w:tblCellMar>
                <w:left w:w="0" w:type="dxa"/>
                <w:right w:w="0" w:type="dxa"/>
              </w:tblCellMar>
              <w:tblLook w:val="04A0" w:firstRow="1" w:lastRow="0" w:firstColumn="1" w:lastColumn="0" w:noHBand="0" w:noVBand="1"/>
            </w:tblPr>
            <w:tblGrid>
              <w:gridCol w:w="404"/>
              <w:gridCol w:w="7619"/>
            </w:tblGrid>
            <w:tr w:rsidR="00815E38" w:rsidRPr="00260C32" w14:paraId="09FEA239" w14:textId="77777777" w:rsidTr="004041EC">
              <w:trPr>
                <w:tblCellSpacing w:w="0" w:type="dxa"/>
              </w:trPr>
              <w:tc>
                <w:tcPr>
                  <w:tcW w:w="397" w:type="dxa"/>
                  <w:hideMark/>
                </w:tcPr>
                <w:p w14:paraId="53C4A1FB" w14:textId="77777777" w:rsidR="00815E38" w:rsidRPr="00260C32" w:rsidRDefault="00815E38"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(b)</w:t>
                  </w:r>
                </w:p>
              </w:tc>
              <w:tc>
                <w:tcPr>
                  <w:tcW w:w="7494" w:type="dxa"/>
                  <w:hideMark/>
                </w:tcPr>
                <w:p w14:paraId="3986F8AC" w14:textId="53682235" w:rsidR="00815E38" w:rsidRPr="00260C32" w:rsidRDefault="00815E38" w:rsidP="006F30A7">
                  <w:pPr>
                    <w:spacing w:after="0" w:line="240" w:lineRule="auto"/>
                    <w:rPr>
                      <w:rFonts w:ascii="Times New Roman" w:eastAsia="Times New Roman" w:hAnsi="Times New Roman" w:cs="Times New Roman"/>
                      <w:kern w:val="0"/>
                      <w:lang w:eastAsia="ro-MD"/>
                      <w14:ligatures w14:val="none"/>
                    </w:rPr>
                  </w:pPr>
                  <w:r w:rsidRPr="00260C32">
                    <w:rPr>
                      <w:rFonts w:ascii="Times New Roman" w:eastAsia="Times New Roman" w:hAnsi="Times New Roman" w:cs="Times New Roman"/>
                      <w:kern w:val="0"/>
                      <w:lang w:eastAsia="ro-MD"/>
                      <w14:ligatures w14:val="none"/>
                    </w:rPr>
                    <w:t xml:space="preserve">deținerile care sunt tratate drept dețineri reciproce în conformitate cu </w:t>
                  </w:r>
                  <w:r w:rsidR="00380518">
                    <w:rPr>
                      <w:rFonts w:ascii="Times New Roman" w:eastAsia="Times New Roman" w:hAnsi="Times New Roman" w:cs="Times New Roman"/>
                      <w:kern w:val="0"/>
                      <w:lang w:eastAsia="ro-MD"/>
                      <w14:ligatures w14:val="none"/>
                    </w:rPr>
                    <w:t>p</w:t>
                  </w:r>
                  <w:r w:rsidR="00380518" w:rsidRPr="008C359C">
                    <w:rPr>
                      <w:rFonts w:ascii="Times New Roman" w:eastAsia="Times New Roman" w:hAnsi="Times New Roman" w:cs="Times New Roman"/>
                      <w:color w:val="000000"/>
                      <w:kern w:val="0"/>
                      <w:lang w:eastAsia="ro-MD"/>
                      <w14:ligatures w14:val="none"/>
                    </w:rPr>
                    <w:t xml:space="preserve">unctul </w:t>
                  </w:r>
                  <w:r w:rsidR="00380518">
                    <w:rPr>
                      <w:rFonts w:ascii="Times New Roman" w:eastAsia="Times New Roman" w:hAnsi="Times New Roman" w:cs="Times New Roman"/>
                      <w:color w:val="000000"/>
                      <w:kern w:val="0"/>
                      <w:lang w:eastAsia="ro-MD"/>
                      <w14:ligatures w14:val="none"/>
                    </w:rPr>
                    <w:t>87</w:t>
                  </w:r>
                  <w:r w:rsidR="00380518" w:rsidRPr="008C359C">
                    <w:rPr>
                      <w:rFonts w:ascii="Times New Roman" w:eastAsia="Times New Roman" w:hAnsi="Times New Roman" w:cs="Times New Roman"/>
                      <w:color w:val="000000"/>
                      <w:kern w:val="0"/>
                      <w:lang w:eastAsia="ro-MD"/>
                      <w14:ligatures w14:val="none"/>
                    </w:rPr>
                    <w:t xml:space="preserve"> subpunctul </w:t>
                  </w:r>
                  <w:r w:rsidR="00380518">
                    <w:rPr>
                      <w:rFonts w:ascii="Times New Roman" w:eastAsia="Times New Roman" w:hAnsi="Times New Roman" w:cs="Times New Roman"/>
                      <w:color w:val="000000"/>
                      <w:kern w:val="0"/>
                      <w:lang w:eastAsia="ro-MD"/>
                      <w14:ligatures w14:val="none"/>
                    </w:rPr>
                    <w:t>2</w:t>
                  </w:r>
                  <w:r w:rsidR="00380518" w:rsidRPr="008C359C">
                    <w:rPr>
                      <w:rFonts w:ascii="Times New Roman" w:eastAsia="Times New Roman" w:hAnsi="Times New Roman" w:cs="Times New Roman"/>
                      <w:color w:val="000000"/>
                      <w:kern w:val="0"/>
                      <w:lang w:eastAsia="ro-MD"/>
                      <w14:ligatures w14:val="none"/>
                    </w:rPr>
                    <w:t xml:space="preserve">) din </w:t>
                  </w:r>
                  <w:r w:rsidR="00380518">
                    <w:rPr>
                      <w:rFonts w:ascii="Times New Roman" w:eastAsia="Times New Roman" w:hAnsi="Times New Roman" w:cs="Times New Roman"/>
                      <w:color w:val="000000"/>
                      <w:kern w:val="0"/>
                      <w:lang w:eastAsia="ro-MD"/>
                      <w14:ligatures w14:val="none"/>
                    </w:rPr>
                    <w:t>Regulamentul nr.109/2018</w:t>
                  </w:r>
                  <w:r w:rsidRPr="00260C32">
                    <w:rPr>
                      <w:rFonts w:ascii="Times New Roman" w:eastAsia="Times New Roman" w:hAnsi="Times New Roman" w:cs="Times New Roman"/>
                      <w:kern w:val="0"/>
                      <w:lang w:eastAsia="ro-MD"/>
                      <w14:ligatures w14:val="none"/>
                    </w:rPr>
                    <w:t>.</w:t>
                  </w:r>
                </w:p>
              </w:tc>
            </w:tr>
          </w:tbl>
          <w:p w14:paraId="08A21FFB"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p>
        </w:tc>
        <w:tc>
          <w:tcPr>
            <w:tcW w:w="713" w:type="dxa"/>
          </w:tcPr>
          <w:p w14:paraId="4B9E1BE4"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3C26A4E6" w14:textId="0BA0C848" w:rsidTr="00627FFD">
        <w:trPr>
          <w:tblCellSpacing w:w="0" w:type="dxa"/>
        </w:trPr>
        <w:tc>
          <w:tcPr>
            <w:tcW w:w="729" w:type="dxa"/>
            <w:gridSpan w:val="2"/>
            <w:hideMark/>
          </w:tcPr>
          <w:p w14:paraId="0BA04169"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0540</w:t>
            </w:r>
          </w:p>
        </w:tc>
        <w:tc>
          <w:tcPr>
            <w:tcW w:w="8043" w:type="dxa"/>
            <w:hideMark/>
          </w:tcPr>
          <w:p w14:paraId="1DFA019C" w14:textId="77777777"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16.1.2. (-) Poziții scurte de semn opus permise în ceea ce privește deținerile directe brute incluse mai sus</w:t>
            </w:r>
          </w:p>
          <w:p w14:paraId="352AC80D" w14:textId="77777777" w:rsidR="00115C61" w:rsidRDefault="00815E38" w:rsidP="006F30A7">
            <w:pPr>
              <w:spacing w:after="0" w:line="240" w:lineRule="auto"/>
              <w:rPr>
                <w:rFonts w:ascii="Arial" w:hAnsi="Arial" w:cs="Arial"/>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90</w:t>
            </w:r>
            <w:r w:rsidRPr="00B471D3">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p>
          <w:p w14:paraId="2DAC0ACA" w14:textId="00AE2E1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90</w:t>
            </w:r>
            <w:r w:rsidRPr="00B471D3">
              <w:rPr>
                <w:rFonts w:ascii="Times New Roman" w:eastAsia="Times New Roman" w:hAnsi="Times New Roman" w:cs="Times New Roman"/>
                <w:color w:val="000000"/>
                <w:kern w:val="0"/>
                <w:lang w:eastAsia="ro-MD"/>
                <w14:ligatures w14:val="none"/>
              </w:rPr>
              <w:t xml:space="preserve"> subpunctul 1)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r w:rsidRPr="00260C32">
              <w:rPr>
                <w:rFonts w:ascii="Times New Roman" w:eastAsia="Times New Roman" w:hAnsi="Times New Roman" w:cs="Times New Roman"/>
                <w:color w:val="000000"/>
                <w:kern w:val="0"/>
                <w:lang w:eastAsia="ro-MD"/>
                <w14:ligatures w14:val="none"/>
              </w:rPr>
              <w:t>permite compensarea pozițiilor scurte în aceeași expunere-suport cu condiția ca data scadenței poziției scurte să fie aceeași cu data scadenței poziției lungi ori să survină după această dată sau scadența reziduală a poziției scurte să fie de cel puțin un an.</w:t>
            </w:r>
          </w:p>
        </w:tc>
        <w:tc>
          <w:tcPr>
            <w:tcW w:w="713" w:type="dxa"/>
          </w:tcPr>
          <w:p w14:paraId="32302C74"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25D7FBC1" w14:textId="7D261DC0" w:rsidTr="00627FFD">
        <w:trPr>
          <w:tblCellSpacing w:w="0" w:type="dxa"/>
        </w:trPr>
        <w:tc>
          <w:tcPr>
            <w:tcW w:w="729" w:type="dxa"/>
            <w:gridSpan w:val="2"/>
            <w:hideMark/>
          </w:tcPr>
          <w:p w14:paraId="3190EA44"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0550</w:t>
            </w:r>
          </w:p>
        </w:tc>
        <w:tc>
          <w:tcPr>
            <w:tcW w:w="8043" w:type="dxa"/>
            <w:hideMark/>
          </w:tcPr>
          <w:p w14:paraId="1F77FCF6" w14:textId="3788E1AA"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16.2. Dețineri indirecte de fonduri proprii de nivel 1 suplimentar ale entităților din sectorul financiar în care banca deține o investiție semnificativă</w:t>
            </w:r>
          </w:p>
          <w:p w14:paraId="59301D11" w14:textId="613609E8"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sidR="00A944D4">
              <w:rPr>
                <w:rFonts w:ascii="Times New Roman" w:eastAsia="Times New Roman" w:hAnsi="Times New Roman" w:cs="Times New Roman"/>
                <w:color w:val="000000"/>
                <w:kern w:val="0"/>
                <w:lang w:eastAsia="ro-MD"/>
                <w14:ligatures w14:val="none"/>
              </w:rPr>
              <w:t xml:space="preserve">4, </w:t>
            </w:r>
            <w:r>
              <w:rPr>
                <w:rFonts w:ascii="Times New Roman" w:eastAsia="Times New Roman" w:hAnsi="Times New Roman" w:cs="Times New Roman"/>
                <w:color w:val="000000"/>
                <w:kern w:val="0"/>
                <w:lang w:eastAsia="ro-MD"/>
                <w14:ligatures w14:val="none"/>
              </w:rPr>
              <w:t>89</w:t>
            </w:r>
            <w:r w:rsidRPr="008C359C">
              <w:rPr>
                <w:rFonts w:ascii="Times New Roman" w:eastAsia="Times New Roman" w:hAnsi="Times New Roman" w:cs="Times New Roman"/>
                <w:color w:val="000000"/>
                <w:kern w:val="0"/>
                <w:lang w:eastAsia="ro-MD"/>
                <w14:ligatures w14:val="none"/>
              </w:rPr>
              <w:t xml:space="preserve">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90</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tc>
        <w:tc>
          <w:tcPr>
            <w:tcW w:w="713" w:type="dxa"/>
          </w:tcPr>
          <w:p w14:paraId="3A50571F"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68F839E4" w14:textId="372B0A38" w:rsidTr="00627FFD">
        <w:trPr>
          <w:tblCellSpacing w:w="0" w:type="dxa"/>
        </w:trPr>
        <w:tc>
          <w:tcPr>
            <w:tcW w:w="729" w:type="dxa"/>
            <w:gridSpan w:val="2"/>
            <w:hideMark/>
          </w:tcPr>
          <w:p w14:paraId="69E1E823"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0560</w:t>
            </w:r>
          </w:p>
        </w:tc>
        <w:tc>
          <w:tcPr>
            <w:tcW w:w="8043" w:type="dxa"/>
            <w:hideMark/>
          </w:tcPr>
          <w:p w14:paraId="1A937C6E" w14:textId="3CD321DF"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16.2.1. Dețineri indirecte brute de fonduri proprii de nivel 1 suplimentar ale entităților din sectorul financiar în care banca deține o investiție semnificativă</w:t>
            </w:r>
          </w:p>
          <w:p w14:paraId="101811B2" w14:textId="194E27A1"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sidR="00A944D4">
              <w:rPr>
                <w:rFonts w:ascii="Times New Roman" w:eastAsia="Times New Roman" w:hAnsi="Times New Roman" w:cs="Times New Roman"/>
                <w:color w:val="000000"/>
                <w:kern w:val="0"/>
                <w:lang w:eastAsia="ro-MD"/>
                <w14:ligatures w14:val="none"/>
              </w:rPr>
              <w:t xml:space="preserve">4, </w:t>
            </w:r>
            <w:r>
              <w:rPr>
                <w:rFonts w:ascii="Times New Roman" w:eastAsia="Times New Roman" w:hAnsi="Times New Roman" w:cs="Times New Roman"/>
                <w:color w:val="000000"/>
                <w:kern w:val="0"/>
                <w:lang w:eastAsia="ro-MD"/>
                <w14:ligatures w14:val="none"/>
              </w:rPr>
              <w:t>89</w:t>
            </w:r>
            <w:r w:rsidRPr="008C359C">
              <w:rPr>
                <w:rFonts w:ascii="Times New Roman" w:eastAsia="Times New Roman" w:hAnsi="Times New Roman" w:cs="Times New Roman"/>
                <w:color w:val="000000"/>
                <w:kern w:val="0"/>
                <w:lang w:eastAsia="ro-MD"/>
                <w14:ligatures w14:val="none"/>
              </w:rPr>
              <w:t xml:space="preserve">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90</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sidRPr="00260C32">
              <w:rPr>
                <w:rFonts w:ascii="Times New Roman" w:eastAsia="Times New Roman" w:hAnsi="Times New Roman" w:cs="Times New Roman"/>
                <w:color w:val="000000"/>
                <w:kern w:val="0"/>
                <w:lang w:eastAsia="ro-MD"/>
                <w14:ligatures w14:val="none"/>
              </w:rPr>
              <w:t>Cuantumul care trebuie raportat este cel al deținerilor indirecte din portofoliul de tranzacționare în instrumentele de capital ale entităților din sectorul financiar care iau forma unor dețineri de titluri de valoare bazate pe indici. Acesta se obține prin calcularea expunerii-suport față de instrumentele de capital ale entităților din sectorul financiar incluse în indici.</w:t>
            </w:r>
          </w:p>
          <w:p w14:paraId="066B99CE" w14:textId="76DF986D"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proofErr w:type="spellStart"/>
            <w:r w:rsidRPr="00B46497">
              <w:rPr>
                <w:rFonts w:ascii="Times New Roman" w:eastAsia="Times New Roman" w:hAnsi="Times New Roman" w:cs="Times New Roman"/>
                <w:color w:val="000000"/>
                <w:kern w:val="0"/>
                <w:lang w:eastAsia="ro-MD"/>
                <w14:ligatures w14:val="none"/>
              </w:rPr>
              <w:t>Deţinerile</w:t>
            </w:r>
            <w:proofErr w:type="spellEnd"/>
            <w:r w:rsidRPr="00B46497">
              <w:rPr>
                <w:rFonts w:ascii="Times New Roman" w:eastAsia="Times New Roman" w:hAnsi="Times New Roman" w:cs="Times New Roman"/>
                <w:color w:val="000000"/>
                <w:kern w:val="0"/>
                <w:lang w:eastAsia="ro-MD"/>
                <w14:ligatures w14:val="none"/>
              </w:rPr>
              <w:t xml:space="preserve"> care sunt tratate drept </w:t>
            </w:r>
            <w:proofErr w:type="spellStart"/>
            <w:r w:rsidRPr="00B46497">
              <w:rPr>
                <w:rFonts w:ascii="Times New Roman" w:eastAsia="Times New Roman" w:hAnsi="Times New Roman" w:cs="Times New Roman"/>
                <w:color w:val="000000"/>
                <w:kern w:val="0"/>
                <w:lang w:eastAsia="ro-MD"/>
                <w14:ligatures w14:val="none"/>
              </w:rPr>
              <w:t>deţineri</w:t>
            </w:r>
            <w:proofErr w:type="spellEnd"/>
            <w:r w:rsidRPr="00B46497">
              <w:rPr>
                <w:rFonts w:ascii="Times New Roman" w:eastAsia="Times New Roman" w:hAnsi="Times New Roman" w:cs="Times New Roman"/>
                <w:color w:val="000000"/>
                <w:kern w:val="0"/>
                <w:lang w:eastAsia="ro-MD"/>
                <w14:ligatures w14:val="none"/>
              </w:rPr>
              <w:t xml:space="preserve"> reciproce în conformitate cu punctul 87 subpunctul 2) din </w:t>
            </w:r>
            <w:r>
              <w:rPr>
                <w:rFonts w:ascii="Times New Roman" w:eastAsia="Times New Roman" w:hAnsi="Times New Roman" w:cs="Times New Roman"/>
                <w:color w:val="000000"/>
                <w:kern w:val="0"/>
                <w:lang w:eastAsia="ro-MD"/>
                <w14:ligatures w14:val="none"/>
              </w:rPr>
              <w:t>Regulamentul nr.109/2018</w:t>
            </w:r>
            <w:r w:rsidRPr="00B46497">
              <w:rPr>
                <w:rFonts w:ascii="Times New Roman" w:eastAsia="Times New Roman" w:hAnsi="Times New Roman" w:cs="Times New Roman"/>
                <w:color w:val="000000"/>
                <w:kern w:val="0"/>
                <w:lang w:eastAsia="ro-MD"/>
                <w14:ligatures w14:val="none"/>
              </w:rPr>
              <w:t xml:space="preserve"> nu sunt incluse.</w:t>
            </w:r>
          </w:p>
        </w:tc>
        <w:tc>
          <w:tcPr>
            <w:tcW w:w="713" w:type="dxa"/>
          </w:tcPr>
          <w:p w14:paraId="0933C48A"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7367EADD" w14:textId="22078C78" w:rsidTr="00627FFD">
        <w:trPr>
          <w:tblCellSpacing w:w="0" w:type="dxa"/>
        </w:trPr>
        <w:tc>
          <w:tcPr>
            <w:tcW w:w="729" w:type="dxa"/>
            <w:gridSpan w:val="2"/>
            <w:hideMark/>
          </w:tcPr>
          <w:p w14:paraId="15D1D9AA"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0570</w:t>
            </w:r>
          </w:p>
        </w:tc>
        <w:tc>
          <w:tcPr>
            <w:tcW w:w="8043" w:type="dxa"/>
            <w:hideMark/>
          </w:tcPr>
          <w:p w14:paraId="2E980F92" w14:textId="77777777"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16.2.2. (-) Poziții scurte de semn opus permise în ceea ce privește deținerile indirecte brute incluse mai sus</w:t>
            </w:r>
          </w:p>
          <w:p w14:paraId="207E8B58" w14:textId="77777777" w:rsidR="00115C61" w:rsidRDefault="00815E38" w:rsidP="006F30A7">
            <w:pPr>
              <w:spacing w:after="0" w:line="240" w:lineRule="auto"/>
              <w:rPr>
                <w:rFonts w:ascii="Arial" w:hAnsi="Arial" w:cs="Arial"/>
              </w:rPr>
            </w:pPr>
            <w:r w:rsidRPr="00B471D3">
              <w:rPr>
                <w:rFonts w:ascii="Times New Roman" w:eastAsia="Times New Roman" w:hAnsi="Times New Roman" w:cs="Times New Roman"/>
                <w:color w:val="000000"/>
                <w:kern w:val="0"/>
                <w:lang w:eastAsia="ro-MD"/>
                <w14:ligatures w14:val="none"/>
              </w:rPr>
              <w:t>Punct</w:t>
            </w:r>
            <w:r w:rsidR="00F04020">
              <w:rPr>
                <w:rFonts w:ascii="Times New Roman" w:eastAsia="Times New Roman" w:hAnsi="Times New Roman" w:cs="Times New Roman"/>
                <w:color w:val="000000"/>
                <w:kern w:val="0"/>
                <w:lang w:eastAsia="ro-MD"/>
                <w14:ligatures w14:val="none"/>
              </w:rPr>
              <w:t>ele</w:t>
            </w:r>
            <w:r w:rsidRPr="00B471D3">
              <w:rPr>
                <w:rFonts w:ascii="Times New Roman" w:eastAsia="Times New Roman" w:hAnsi="Times New Roman" w:cs="Times New Roman"/>
                <w:color w:val="000000"/>
                <w:kern w:val="0"/>
                <w:lang w:eastAsia="ro-MD"/>
                <w14:ligatures w14:val="none"/>
              </w:rPr>
              <w:t xml:space="preserve"> </w:t>
            </w:r>
            <w:r w:rsidR="00F04020">
              <w:rPr>
                <w:rFonts w:ascii="Times New Roman" w:eastAsia="Times New Roman" w:hAnsi="Times New Roman" w:cs="Times New Roman"/>
                <w:color w:val="000000"/>
                <w:kern w:val="0"/>
                <w:lang w:eastAsia="ro-MD"/>
                <w14:ligatures w14:val="none"/>
              </w:rPr>
              <w:t xml:space="preserve">4 și </w:t>
            </w:r>
            <w:r>
              <w:rPr>
                <w:rFonts w:ascii="Times New Roman" w:eastAsia="Times New Roman" w:hAnsi="Times New Roman" w:cs="Times New Roman"/>
                <w:color w:val="000000"/>
                <w:kern w:val="0"/>
                <w:lang w:eastAsia="ro-MD"/>
                <w14:ligatures w14:val="none"/>
              </w:rPr>
              <w:t>90</w:t>
            </w:r>
            <w:r w:rsidRPr="00B471D3">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p>
          <w:p w14:paraId="288E3A86" w14:textId="133224AF"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90</w:t>
            </w:r>
            <w:r w:rsidRPr="00B471D3">
              <w:rPr>
                <w:rFonts w:ascii="Times New Roman" w:eastAsia="Times New Roman" w:hAnsi="Times New Roman" w:cs="Times New Roman"/>
                <w:color w:val="000000"/>
                <w:kern w:val="0"/>
                <w:lang w:eastAsia="ro-MD"/>
                <w14:ligatures w14:val="none"/>
              </w:rPr>
              <w:t xml:space="preserve"> subpunctul 1)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r w:rsidRPr="00260C32">
              <w:rPr>
                <w:rFonts w:ascii="Times New Roman" w:eastAsia="Times New Roman" w:hAnsi="Times New Roman" w:cs="Times New Roman"/>
                <w:color w:val="000000"/>
                <w:kern w:val="0"/>
                <w:lang w:eastAsia="ro-MD"/>
                <w14:ligatures w14:val="none"/>
              </w:rPr>
              <w:t xml:space="preserve">permite compensarea pozițiilor scurte în aceeași expunere-suport cu condiția ca data scadenței poziției scurte să fie aceeași </w:t>
            </w:r>
            <w:r w:rsidRPr="00260C32">
              <w:rPr>
                <w:rFonts w:ascii="Times New Roman" w:eastAsia="Times New Roman" w:hAnsi="Times New Roman" w:cs="Times New Roman"/>
                <w:color w:val="000000"/>
                <w:kern w:val="0"/>
                <w:lang w:eastAsia="ro-MD"/>
                <w14:ligatures w14:val="none"/>
              </w:rPr>
              <w:lastRenderedPageBreak/>
              <w:t>cu data scadenței poziției lungi ori să survină după această dată sau scadența reziduală a poziției scurte să fie de cel puțin un an.</w:t>
            </w:r>
          </w:p>
        </w:tc>
        <w:tc>
          <w:tcPr>
            <w:tcW w:w="713" w:type="dxa"/>
          </w:tcPr>
          <w:p w14:paraId="16A4A320"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6E486666" w14:textId="4512B9B3" w:rsidTr="00627FFD">
        <w:trPr>
          <w:tblCellSpacing w:w="0" w:type="dxa"/>
        </w:trPr>
        <w:tc>
          <w:tcPr>
            <w:tcW w:w="729" w:type="dxa"/>
            <w:gridSpan w:val="2"/>
            <w:hideMark/>
          </w:tcPr>
          <w:p w14:paraId="74AA055C"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0571</w:t>
            </w:r>
          </w:p>
        </w:tc>
        <w:tc>
          <w:tcPr>
            <w:tcW w:w="8043" w:type="dxa"/>
            <w:hideMark/>
          </w:tcPr>
          <w:p w14:paraId="399C9BF9" w14:textId="53D52F74"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16.3. Dețineri sintetice de fonduri proprii de nivel 1 suplimentar ale entităților din sectorul financiar în care banca deține o investiție semnificativă</w:t>
            </w:r>
          </w:p>
          <w:p w14:paraId="48187B8B" w14:textId="65A900E3"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sidR="00F04020">
              <w:rPr>
                <w:rFonts w:ascii="Times New Roman" w:eastAsia="Times New Roman" w:hAnsi="Times New Roman" w:cs="Times New Roman"/>
                <w:color w:val="000000"/>
                <w:kern w:val="0"/>
                <w:lang w:eastAsia="ro-MD"/>
                <w14:ligatures w14:val="none"/>
              </w:rPr>
              <w:t xml:space="preserve">4, </w:t>
            </w:r>
            <w:r>
              <w:rPr>
                <w:rFonts w:ascii="Times New Roman" w:eastAsia="Times New Roman" w:hAnsi="Times New Roman" w:cs="Times New Roman"/>
                <w:color w:val="000000"/>
                <w:kern w:val="0"/>
                <w:lang w:eastAsia="ro-MD"/>
                <w14:ligatures w14:val="none"/>
              </w:rPr>
              <w:t>89</w:t>
            </w:r>
            <w:r w:rsidRPr="008C359C">
              <w:rPr>
                <w:rFonts w:ascii="Times New Roman" w:eastAsia="Times New Roman" w:hAnsi="Times New Roman" w:cs="Times New Roman"/>
                <w:color w:val="000000"/>
                <w:kern w:val="0"/>
                <w:lang w:eastAsia="ro-MD"/>
                <w14:ligatures w14:val="none"/>
              </w:rPr>
              <w:t xml:space="preserve">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90</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tc>
        <w:tc>
          <w:tcPr>
            <w:tcW w:w="713" w:type="dxa"/>
          </w:tcPr>
          <w:p w14:paraId="7A6ACEE8"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3D025173" w14:textId="6E90940A" w:rsidTr="00627FFD">
        <w:trPr>
          <w:tblCellSpacing w:w="0" w:type="dxa"/>
        </w:trPr>
        <w:tc>
          <w:tcPr>
            <w:tcW w:w="729" w:type="dxa"/>
            <w:gridSpan w:val="2"/>
            <w:hideMark/>
          </w:tcPr>
          <w:p w14:paraId="6A8D4E43"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0572</w:t>
            </w:r>
          </w:p>
        </w:tc>
        <w:tc>
          <w:tcPr>
            <w:tcW w:w="8043" w:type="dxa"/>
            <w:hideMark/>
          </w:tcPr>
          <w:p w14:paraId="4A00603E" w14:textId="18EC32AE"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16.3.1. Dețineri sintetice brute de fonduri proprii de nivel 1 suplimentar ale entităților din sectorul financiar în care banca deține o investiție semnificativă</w:t>
            </w:r>
          </w:p>
          <w:p w14:paraId="0B7906B0" w14:textId="2F833B34"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Pr>
                <w:rFonts w:ascii="Times New Roman" w:eastAsia="Times New Roman" w:hAnsi="Times New Roman" w:cs="Times New Roman"/>
                <w:color w:val="000000"/>
                <w:kern w:val="0"/>
                <w:lang w:eastAsia="ro-MD"/>
                <w14:ligatures w14:val="none"/>
              </w:rPr>
              <w:t>89</w:t>
            </w:r>
            <w:r w:rsidRPr="008C359C">
              <w:rPr>
                <w:rFonts w:ascii="Times New Roman" w:eastAsia="Times New Roman" w:hAnsi="Times New Roman" w:cs="Times New Roman"/>
                <w:color w:val="000000"/>
                <w:kern w:val="0"/>
                <w:lang w:eastAsia="ro-MD"/>
                <w14:ligatures w14:val="none"/>
              </w:rPr>
              <w:t xml:space="preserve">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90</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tc>
        <w:tc>
          <w:tcPr>
            <w:tcW w:w="713" w:type="dxa"/>
          </w:tcPr>
          <w:p w14:paraId="3B8C23EB"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660A09EE" w14:textId="0A4AB196" w:rsidTr="00627FFD">
        <w:trPr>
          <w:tblCellSpacing w:w="0" w:type="dxa"/>
        </w:trPr>
        <w:tc>
          <w:tcPr>
            <w:tcW w:w="729" w:type="dxa"/>
            <w:gridSpan w:val="2"/>
            <w:hideMark/>
          </w:tcPr>
          <w:p w14:paraId="1CFB7582"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0573</w:t>
            </w:r>
          </w:p>
        </w:tc>
        <w:tc>
          <w:tcPr>
            <w:tcW w:w="8043" w:type="dxa"/>
            <w:hideMark/>
          </w:tcPr>
          <w:p w14:paraId="75D7AFB3" w14:textId="77777777"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16.3.2. (-) Poziții scurte de semn opus permise în ceea ce privește deținerile sintetice brute incluse mai sus</w:t>
            </w:r>
          </w:p>
          <w:p w14:paraId="33DCB92D" w14:textId="77777777" w:rsidR="00115C61" w:rsidRDefault="00815E38" w:rsidP="006F30A7">
            <w:pPr>
              <w:spacing w:after="0" w:line="240" w:lineRule="auto"/>
              <w:rPr>
                <w:rFonts w:ascii="Arial" w:hAnsi="Arial" w:cs="Arial"/>
              </w:rPr>
            </w:pPr>
            <w:r w:rsidRPr="00B471D3">
              <w:rPr>
                <w:rFonts w:ascii="Times New Roman" w:eastAsia="Times New Roman" w:hAnsi="Times New Roman" w:cs="Times New Roman"/>
                <w:color w:val="000000"/>
                <w:kern w:val="0"/>
                <w:lang w:eastAsia="ro-MD"/>
                <w14:ligatures w14:val="none"/>
              </w:rPr>
              <w:t>Punct</w:t>
            </w:r>
            <w:r w:rsidR="00F04020">
              <w:rPr>
                <w:rFonts w:ascii="Times New Roman" w:eastAsia="Times New Roman" w:hAnsi="Times New Roman" w:cs="Times New Roman"/>
                <w:color w:val="000000"/>
                <w:kern w:val="0"/>
                <w:lang w:eastAsia="ro-MD"/>
                <w14:ligatures w14:val="none"/>
              </w:rPr>
              <w:t>ele</w:t>
            </w:r>
            <w:r w:rsidRPr="00B471D3">
              <w:rPr>
                <w:rFonts w:ascii="Times New Roman" w:eastAsia="Times New Roman" w:hAnsi="Times New Roman" w:cs="Times New Roman"/>
                <w:color w:val="000000"/>
                <w:kern w:val="0"/>
                <w:lang w:eastAsia="ro-MD"/>
                <w14:ligatures w14:val="none"/>
              </w:rPr>
              <w:t xml:space="preserve"> </w:t>
            </w:r>
            <w:r w:rsidR="00F04020">
              <w:rPr>
                <w:rFonts w:ascii="Times New Roman" w:eastAsia="Times New Roman" w:hAnsi="Times New Roman" w:cs="Times New Roman"/>
                <w:color w:val="000000"/>
                <w:kern w:val="0"/>
                <w:lang w:eastAsia="ro-MD"/>
                <w14:ligatures w14:val="none"/>
              </w:rPr>
              <w:t xml:space="preserve">4 și </w:t>
            </w:r>
            <w:r>
              <w:rPr>
                <w:rFonts w:ascii="Times New Roman" w:eastAsia="Times New Roman" w:hAnsi="Times New Roman" w:cs="Times New Roman"/>
                <w:color w:val="000000"/>
                <w:kern w:val="0"/>
                <w:lang w:eastAsia="ro-MD"/>
                <w14:ligatures w14:val="none"/>
              </w:rPr>
              <w:t>90</w:t>
            </w:r>
            <w:r w:rsidRPr="00B471D3">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p>
          <w:p w14:paraId="3431655A" w14:textId="5FC47C49" w:rsidR="00815E38" w:rsidRPr="00260C32" w:rsidRDefault="00F04020" w:rsidP="006F30A7">
            <w:pPr>
              <w:spacing w:after="0" w:line="240" w:lineRule="auto"/>
              <w:rPr>
                <w:rFonts w:ascii="Times New Roman" w:eastAsia="Times New Roman" w:hAnsi="Times New Roman" w:cs="Times New Roman"/>
                <w:color w:val="000000"/>
                <w:kern w:val="0"/>
                <w:lang w:eastAsia="ro-MD"/>
                <w14:ligatures w14:val="none"/>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90</w:t>
            </w:r>
            <w:r w:rsidRPr="00B471D3">
              <w:rPr>
                <w:rFonts w:ascii="Times New Roman" w:eastAsia="Times New Roman" w:hAnsi="Times New Roman" w:cs="Times New Roman"/>
                <w:color w:val="000000"/>
                <w:kern w:val="0"/>
                <w:lang w:eastAsia="ro-MD"/>
                <w14:ligatures w14:val="none"/>
              </w:rPr>
              <w:t xml:space="preserve"> subpunctul 1)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r w:rsidR="00815E38" w:rsidRPr="00F04020">
              <w:rPr>
                <w:rFonts w:ascii="Times New Roman" w:eastAsia="Times New Roman" w:hAnsi="Times New Roman" w:cs="Times New Roman"/>
                <w:color w:val="000000"/>
                <w:kern w:val="0"/>
                <w:lang w:eastAsia="ro-MD"/>
                <w14:ligatures w14:val="none"/>
              </w:rPr>
              <w:t>permite compensarea pozițiilor scurte în aceeași expunere-suport cu condiția ca data scadenței poziției scurte să fie aceeași cu data scadenței poziției lungi ori să survină după această dată sau scadența reziduală a poziției scurte să fie de cel puțin un an.</w:t>
            </w:r>
          </w:p>
        </w:tc>
        <w:tc>
          <w:tcPr>
            <w:tcW w:w="713" w:type="dxa"/>
          </w:tcPr>
          <w:p w14:paraId="6E8B7858"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5947805A" w14:textId="7794B24A" w:rsidTr="00627FFD">
        <w:trPr>
          <w:tblCellSpacing w:w="0" w:type="dxa"/>
        </w:trPr>
        <w:tc>
          <w:tcPr>
            <w:tcW w:w="729" w:type="dxa"/>
            <w:gridSpan w:val="2"/>
            <w:hideMark/>
          </w:tcPr>
          <w:p w14:paraId="2A2BE04E"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0580</w:t>
            </w:r>
          </w:p>
        </w:tc>
        <w:tc>
          <w:tcPr>
            <w:tcW w:w="8043" w:type="dxa"/>
            <w:hideMark/>
          </w:tcPr>
          <w:p w14:paraId="7048D8F0" w14:textId="44CBA9EA"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17</w:t>
            </w:r>
            <w:r w:rsidR="007218DE"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Dețineri de fonduri proprii de nivel 2 ale entităților din sectorul financiar în care banca deține o investiție semnificativă, excluzând pozițiile scurte</w:t>
            </w:r>
          </w:p>
          <w:p w14:paraId="35B76FC4" w14:textId="25436EEE"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Pr>
                <w:rFonts w:ascii="Times New Roman" w:eastAsia="Times New Roman" w:hAnsi="Times New Roman" w:cs="Times New Roman"/>
                <w:color w:val="000000"/>
                <w:kern w:val="0"/>
                <w:lang w:eastAsia="ro-MD"/>
                <w14:ligatures w14:val="none"/>
              </w:rPr>
              <w:t>103</w:t>
            </w:r>
            <w:r w:rsidRPr="008C359C">
              <w:rPr>
                <w:rFonts w:ascii="Times New Roman" w:eastAsia="Times New Roman" w:hAnsi="Times New Roman" w:cs="Times New Roman"/>
                <w:color w:val="000000"/>
                <w:kern w:val="0"/>
                <w:lang w:eastAsia="ro-MD"/>
                <w14:ligatures w14:val="none"/>
              </w:rPr>
              <w:t xml:space="preserve">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104</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 xml:space="preserve">Regulamentul nr.109/2018 </w:t>
            </w:r>
          </w:p>
        </w:tc>
        <w:tc>
          <w:tcPr>
            <w:tcW w:w="713" w:type="dxa"/>
          </w:tcPr>
          <w:p w14:paraId="1E88B77F"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51F2D31D" w14:textId="7DF44B4A" w:rsidTr="00627FFD">
        <w:trPr>
          <w:tblCellSpacing w:w="0" w:type="dxa"/>
        </w:trPr>
        <w:tc>
          <w:tcPr>
            <w:tcW w:w="729" w:type="dxa"/>
            <w:gridSpan w:val="2"/>
            <w:hideMark/>
          </w:tcPr>
          <w:p w14:paraId="2713E7D8"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0590</w:t>
            </w:r>
          </w:p>
        </w:tc>
        <w:tc>
          <w:tcPr>
            <w:tcW w:w="8043" w:type="dxa"/>
            <w:hideMark/>
          </w:tcPr>
          <w:p w14:paraId="41B21991" w14:textId="63A1F320"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17.1. Dețineri directe de fonduri proprii de nivel 2 ale entităților din sectorul financiar în care banca deține o investiție semnificativă</w:t>
            </w:r>
          </w:p>
          <w:p w14:paraId="688BB02E" w14:textId="24706F65"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Pr>
                <w:rFonts w:ascii="Times New Roman" w:eastAsia="Times New Roman" w:hAnsi="Times New Roman" w:cs="Times New Roman"/>
                <w:color w:val="000000"/>
                <w:kern w:val="0"/>
                <w:lang w:eastAsia="ro-MD"/>
                <w14:ligatures w14:val="none"/>
              </w:rPr>
              <w:t>103</w:t>
            </w:r>
            <w:r w:rsidRPr="008C359C">
              <w:rPr>
                <w:rFonts w:ascii="Times New Roman" w:eastAsia="Times New Roman" w:hAnsi="Times New Roman" w:cs="Times New Roman"/>
                <w:color w:val="000000"/>
                <w:kern w:val="0"/>
                <w:lang w:eastAsia="ro-MD"/>
                <w14:ligatures w14:val="none"/>
              </w:rPr>
              <w:t xml:space="preserve">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104</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 xml:space="preserve">Regulamentul nr.109/2018 </w:t>
            </w:r>
          </w:p>
        </w:tc>
        <w:tc>
          <w:tcPr>
            <w:tcW w:w="713" w:type="dxa"/>
          </w:tcPr>
          <w:p w14:paraId="1FF95304"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70916080" w14:textId="3AF2811E" w:rsidTr="00627FFD">
        <w:trPr>
          <w:tblCellSpacing w:w="0" w:type="dxa"/>
        </w:trPr>
        <w:tc>
          <w:tcPr>
            <w:tcW w:w="729" w:type="dxa"/>
            <w:gridSpan w:val="2"/>
            <w:hideMark/>
          </w:tcPr>
          <w:p w14:paraId="6B99E9C8"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0600</w:t>
            </w:r>
          </w:p>
        </w:tc>
        <w:tc>
          <w:tcPr>
            <w:tcW w:w="8043" w:type="dxa"/>
            <w:hideMark/>
          </w:tcPr>
          <w:p w14:paraId="0AAA8D3A" w14:textId="1D541846"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17.1.1. Dețineri directe brute de fonduri proprii de nivel 2 ale entităților din sectorul financiar în care banca deține o investiție semnificativă</w:t>
            </w:r>
          </w:p>
          <w:p w14:paraId="4E627514" w14:textId="77777777" w:rsidR="00115C61" w:rsidRDefault="00815E38" w:rsidP="006F30A7">
            <w:pPr>
              <w:spacing w:after="0" w:line="240" w:lineRule="auto"/>
              <w:rPr>
                <w:rFonts w:ascii="Arial" w:hAnsi="Arial" w:cs="Arial"/>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103</w:t>
            </w:r>
            <w:r w:rsidRPr="00B471D3">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p>
          <w:p w14:paraId="1E6CF6C1" w14:textId="4F38217D"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Dețineri directe de fonduri proprii de nivel 2 ale entităților din sectorul financiar în care </w:t>
            </w:r>
            <w:r>
              <w:rPr>
                <w:rFonts w:ascii="Times New Roman" w:eastAsia="Times New Roman" w:hAnsi="Times New Roman" w:cs="Times New Roman"/>
                <w:color w:val="000000"/>
                <w:kern w:val="0"/>
                <w:lang w:eastAsia="ro-MD"/>
                <w14:ligatures w14:val="none"/>
              </w:rPr>
              <w:t>banca</w:t>
            </w:r>
            <w:r w:rsidRPr="00260C32">
              <w:rPr>
                <w:rFonts w:ascii="Times New Roman" w:eastAsia="Times New Roman" w:hAnsi="Times New Roman" w:cs="Times New Roman"/>
                <w:color w:val="000000"/>
                <w:kern w:val="0"/>
                <w:lang w:eastAsia="ro-MD"/>
                <w14:ligatures w14:val="none"/>
              </w:rPr>
              <w:t xml:space="preserve"> deține o investiție semnificativă, excluzând:</w:t>
            </w:r>
          </w:p>
          <w:tbl>
            <w:tblPr>
              <w:tblW w:w="5000" w:type="pct"/>
              <w:tblCellSpacing w:w="0" w:type="dxa"/>
              <w:tblLayout w:type="fixed"/>
              <w:tblCellMar>
                <w:left w:w="0" w:type="dxa"/>
                <w:right w:w="0" w:type="dxa"/>
              </w:tblCellMar>
              <w:tblLook w:val="04A0" w:firstRow="1" w:lastRow="0" w:firstColumn="1" w:lastColumn="0" w:noHBand="0" w:noVBand="1"/>
            </w:tblPr>
            <w:tblGrid>
              <w:gridCol w:w="404"/>
              <w:gridCol w:w="7619"/>
            </w:tblGrid>
            <w:tr w:rsidR="00815E38" w:rsidRPr="00F04020" w14:paraId="6EB87BD0" w14:textId="77777777" w:rsidTr="004041EC">
              <w:trPr>
                <w:tblCellSpacing w:w="0" w:type="dxa"/>
              </w:trPr>
              <w:tc>
                <w:tcPr>
                  <w:tcW w:w="397" w:type="dxa"/>
                  <w:hideMark/>
                </w:tcPr>
                <w:p w14:paraId="55430DC6" w14:textId="77777777" w:rsidR="00815E38" w:rsidRPr="00F04020" w:rsidRDefault="00815E38" w:rsidP="006F30A7">
                  <w:pPr>
                    <w:spacing w:after="0" w:line="240" w:lineRule="auto"/>
                    <w:rPr>
                      <w:rFonts w:ascii="Times New Roman" w:eastAsia="Times New Roman" w:hAnsi="Times New Roman" w:cs="Times New Roman"/>
                      <w:kern w:val="0"/>
                      <w:lang w:eastAsia="ro-MD"/>
                      <w14:ligatures w14:val="none"/>
                    </w:rPr>
                  </w:pPr>
                  <w:r w:rsidRPr="00F04020">
                    <w:rPr>
                      <w:rFonts w:ascii="Times New Roman" w:eastAsia="Times New Roman" w:hAnsi="Times New Roman" w:cs="Times New Roman"/>
                      <w:kern w:val="0"/>
                      <w:lang w:eastAsia="ro-MD"/>
                      <w14:ligatures w14:val="none"/>
                    </w:rPr>
                    <w:t>(a)</w:t>
                  </w:r>
                </w:p>
              </w:tc>
              <w:tc>
                <w:tcPr>
                  <w:tcW w:w="7494" w:type="dxa"/>
                  <w:hideMark/>
                </w:tcPr>
                <w:p w14:paraId="08743F99" w14:textId="4A76F4F1" w:rsidR="00815E38" w:rsidRPr="00F04020" w:rsidRDefault="00815E38" w:rsidP="006F30A7">
                  <w:pPr>
                    <w:spacing w:after="0" w:line="240" w:lineRule="auto"/>
                    <w:rPr>
                      <w:rFonts w:ascii="Times New Roman" w:eastAsia="Times New Roman" w:hAnsi="Times New Roman" w:cs="Times New Roman"/>
                      <w:kern w:val="0"/>
                      <w:lang w:eastAsia="ro-MD"/>
                      <w14:ligatures w14:val="none"/>
                    </w:rPr>
                  </w:pPr>
                  <w:r w:rsidRPr="007218DE">
                    <w:rPr>
                      <w:rFonts w:ascii="Times New Roman" w:eastAsia="Times New Roman" w:hAnsi="Times New Roman" w:cs="Times New Roman"/>
                      <w:kern w:val="0"/>
                      <w:lang w:eastAsia="ro-MD"/>
                      <w14:ligatures w14:val="none"/>
                    </w:rPr>
                    <w:t>pozițiile aferente angajamentelor de preluare fermă deținute timp de cinci zile lucrătoare sau mai puțin</w:t>
                  </w:r>
                  <w:r w:rsidR="00F04020">
                    <w:rPr>
                      <w:rFonts w:ascii="Times New Roman" w:eastAsia="Times New Roman" w:hAnsi="Times New Roman" w:cs="Times New Roman"/>
                      <w:kern w:val="0"/>
                      <w:lang w:eastAsia="ro-MD"/>
                      <w14:ligatures w14:val="none"/>
                    </w:rPr>
                    <w:t xml:space="preserve"> (</w:t>
                  </w:r>
                  <w:r w:rsidR="00F04020">
                    <w:rPr>
                      <w:rFonts w:ascii="Times New Roman" w:eastAsia="Times New Roman" w:hAnsi="Times New Roman" w:cs="Times New Roman"/>
                      <w:color w:val="000000"/>
                      <w:kern w:val="0"/>
                      <w:lang w:eastAsia="ro-MD"/>
                      <w14:ligatures w14:val="none"/>
                    </w:rPr>
                    <w:t>p</w:t>
                  </w:r>
                  <w:r w:rsidR="00F04020" w:rsidRPr="00B471D3">
                    <w:rPr>
                      <w:rFonts w:ascii="Times New Roman" w:eastAsia="Times New Roman" w:hAnsi="Times New Roman" w:cs="Times New Roman"/>
                      <w:color w:val="000000"/>
                      <w:kern w:val="0"/>
                      <w:lang w:eastAsia="ro-MD"/>
                      <w14:ligatures w14:val="none"/>
                    </w:rPr>
                    <w:t xml:space="preserve">unctul </w:t>
                  </w:r>
                  <w:r w:rsidR="00F04020">
                    <w:rPr>
                      <w:rFonts w:ascii="Times New Roman" w:eastAsia="Times New Roman" w:hAnsi="Times New Roman" w:cs="Times New Roman"/>
                      <w:color w:val="000000"/>
                      <w:kern w:val="0"/>
                      <w:lang w:eastAsia="ro-MD"/>
                      <w14:ligatures w14:val="none"/>
                    </w:rPr>
                    <w:t xml:space="preserve">100 subpunctul 4) </w:t>
                  </w:r>
                  <w:r w:rsidR="00F04020" w:rsidRPr="00B471D3">
                    <w:rPr>
                      <w:rFonts w:ascii="Times New Roman" w:eastAsia="Times New Roman" w:hAnsi="Times New Roman" w:cs="Times New Roman"/>
                      <w:color w:val="000000"/>
                      <w:kern w:val="0"/>
                      <w:lang w:eastAsia="ro-MD"/>
                      <w14:ligatures w14:val="none"/>
                    </w:rPr>
                    <w:t xml:space="preserve">din </w:t>
                  </w:r>
                  <w:r w:rsidR="00F04020">
                    <w:rPr>
                      <w:rFonts w:ascii="Times New Roman" w:eastAsia="Times New Roman" w:hAnsi="Times New Roman" w:cs="Times New Roman"/>
                      <w:color w:val="000000"/>
                      <w:kern w:val="0"/>
                      <w:lang w:eastAsia="ro-MD"/>
                      <w14:ligatures w14:val="none"/>
                    </w:rPr>
                    <w:t>Regulamentul nr.109/2018)</w:t>
                  </w:r>
                  <w:r w:rsidRPr="00F04020">
                    <w:rPr>
                      <w:rFonts w:ascii="Times New Roman" w:eastAsia="Times New Roman" w:hAnsi="Times New Roman" w:cs="Times New Roman"/>
                      <w:kern w:val="0"/>
                      <w:lang w:eastAsia="ro-MD"/>
                      <w14:ligatures w14:val="none"/>
                    </w:rPr>
                    <w:t>; și</w:t>
                  </w:r>
                </w:p>
              </w:tc>
            </w:tr>
          </w:tbl>
          <w:p w14:paraId="3672D359" w14:textId="77777777" w:rsidR="00815E38" w:rsidRPr="00F04020" w:rsidRDefault="00815E38" w:rsidP="006F30A7">
            <w:pPr>
              <w:spacing w:after="0" w:line="240" w:lineRule="auto"/>
              <w:rPr>
                <w:rFonts w:ascii="Times New Roman" w:eastAsia="Times New Roman" w:hAnsi="Times New Roman" w:cs="Times New Roman"/>
                <w:vanish/>
                <w:color w:val="000000"/>
                <w:kern w:val="0"/>
                <w:lang w:eastAsia="ro-MD"/>
                <w14:ligatures w14:val="none"/>
              </w:rPr>
            </w:pPr>
          </w:p>
          <w:tbl>
            <w:tblPr>
              <w:tblW w:w="5000" w:type="pct"/>
              <w:tblCellSpacing w:w="0" w:type="dxa"/>
              <w:tblLayout w:type="fixed"/>
              <w:tblCellMar>
                <w:left w:w="0" w:type="dxa"/>
                <w:right w:w="0" w:type="dxa"/>
              </w:tblCellMar>
              <w:tblLook w:val="04A0" w:firstRow="1" w:lastRow="0" w:firstColumn="1" w:lastColumn="0" w:noHBand="0" w:noVBand="1"/>
            </w:tblPr>
            <w:tblGrid>
              <w:gridCol w:w="404"/>
              <w:gridCol w:w="7619"/>
            </w:tblGrid>
            <w:tr w:rsidR="00815E38" w:rsidRPr="00260C32" w14:paraId="5A5D9D81" w14:textId="77777777" w:rsidTr="004041EC">
              <w:trPr>
                <w:tblCellSpacing w:w="0" w:type="dxa"/>
              </w:trPr>
              <w:tc>
                <w:tcPr>
                  <w:tcW w:w="397" w:type="dxa"/>
                  <w:hideMark/>
                </w:tcPr>
                <w:p w14:paraId="6E22CFAD" w14:textId="77777777" w:rsidR="00815E38" w:rsidRPr="00F04020" w:rsidRDefault="00815E38" w:rsidP="006F30A7">
                  <w:pPr>
                    <w:spacing w:after="0" w:line="240" w:lineRule="auto"/>
                    <w:rPr>
                      <w:rFonts w:ascii="Times New Roman" w:eastAsia="Times New Roman" w:hAnsi="Times New Roman" w:cs="Times New Roman"/>
                      <w:kern w:val="0"/>
                      <w:lang w:eastAsia="ro-MD"/>
                      <w14:ligatures w14:val="none"/>
                    </w:rPr>
                  </w:pPr>
                  <w:r w:rsidRPr="00F04020">
                    <w:rPr>
                      <w:rFonts w:ascii="Times New Roman" w:eastAsia="Times New Roman" w:hAnsi="Times New Roman" w:cs="Times New Roman"/>
                      <w:kern w:val="0"/>
                      <w:lang w:eastAsia="ro-MD"/>
                      <w14:ligatures w14:val="none"/>
                    </w:rPr>
                    <w:t>(b)</w:t>
                  </w:r>
                </w:p>
              </w:tc>
              <w:tc>
                <w:tcPr>
                  <w:tcW w:w="7494" w:type="dxa"/>
                  <w:hideMark/>
                </w:tcPr>
                <w:p w14:paraId="48861197" w14:textId="5F5038C8" w:rsidR="00815E38" w:rsidRPr="00260C32" w:rsidRDefault="00815E38" w:rsidP="006F30A7">
                  <w:pPr>
                    <w:spacing w:after="0" w:line="240" w:lineRule="auto"/>
                    <w:rPr>
                      <w:rFonts w:ascii="Times New Roman" w:eastAsia="Times New Roman" w:hAnsi="Times New Roman" w:cs="Times New Roman"/>
                      <w:kern w:val="0"/>
                      <w:lang w:eastAsia="ro-MD"/>
                      <w14:ligatures w14:val="none"/>
                    </w:rPr>
                  </w:pPr>
                  <w:r w:rsidRPr="00F04020">
                    <w:rPr>
                      <w:rFonts w:ascii="Times New Roman" w:eastAsia="Times New Roman" w:hAnsi="Times New Roman" w:cs="Times New Roman"/>
                      <w:kern w:val="0"/>
                      <w:lang w:eastAsia="ro-MD"/>
                      <w14:ligatures w14:val="none"/>
                    </w:rPr>
                    <w:t xml:space="preserve">deținerile care sunt tratate drept dețineri reciproce în conformitate cu </w:t>
                  </w:r>
                  <w:r w:rsidR="00F04020">
                    <w:rPr>
                      <w:rFonts w:ascii="Times New Roman" w:eastAsia="Times New Roman" w:hAnsi="Times New Roman" w:cs="Times New Roman"/>
                      <w:color w:val="000000"/>
                      <w:kern w:val="0"/>
                      <w:lang w:eastAsia="ro-MD"/>
                      <w14:ligatures w14:val="none"/>
                    </w:rPr>
                    <w:t>p</w:t>
                  </w:r>
                  <w:r w:rsidR="00F04020" w:rsidRPr="00B471D3">
                    <w:rPr>
                      <w:rFonts w:ascii="Times New Roman" w:eastAsia="Times New Roman" w:hAnsi="Times New Roman" w:cs="Times New Roman"/>
                      <w:color w:val="000000"/>
                      <w:kern w:val="0"/>
                      <w:lang w:eastAsia="ro-MD"/>
                      <w14:ligatures w14:val="none"/>
                    </w:rPr>
                    <w:t xml:space="preserve">unctul </w:t>
                  </w:r>
                  <w:r w:rsidR="00F04020">
                    <w:rPr>
                      <w:rFonts w:ascii="Times New Roman" w:eastAsia="Times New Roman" w:hAnsi="Times New Roman" w:cs="Times New Roman"/>
                      <w:color w:val="000000"/>
                      <w:kern w:val="0"/>
                      <w:lang w:eastAsia="ro-MD"/>
                      <w14:ligatures w14:val="none"/>
                    </w:rPr>
                    <w:t xml:space="preserve">100 subpunctul 2) </w:t>
                  </w:r>
                  <w:r w:rsidR="00F04020" w:rsidRPr="00B471D3">
                    <w:rPr>
                      <w:rFonts w:ascii="Times New Roman" w:eastAsia="Times New Roman" w:hAnsi="Times New Roman" w:cs="Times New Roman"/>
                      <w:color w:val="000000"/>
                      <w:kern w:val="0"/>
                      <w:lang w:eastAsia="ro-MD"/>
                      <w14:ligatures w14:val="none"/>
                    </w:rPr>
                    <w:t xml:space="preserve">din </w:t>
                  </w:r>
                  <w:r w:rsidR="00F04020">
                    <w:rPr>
                      <w:rFonts w:ascii="Times New Roman" w:eastAsia="Times New Roman" w:hAnsi="Times New Roman" w:cs="Times New Roman"/>
                      <w:color w:val="000000"/>
                      <w:kern w:val="0"/>
                      <w:lang w:eastAsia="ro-MD"/>
                      <w14:ligatures w14:val="none"/>
                    </w:rPr>
                    <w:t>Regulamentul nr.109/2018</w:t>
                  </w:r>
                  <w:r w:rsidRPr="00F04020">
                    <w:rPr>
                      <w:rFonts w:ascii="Times New Roman" w:eastAsia="Times New Roman" w:hAnsi="Times New Roman" w:cs="Times New Roman"/>
                      <w:kern w:val="0"/>
                      <w:lang w:eastAsia="ro-MD"/>
                      <w14:ligatures w14:val="none"/>
                    </w:rPr>
                    <w:t>.</w:t>
                  </w:r>
                </w:p>
              </w:tc>
            </w:tr>
          </w:tbl>
          <w:p w14:paraId="54703AEC"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p>
        </w:tc>
        <w:tc>
          <w:tcPr>
            <w:tcW w:w="713" w:type="dxa"/>
          </w:tcPr>
          <w:p w14:paraId="04502C60"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250AFF78" w14:textId="12C31580" w:rsidTr="00627FFD">
        <w:trPr>
          <w:tblCellSpacing w:w="0" w:type="dxa"/>
        </w:trPr>
        <w:tc>
          <w:tcPr>
            <w:tcW w:w="729" w:type="dxa"/>
            <w:gridSpan w:val="2"/>
            <w:hideMark/>
          </w:tcPr>
          <w:p w14:paraId="142FF681"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0610</w:t>
            </w:r>
          </w:p>
        </w:tc>
        <w:tc>
          <w:tcPr>
            <w:tcW w:w="8043" w:type="dxa"/>
            <w:hideMark/>
          </w:tcPr>
          <w:p w14:paraId="0F106AD7" w14:textId="77777777"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17.1.2. (-) Poziții scurte de semn opus permise în ceea ce privește deținerile directe brute incluse mai sus</w:t>
            </w:r>
          </w:p>
          <w:p w14:paraId="6ADB3D63" w14:textId="77777777" w:rsidR="00115C61" w:rsidRDefault="00815E38" w:rsidP="006F30A7">
            <w:pPr>
              <w:spacing w:after="0" w:line="240" w:lineRule="auto"/>
              <w:rPr>
                <w:rFonts w:ascii="Arial" w:hAnsi="Arial" w:cs="Arial"/>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104</w:t>
            </w:r>
            <w:r w:rsidRPr="00B471D3">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p>
          <w:p w14:paraId="2BACF3A0" w14:textId="2E46BD5C"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104</w:t>
            </w:r>
            <w:r w:rsidRPr="00B471D3">
              <w:rPr>
                <w:rFonts w:ascii="Times New Roman" w:eastAsia="Times New Roman" w:hAnsi="Times New Roman" w:cs="Times New Roman"/>
                <w:color w:val="000000"/>
                <w:kern w:val="0"/>
                <w:lang w:eastAsia="ro-MD"/>
                <w14:ligatures w14:val="none"/>
              </w:rPr>
              <w:t xml:space="preserve"> subpunctul 1)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r w:rsidRPr="00260C32">
              <w:rPr>
                <w:rFonts w:ascii="Times New Roman" w:eastAsia="Times New Roman" w:hAnsi="Times New Roman" w:cs="Times New Roman"/>
                <w:color w:val="000000"/>
                <w:kern w:val="0"/>
                <w:lang w:eastAsia="ro-MD"/>
                <w14:ligatures w14:val="none"/>
              </w:rPr>
              <w:t>permite compensarea pozițiilor scurte în aceeași expunere-suport cu condiția ca data scadenței poziției scurte să fie aceeași cu data scadenței poziției lungi ori să survină după această dată sau scadența reziduală a poziției scurte să fie de cel puțin un an.</w:t>
            </w:r>
          </w:p>
        </w:tc>
        <w:tc>
          <w:tcPr>
            <w:tcW w:w="713" w:type="dxa"/>
          </w:tcPr>
          <w:p w14:paraId="611C92EF"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5809F301" w14:textId="203DC6F3" w:rsidTr="00627FFD">
        <w:trPr>
          <w:tblCellSpacing w:w="0" w:type="dxa"/>
        </w:trPr>
        <w:tc>
          <w:tcPr>
            <w:tcW w:w="729" w:type="dxa"/>
            <w:gridSpan w:val="2"/>
            <w:hideMark/>
          </w:tcPr>
          <w:p w14:paraId="31F756DE"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0620</w:t>
            </w:r>
          </w:p>
        </w:tc>
        <w:tc>
          <w:tcPr>
            <w:tcW w:w="8043" w:type="dxa"/>
            <w:hideMark/>
          </w:tcPr>
          <w:p w14:paraId="78CC45EE" w14:textId="6A9CA66C"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17.2. Dețineri indirecte de fonduri proprii de nivel 2 ale entităților din sectorul financiar în care banca deține o investiție semnificativă</w:t>
            </w:r>
          </w:p>
          <w:p w14:paraId="4FA3C002" w14:textId="593B292B"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sidR="007218DE">
              <w:rPr>
                <w:rFonts w:ascii="Times New Roman" w:eastAsia="Times New Roman" w:hAnsi="Times New Roman" w:cs="Times New Roman"/>
                <w:color w:val="000000"/>
                <w:kern w:val="0"/>
                <w:lang w:eastAsia="ro-MD"/>
                <w14:ligatures w14:val="none"/>
              </w:rPr>
              <w:t xml:space="preserve">4, </w:t>
            </w:r>
            <w:r>
              <w:rPr>
                <w:rFonts w:ascii="Times New Roman" w:eastAsia="Times New Roman" w:hAnsi="Times New Roman" w:cs="Times New Roman"/>
                <w:color w:val="000000"/>
                <w:kern w:val="0"/>
                <w:lang w:eastAsia="ro-MD"/>
                <w14:ligatures w14:val="none"/>
              </w:rPr>
              <w:t>103</w:t>
            </w:r>
            <w:r w:rsidRPr="008C359C">
              <w:rPr>
                <w:rFonts w:ascii="Times New Roman" w:eastAsia="Times New Roman" w:hAnsi="Times New Roman" w:cs="Times New Roman"/>
                <w:color w:val="000000"/>
                <w:kern w:val="0"/>
                <w:lang w:eastAsia="ro-MD"/>
                <w14:ligatures w14:val="none"/>
              </w:rPr>
              <w:t xml:space="preserve">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104</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 xml:space="preserve">Regulamentul nr.109/2018 </w:t>
            </w:r>
          </w:p>
        </w:tc>
        <w:tc>
          <w:tcPr>
            <w:tcW w:w="713" w:type="dxa"/>
          </w:tcPr>
          <w:p w14:paraId="7D060FDF"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74E9F60B" w14:textId="6C9BD5AB" w:rsidTr="00627FFD">
        <w:trPr>
          <w:tblCellSpacing w:w="0" w:type="dxa"/>
        </w:trPr>
        <w:tc>
          <w:tcPr>
            <w:tcW w:w="729" w:type="dxa"/>
            <w:gridSpan w:val="2"/>
            <w:hideMark/>
          </w:tcPr>
          <w:p w14:paraId="10BC44E2"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0630</w:t>
            </w:r>
          </w:p>
        </w:tc>
        <w:tc>
          <w:tcPr>
            <w:tcW w:w="8043" w:type="dxa"/>
            <w:hideMark/>
          </w:tcPr>
          <w:p w14:paraId="21AB4B93" w14:textId="3CB1E8F4"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17.2.1. Dețineri indirecte brute de fonduri proprii de nivel 2 ale entităților din sectorul financiar în care banca deține o investiție semnificativă</w:t>
            </w:r>
          </w:p>
          <w:p w14:paraId="7FCBF3CD" w14:textId="77777777" w:rsidR="00115C61"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sidR="007218DE">
              <w:rPr>
                <w:rFonts w:ascii="Times New Roman" w:eastAsia="Times New Roman" w:hAnsi="Times New Roman" w:cs="Times New Roman"/>
                <w:color w:val="000000"/>
                <w:kern w:val="0"/>
                <w:lang w:eastAsia="ro-MD"/>
                <w14:ligatures w14:val="none"/>
              </w:rPr>
              <w:t xml:space="preserve">4, </w:t>
            </w:r>
            <w:r>
              <w:rPr>
                <w:rFonts w:ascii="Times New Roman" w:eastAsia="Times New Roman" w:hAnsi="Times New Roman" w:cs="Times New Roman"/>
                <w:color w:val="000000"/>
                <w:kern w:val="0"/>
                <w:lang w:eastAsia="ro-MD"/>
                <w14:ligatures w14:val="none"/>
              </w:rPr>
              <w:t>103</w:t>
            </w:r>
            <w:r w:rsidRPr="008C359C">
              <w:rPr>
                <w:rFonts w:ascii="Times New Roman" w:eastAsia="Times New Roman" w:hAnsi="Times New Roman" w:cs="Times New Roman"/>
                <w:color w:val="000000"/>
                <w:kern w:val="0"/>
                <w:lang w:eastAsia="ro-MD"/>
                <w14:ligatures w14:val="none"/>
              </w:rPr>
              <w:t xml:space="preserve">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104</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 xml:space="preserve">Regulamentul nr.109/2018 </w:t>
            </w:r>
          </w:p>
          <w:p w14:paraId="7B198954" w14:textId="187FF44D"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care trebuie raportat este cel al deținerilor indirecte din portofoliul de tranzacționare în instrumentele de capital ale entităților din sectorul financiar care iau forma unor dețineri de titluri de valoare bazate pe indici. Acesta se obține prin calcularea expunerii-suport față de instrumentele de capital ale entităților din sectorul financiar incluse în indici.</w:t>
            </w:r>
          </w:p>
          <w:p w14:paraId="1DB647B7" w14:textId="63968095"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proofErr w:type="spellStart"/>
            <w:r w:rsidRPr="00017F10">
              <w:rPr>
                <w:rFonts w:ascii="Times New Roman" w:eastAsia="Times New Roman" w:hAnsi="Times New Roman" w:cs="Times New Roman"/>
                <w:color w:val="000000"/>
                <w:kern w:val="0"/>
                <w:lang w:eastAsia="ro-MD"/>
                <w14:ligatures w14:val="none"/>
              </w:rPr>
              <w:t>Deţinerile</w:t>
            </w:r>
            <w:proofErr w:type="spellEnd"/>
            <w:r w:rsidRPr="00017F10">
              <w:rPr>
                <w:rFonts w:ascii="Times New Roman" w:eastAsia="Times New Roman" w:hAnsi="Times New Roman" w:cs="Times New Roman"/>
                <w:color w:val="000000"/>
                <w:kern w:val="0"/>
                <w:lang w:eastAsia="ro-MD"/>
                <w14:ligatures w14:val="none"/>
              </w:rPr>
              <w:t xml:space="preserve"> care sunt tratate drept </w:t>
            </w:r>
            <w:proofErr w:type="spellStart"/>
            <w:r w:rsidRPr="00017F10">
              <w:rPr>
                <w:rFonts w:ascii="Times New Roman" w:eastAsia="Times New Roman" w:hAnsi="Times New Roman" w:cs="Times New Roman"/>
                <w:color w:val="000000"/>
                <w:kern w:val="0"/>
                <w:lang w:eastAsia="ro-MD"/>
                <w14:ligatures w14:val="none"/>
              </w:rPr>
              <w:t>deţineri</w:t>
            </w:r>
            <w:proofErr w:type="spellEnd"/>
            <w:r w:rsidRPr="00017F10">
              <w:rPr>
                <w:rFonts w:ascii="Times New Roman" w:eastAsia="Times New Roman" w:hAnsi="Times New Roman" w:cs="Times New Roman"/>
                <w:color w:val="000000"/>
                <w:kern w:val="0"/>
                <w:lang w:eastAsia="ro-MD"/>
                <w14:ligatures w14:val="none"/>
              </w:rPr>
              <w:t xml:space="preserve"> reciproce în conformitate cu punctul 100 subpunctul 2) din </w:t>
            </w:r>
            <w:r>
              <w:rPr>
                <w:rFonts w:ascii="Times New Roman" w:eastAsia="Times New Roman" w:hAnsi="Times New Roman" w:cs="Times New Roman"/>
                <w:color w:val="000000"/>
                <w:kern w:val="0"/>
                <w:lang w:eastAsia="ro-MD"/>
                <w14:ligatures w14:val="none"/>
              </w:rPr>
              <w:t>Regulamentul nr.109/2018</w:t>
            </w:r>
            <w:r w:rsidRPr="00017F10">
              <w:rPr>
                <w:rFonts w:ascii="Times New Roman" w:eastAsia="Times New Roman" w:hAnsi="Times New Roman" w:cs="Times New Roman"/>
                <w:color w:val="000000"/>
                <w:kern w:val="0"/>
                <w:lang w:eastAsia="ro-MD"/>
                <w14:ligatures w14:val="none"/>
              </w:rPr>
              <w:t xml:space="preserve"> nu sunt incluse.</w:t>
            </w:r>
            <w:r>
              <w:rPr>
                <w:rFonts w:ascii="Times New Roman" w:eastAsia="Times New Roman" w:hAnsi="Times New Roman" w:cs="Times New Roman"/>
                <w:color w:val="000000"/>
                <w:kern w:val="0"/>
                <w:lang w:eastAsia="ro-MD"/>
                <w14:ligatures w14:val="none"/>
              </w:rPr>
              <w:t xml:space="preserve"> </w:t>
            </w:r>
          </w:p>
        </w:tc>
        <w:tc>
          <w:tcPr>
            <w:tcW w:w="713" w:type="dxa"/>
          </w:tcPr>
          <w:p w14:paraId="31610479"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2BB3B462" w14:textId="71F55977" w:rsidTr="00627FFD">
        <w:trPr>
          <w:tblCellSpacing w:w="0" w:type="dxa"/>
        </w:trPr>
        <w:tc>
          <w:tcPr>
            <w:tcW w:w="729" w:type="dxa"/>
            <w:gridSpan w:val="2"/>
            <w:hideMark/>
          </w:tcPr>
          <w:p w14:paraId="4E90F789"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0640</w:t>
            </w:r>
          </w:p>
        </w:tc>
        <w:tc>
          <w:tcPr>
            <w:tcW w:w="8043" w:type="dxa"/>
            <w:hideMark/>
          </w:tcPr>
          <w:p w14:paraId="2A752035" w14:textId="77777777"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17.2.2. (-) Poziții scurte de semn opus permise în ceea ce privește deținerile indirecte brute incluse mai sus</w:t>
            </w:r>
          </w:p>
          <w:p w14:paraId="6FC1576A" w14:textId="77777777" w:rsidR="00115C61" w:rsidRDefault="00815E38" w:rsidP="006F30A7">
            <w:pPr>
              <w:spacing w:after="0" w:line="240" w:lineRule="auto"/>
              <w:rPr>
                <w:rFonts w:ascii="Arial" w:hAnsi="Arial" w:cs="Arial"/>
              </w:rPr>
            </w:pPr>
            <w:r w:rsidRPr="00B471D3">
              <w:rPr>
                <w:rFonts w:ascii="Times New Roman" w:eastAsia="Times New Roman" w:hAnsi="Times New Roman" w:cs="Times New Roman"/>
                <w:color w:val="000000"/>
                <w:kern w:val="0"/>
                <w:lang w:eastAsia="ro-MD"/>
                <w14:ligatures w14:val="none"/>
              </w:rPr>
              <w:t>Punct</w:t>
            </w:r>
            <w:r w:rsidR="007218DE">
              <w:rPr>
                <w:rFonts w:ascii="Times New Roman" w:eastAsia="Times New Roman" w:hAnsi="Times New Roman" w:cs="Times New Roman"/>
                <w:color w:val="000000"/>
                <w:kern w:val="0"/>
                <w:lang w:eastAsia="ro-MD"/>
                <w14:ligatures w14:val="none"/>
              </w:rPr>
              <w:t>ele</w:t>
            </w:r>
            <w:r w:rsidRPr="00B471D3">
              <w:rPr>
                <w:rFonts w:ascii="Times New Roman" w:eastAsia="Times New Roman" w:hAnsi="Times New Roman" w:cs="Times New Roman"/>
                <w:color w:val="000000"/>
                <w:kern w:val="0"/>
                <w:lang w:eastAsia="ro-MD"/>
                <w14:ligatures w14:val="none"/>
              </w:rPr>
              <w:t xml:space="preserve"> </w:t>
            </w:r>
            <w:r w:rsidR="007218DE">
              <w:rPr>
                <w:rFonts w:ascii="Times New Roman" w:eastAsia="Times New Roman" w:hAnsi="Times New Roman" w:cs="Times New Roman"/>
                <w:color w:val="000000"/>
                <w:kern w:val="0"/>
                <w:lang w:eastAsia="ro-MD"/>
                <w14:ligatures w14:val="none"/>
              </w:rPr>
              <w:t xml:space="preserve">4 și </w:t>
            </w:r>
            <w:r>
              <w:rPr>
                <w:rFonts w:ascii="Times New Roman" w:eastAsia="Times New Roman" w:hAnsi="Times New Roman" w:cs="Times New Roman"/>
                <w:color w:val="000000"/>
                <w:kern w:val="0"/>
                <w:lang w:eastAsia="ro-MD"/>
                <w14:ligatures w14:val="none"/>
              </w:rPr>
              <w:t>104</w:t>
            </w:r>
            <w:r w:rsidRPr="00B471D3">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p>
          <w:p w14:paraId="337F0A1C" w14:textId="33B988C9"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104</w:t>
            </w:r>
            <w:r w:rsidRPr="00B471D3">
              <w:rPr>
                <w:rFonts w:ascii="Times New Roman" w:eastAsia="Times New Roman" w:hAnsi="Times New Roman" w:cs="Times New Roman"/>
                <w:color w:val="000000"/>
                <w:kern w:val="0"/>
                <w:lang w:eastAsia="ro-MD"/>
                <w14:ligatures w14:val="none"/>
              </w:rPr>
              <w:t xml:space="preserve"> subpunctul 1)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r w:rsidRPr="00260C32">
              <w:rPr>
                <w:rFonts w:ascii="Times New Roman" w:eastAsia="Times New Roman" w:hAnsi="Times New Roman" w:cs="Times New Roman"/>
                <w:color w:val="000000"/>
                <w:kern w:val="0"/>
                <w:lang w:eastAsia="ro-MD"/>
                <w14:ligatures w14:val="none"/>
              </w:rPr>
              <w:t xml:space="preserve">permite compensarea pozițiilor scurte în aceeași expunere-suport cu condiția ca data scadenței poziției scurte să fie aceeași </w:t>
            </w:r>
            <w:r w:rsidRPr="00260C32">
              <w:rPr>
                <w:rFonts w:ascii="Times New Roman" w:eastAsia="Times New Roman" w:hAnsi="Times New Roman" w:cs="Times New Roman"/>
                <w:color w:val="000000"/>
                <w:kern w:val="0"/>
                <w:lang w:eastAsia="ro-MD"/>
                <w14:ligatures w14:val="none"/>
              </w:rPr>
              <w:lastRenderedPageBreak/>
              <w:t>cu data scadenței poziției lungi ori să survină după această dată sau scadența reziduală a poziției scurte să fie de cel puțin un an.</w:t>
            </w:r>
          </w:p>
        </w:tc>
        <w:tc>
          <w:tcPr>
            <w:tcW w:w="713" w:type="dxa"/>
          </w:tcPr>
          <w:p w14:paraId="6C761D51"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56501683" w14:textId="0A4FACA2" w:rsidTr="00627FFD">
        <w:trPr>
          <w:tblCellSpacing w:w="0" w:type="dxa"/>
        </w:trPr>
        <w:tc>
          <w:tcPr>
            <w:tcW w:w="729" w:type="dxa"/>
            <w:gridSpan w:val="2"/>
            <w:hideMark/>
          </w:tcPr>
          <w:p w14:paraId="281BCFC5"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0641</w:t>
            </w:r>
          </w:p>
        </w:tc>
        <w:tc>
          <w:tcPr>
            <w:tcW w:w="8043" w:type="dxa"/>
            <w:hideMark/>
          </w:tcPr>
          <w:p w14:paraId="4DFE8CEF" w14:textId="0612CCC5"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17.3. Dețineri sintetice de fonduri proprii de nivel 2 ale entităților din sectorul financiar în care banca deține o investiție semnificativă</w:t>
            </w:r>
          </w:p>
          <w:p w14:paraId="39719AE5" w14:textId="46967288"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sidR="007218DE">
              <w:rPr>
                <w:rFonts w:ascii="Times New Roman" w:eastAsia="Times New Roman" w:hAnsi="Times New Roman" w:cs="Times New Roman"/>
                <w:color w:val="000000"/>
                <w:kern w:val="0"/>
                <w:lang w:eastAsia="ro-MD"/>
                <w14:ligatures w14:val="none"/>
              </w:rPr>
              <w:t xml:space="preserve">4, </w:t>
            </w:r>
            <w:r>
              <w:rPr>
                <w:rFonts w:ascii="Times New Roman" w:eastAsia="Times New Roman" w:hAnsi="Times New Roman" w:cs="Times New Roman"/>
                <w:color w:val="000000"/>
                <w:kern w:val="0"/>
                <w:lang w:eastAsia="ro-MD"/>
                <w14:ligatures w14:val="none"/>
              </w:rPr>
              <w:t>103</w:t>
            </w:r>
            <w:r w:rsidRPr="008C359C">
              <w:rPr>
                <w:rFonts w:ascii="Times New Roman" w:eastAsia="Times New Roman" w:hAnsi="Times New Roman" w:cs="Times New Roman"/>
                <w:color w:val="000000"/>
                <w:kern w:val="0"/>
                <w:lang w:eastAsia="ro-MD"/>
                <w14:ligatures w14:val="none"/>
              </w:rPr>
              <w:t xml:space="preserve">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104</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 xml:space="preserve">Regulamentul nr.109/2018 </w:t>
            </w:r>
          </w:p>
        </w:tc>
        <w:tc>
          <w:tcPr>
            <w:tcW w:w="713" w:type="dxa"/>
          </w:tcPr>
          <w:p w14:paraId="2D9E6E3D"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77C10920" w14:textId="31F7D428" w:rsidTr="00627FFD">
        <w:trPr>
          <w:tblCellSpacing w:w="0" w:type="dxa"/>
        </w:trPr>
        <w:tc>
          <w:tcPr>
            <w:tcW w:w="729" w:type="dxa"/>
            <w:gridSpan w:val="2"/>
            <w:hideMark/>
          </w:tcPr>
          <w:p w14:paraId="597C78D4"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0642</w:t>
            </w:r>
          </w:p>
        </w:tc>
        <w:tc>
          <w:tcPr>
            <w:tcW w:w="8043" w:type="dxa"/>
            <w:hideMark/>
          </w:tcPr>
          <w:p w14:paraId="173443AC" w14:textId="2FF44CAA"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17.3.1. Dețineri sintetice brute de fonduri proprii de nivel 2 ale entităților din sectorul financiar în care banca deține o investiție semnificativă</w:t>
            </w:r>
          </w:p>
          <w:p w14:paraId="4B14CB1E" w14:textId="62EA428D"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sidR="007218DE">
              <w:rPr>
                <w:rFonts w:ascii="Times New Roman" w:eastAsia="Times New Roman" w:hAnsi="Times New Roman" w:cs="Times New Roman"/>
                <w:color w:val="000000"/>
                <w:kern w:val="0"/>
                <w:lang w:eastAsia="ro-MD"/>
                <w14:ligatures w14:val="none"/>
              </w:rPr>
              <w:t xml:space="preserve">4, </w:t>
            </w:r>
            <w:r>
              <w:rPr>
                <w:rFonts w:ascii="Times New Roman" w:eastAsia="Times New Roman" w:hAnsi="Times New Roman" w:cs="Times New Roman"/>
                <w:color w:val="000000"/>
                <w:kern w:val="0"/>
                <w:lang w:eastAsia="ro-MD"/>
                <w14:ligatures w14:val="none"/>
              </w:rPr>
              <w:t>103</w:t>
            </w:r>
            <w:r w:rsidRPr="008C359C">
              <w:rPr>
                <w:rFonts w:ascii="Times New Roman" w:eastAsia="Times New Roman" w:hAnsi="Times New Roman" w:cs="Times New Roman"/>
                <w:color w:val="000000"/>
                <w:kern w:val="0"/>
                <w:lang w:eastAsia="ro-MD"/>
                <w14:ligatures w14:val="none"/>
              </w:rPr>
              <w:t xml:space="preserve">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104</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 xml:space="preserve">Regulamentul nr.109/2018 </w:t>
            </w:r>
          </w:p>
        </w:tc>
        <w:tc>
          <w:tcPr>
            <w:tcW w:w="713" w:type="dxa"/>
          </w:tcPr>
          <w:p w14:paraId="0B92CCA4"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056B1481" w14:textId="19C15558" w:rsidTr="00627FFD">
        <w:trPr>
          <w:tblCellSpacing w:w="0" w:type="dxa"/>
        </w:trPr>
        <w:tc>
          <w:tcPr>
            <w:tcW w:w="729" w:type="dxa"/>
            <w:gridSpan w:val="2"/>
            <w:hideMark/>
          </w:tcPr>
          <w:p w14:paraId="4387F88D"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0643</w:t>
            </w:r>
          </w:p>
        </w:tc>
        <w:tc>
          <w:tcPr>
            <w:tcW w:w="8043" w:type="dxa"/>
            <w:hideMark/>
          </w:tcPr>
          <w:p w14:paraId="525710AA" w14:textId="77777777" w:rsidR="00815E38" w:rsidRPr="006F30A7"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6F30A7">
              <w:rPr>
                <w:rFonts w:ascii="Times New Roman" w:eastAsia="Times New Roman" w:hAnsi="Times New Roman" w:cs="Times New Roman"/>
                <w:b/>
                <w:bCs/>
                <w:color w:val="000000"/>
                <w:kern w:val="0"/>
                <w:lang w:eastAsia="ro-MD"/>
                <w14:ligatures w14:val="none"/>
              </w:rPr>
              <w:t>17.3.2. (-) Poziții scurte de semn opus permise în ceea ce privește deținerile sintetice brute incluse mai sus</w:t>
            </w:r>
          </w:p>
          <w:p w14:paraId="056817F0" w14:textId="67649CEB"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B471D3">
              <w:rPr>
                <w:rFonts w:ascii="Times New Roman" w:eastAsia="Times New Roman" w:hAnsi="Times New Roman" w:cs="Times New Roman"/>
                <w:color w:val="000000"/>
                <w:kern w:val="0"/>
                <w:lang w:eastAsia="ro-MD"/>
                <w14:ligatures w14:val="none"/>
              </w:rPr>
              <w:t>Punct</w:t>
            </w:r>
            <w:r w:rsidR="007218DE">
              <w:rPr>
                <w:rFonts w:ascii="Times New Roman" w:eastAsia="Times New Roman" w:hAnsi="Times New Roman" w:cs="Times New Roman"/>
                <w:color w:val="000000"/>
                <w:kern w:val="0"/>
                <w:lang w:eastAsia="ro-MD"/>
                <w14:ligatures w14:val="none"/>
              </w:rPr>
              <w:t>ele 4 și</w:t>
            </w:r>
            <w:r w:rsidRPr="00B471D3">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104</w:t>
            </w:r>
            <w:r w:rsidRPr="00B471D3">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r w:rsidR="00D244C5" w:rsidRPr="00B471D3">
              <w:rPr>
                <w:rFonts w:ascii="Times New Roman" w:eastAsia="Times New Roman" w:hAnsi="Times New Roman" w:cs="Times New Roman"/>
                <w:color w:val="000000"/>
                <w:kern w:val="0"/>
                <w:lang w:eastAsia="ro-MD"/>
                <w14:ligatures w14:val="none"/>
              </w:rPr>
              <w:t xml:space="preserve">Punctul </w:t>
            </w:r>
            <w:r w:rsidR="00D244C5">
              <w:rPr>
                <w:rFonts w:ascii="Times New Roman" w:eastAsia="Times New Roman" w:hAnsi="Times New Roman" w:cs="Times New Roman"/>
                <w:color w:val="000000"/>
                <w:kern w:val="0"/>
                <w:lang w:eastAsia="ro-MD"/>
                <w14:ligatures w14:val="none"/>
              </w:rPr>
              <w:t>104</w:t>
            </w:r>
            <w:r w:rsidR="00D244C5" w:rsidRPr="00B471D3">
              <w:rPr>
                <w:rFonts w:ascii="Times New Roman" w:eastAsia="Times New Roman" w:hAnsi="Times New Roman" w:cs="Times New Roman"/>
                <w:color w:val="000000"/>
                <w:kern w:val="0"/>
                <w:lang w:eastAsia="ro-MD"/>
                <w14:ligatures w14:val="none"/>
              </w:rPr>
              <w:t xml:space="preserve"> </w:t>
            </w:r>
            <w:r w:rsidR="007218DE" w:rsidRPr="00B471D3">
              <w:rPr>
                <w:rFonts w:ascii="Times New Roman" w:eastAsia="Times New Roman" w:hAnsi="Times New Roman" w:cs="Times New Roman"/>
                <w:color w:val="000000"/>
                <w:kern w:val="0"/>
                <w:lang w:eastAsia="ro-MD"/>
                <w14:ligatures w14:val="none"/>
              </w:rPr>
              <w:t xml:space="preserve">subpunctul 1) </w:t>
            </w:r>
            <w:r w:rsidR="00D244C5" w:rsidRPr="00B471D3">
              <w:rPr>
                <w:rFonts w:ascii="Times New Roman" w:eastAsia="Times New Roman" w:hAnsi="Times New Roman" w:cs="Times New Roman"/>
                <w:color w:val="000000"/>
                <w:kern w:val="0"/>
                <w:lang w:eastAsia="ro-MD"/>
                <w14:ligatures w14:val="none"/>
              </w:rPr>
              <w:t xml:space="preserve">din </w:t>
            </w:r>
            <w:r w:rsidR="00D244C5">
              <w:rPr>
                <w:rFonts w:ascii="Times New Roman" w:eastAsia="Times New Roman" w:hAnsi="Times New Roman" w:cs="Times New Roman"/>
                <w:color w:val="000000"/>
                <w:kern w:val="0"/>
                <w:lang w:eastAsia="ro-MD"/>
                <w14:ligatures w14:val="none"/>
              </w:rPr>
              <w:t>Regulamentul nr.109/2018</w:t>
            </w:r>
            <w:r w:rsidR="00D244C5">
              <w:rPr>
                <w:rFonts w:ascii="Arial" w:hAnsi="Arial" w:cs="Arial"/>
              </w:rPr>
              <w:t xml:space="preserve"> </w:t>
            </w:r>
            <w:r w:rsidRPr="00260C32">
              <w:rPr>
                <w:rFonts w:ascii="Times New Roman" w:eastAsia="Times New Roman" w:hAnsi="Times New Roman" w:cs="Times New Roman"/>
                <w:color w:val="000000"/>
                <w:kern w:val="0"/>
                <w:lang w:eastAsia="ro-MD"/>
                <w14:ligatures w14:val="none"/>
              </w:rPr>
              <w:t>permite compensarea pozițiilor scurte în aceeași expunere-suport cu condiția ca data scadenței poziției scurte să fie aceeași cu data scadenței poziției lungi ori să survină după această dată sau scadența reziduală a poziției scurte să fie de cel puțin un an.</w:t>
            </w:r>
          </w:p>
        </w:tc>
        <w:tc>
          <w:tcPr>
            <w:tcW w:w="713" w:type="dxa"/>
          </w:tcPr>
          <w:p w14:paraId="28F3D96D"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36A4C77F" w14:textId="2DE8F6E0" w:rsidTr="00627FFD">
        <w:trPr>
          <w:tblCellSpacing w:w="0" w:type="dxa"/>
        </w:trPr>
        <w:tc>
          <w:tcPr>
            <w:tcW w:w="729" w:type="dxa"/>
            <w:gridSpan w:val="2"/>
            <w:hideMark/>
          </w:tcPr>
          <w:p w14:paraId="77FE42D2"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0650</w:t>
            </w:r>
          </w:p>
        </w:tc>
        <w:tc>
          <w:tcPr>
            <w:tcW w:w="8043" w:type="dxa"/>
            <w:hideMark/>
          </w:tcPr>
          <w:p w14:paraId="705667B3" w14:textId="640812B9"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18</w:t>
            </w:r>
            <w:r w:rsidR="00D244C5"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Expunerile ponderate la risc ale deținerilor de fonduri proprii de nivel 1 de bază în entități din sectorul financiar, care nu sunt deduse din fondurile proprii de nivel 1 de bază ale băncii</w:t>
            </w:r>
          </w:p>
          <w:p w14:paraId="3DD53025" w14:textId="4DBCD772"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8C359C">
              <w:rPr>
                <w:rFonts w:ascii="Times New Roman" w:eastAsia="Times New Roman" w:hAnsi="Times New Roman" w:cs="Times New Roman"/>
                <w:color w:val="000000"/>
                <w:kern w:val="0"/>
                <w:lang w:eastAsia="ro-MD"/>
                <w14:ligatures w14:val="none"/>
              </w:rPr>
              <w:t xml:space="preserve">Punctele </w:t>
            </w:r>
            <w:r>
              <w:rPr>
                <w:rFonts w:ascii="Times New Roman" w:eastAsia="Times New Roman" w:hAnsi="Times New Roman" w:cs="Times New Roman"/>
                <w:color w:val="000000"/>
                <w:kern w:val="0"/>
                <w:lang w:eastAsia="ro-MD"/>
                <w14:ligatures w14:val="none"/>
              </w:rPr>
              <w:t>59</w:t>
            </w:r>
            <w:r w:rsidRPr="008C359C">
              <w:rPr>
                <w:rFonts w:ascii="Times New Roman" w:eastAsia="Times New Roman" w:hAnsi="Times New Roman" w:cs="Times New Roman"/>
                <w:color w:val="000000"/>
                <w:kern w:val="0"/>
                <w:lang w:eastAsia="ro-MD"/>
                <w14:ligatures w14:val="none"/>
              </w:rPr>
              <w:t xml:space="preserve"> </w:t>
            </w:r>
            <w:proofErr w:type="spellStart"/>
            <w:r w:rsidRPr="008C359C">
              <w:rPr>
                <w:rFonts w:ascii="Times New Roman" w:eastAsia="Times New Roman" w:hAnsi="Times New Roman" w:cs="Times New Roman"/>
                <w:color w:val="000000"/>
                <w:kern w:val="0"/>
                <w:lang w:eastAsia="ro-MD"/>
                <w14:ligatures w14:val="none"/>
              </w:rPr>
              <w:t>şi</w:t>
            </w:r>
            <w:proofErr w:type="spellEnd"/>
            <w:r w:rsidRPr="008C359C">
              <w:rPr>
                <w:rFonts w:ascii="Times New Roman" w:eastAsia="Times New Roman" w:hAnsi="Times New Roman" w:cs="Times New Roman"/>
                <w:color w:val="000000"/>
                <w:kern w:val="0"/>
                <w:lang w:eastAsia="ro-MD"/>
                <w14:ligatures w14:val="none"/>
              </w:rPr>
              <w:t xml:space="preserve"> </w:t>
            </w:r>
            <w:r>
              <w:rPr>
                <w:rFonts w:ascii="Times New Roman" w:eastAsia="Times New Roman" w:hAnsi="Times New Roman" w:cs="Times New Roman"/>
                <w:color w:val="000000"/>
                <w:kern w:val="0"/>
                <w:lang w:eastAsia="ro-MD"/>
                <w14:ligatures w14:val="none"/>
              </w:rPr>
              <w:t>67</w:t>
            </w:r>
            <w:r w:rsidRPr="008C359C">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tc>
        <w:tc>
          <w:tcPr>
            <w:tcW w:w="713" w:type="dxa"/>
          </w:tcPr>
          <w:p w14:paraId="5D53C5C4"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581B9A95" w14:textId="71D6DA99" w:rsidTr="00627FFD">
        <w:trPr>
          <w:tblCellSpacing w:w="0" w:type="dxa"/>
        </w:trPr>
        <w:tc>
          <w:tcPr>
            <w:tcW w:w="729" w:type="dxa"/>
            <w:gridSpan w:val="2"/>
            <w:hideMark/>
          </w:tcPr>
          <w:p w14:paraId="6A86149F"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0660</w:t>
            </w:r>
          </w:p>
        </w:tc>
        <w:tc>
          <w:tcPr>
            <w:tcW w:w="8043" w:type="dxa"/>
            <w:hideMark/>
          </w:tcPr>
          <w:p w14:paraId="34D20E86" w14:textId="7CB4C271"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19</w:t>
            </w:r>
            <w:r w:rsidR="00D244C5"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Expunerile ponderate la risc ale deținerilor de fonduri proprii de nivel 1 suplimentar în entități din sectorul financiar, care nu sunt deduse din fondurile proprii de nivel 1 suplimentar ale băncii</w:t>
            </w:r>
          </w:p>
          <w:p w14:paraId="798400B2" w14:textId="3DCA0C40"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94</w:t>
            </w:r>
            <w:r w:rsidRPr="00B471D3">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tc>
        <w:tc>
          <w:tcPr>
            <w:tcW w:w="713" w:type="dxa"/>
          </w:tcPr>
          <w:p w14:paraId="5A8D1D16"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3E38CC1C" w14:textId="72A1B86B" w:rsidTr="00627FFD">
        <w:trPr>
          <w:tblCellSpacing w:w="0" w:type="dxa"/>
        </w:trPr>
        <w:tc>
          <w:tcPr>
            <w:tcW w:w="729" w:type="dxa"/>
            <w:gridSpan w:val="2"/>
            <w:hideMark/>
          </w:tcPr>
          <w:p w14:paraId="360631F4"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0670</w:t>
            </w:r>
          </w:p>
        </w:tc>
        <w:tc>
          <w:tcPr>
            <w:tcW w:w="8043" w:type="dxa"/>
            <w:hideMark/>
          </w:tcPr>
          <w:p w14:paraId="26B71FBB" w14:textId="7DAFC669"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20</w:t>
            </w:r>
            <w:r w:rsidR="00D244C5"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Expunerile ponderate la risc ale deținerilor de fonduri proprii de nivel 2 în entități din sectorul financiar, care nu sunt deduse din fondurile proprii de nivel 2 ale b</w:t>
            </w:r>
            <w:r w:rsidR="00D244C5" w:rsidRPr="007874EE">
              <w:rPr>
                <w:rFonts w:ascii="Times New Roman" w:eastAsia="Times New Roman" w:hAnsi="Times New Roman" w:cs="Times New Roman"/>
                <w:b/>
                <w:bCs/>
                <w:color w:val="000000"/>
                <w:kern w:val="0"/>
                <w:lang w:eastAsia="ro-MD"/>
                <w14:ligatures w14:val="none"/>
              </w:rPr>
              <w:t>ă</w:t>
            </w:r>
            <w:r w:rsidRPr="007874EE">
              <w:rPr>
                <w:rFonts w:ascii="Times New Roman" w:eastAsia="Times New Roman" w:hAnsi="Times New Roman" w:cs="Times New Roman"/>
                <w:b/>
                <w:bCs/>
                <w:color w:val="000000"/>
                <w:kern w:val="0"/>
                <w:lang w:eastAsia="ro-MD"/>
                <w14:ligatures w14:val="none"/>
              </w:rPr>
              <w:t>nc</w:t>
            </w:r>
            <w:r w:rsidR="00D244C5" w:rsidRPr="007874EE">
              <w:rPr>
                <w:rFonts w:ascii="Times New Roman" w:eastAsia="Times New Roman" w:hAnsi="Times New Roman" w:cs="Times New Roman"/>
                <w:b/>
                <w:bCs/>
                <w:color w:val="000000"/>
                <w:kern w:val="0"/>
                <w:lang w:eastAsia="ro-MD"/>
                <w14:ligatures w14:val="none"/>
              </w:rPr>
              <w:t>i</w:t>
            </w:r>
            <w:r w:rsidRPr="007874EE">
              <w:rPr>
                <w:rFonts w:ascii="Times New Roman" w:eastAsia="Times New Roman" w:hAnsi="Times New Roman" w:cs="Times New Roman"/>
                <w:b/>
                <w:bCs/>
                <w:color w:val="000000"/>
                <w:kern w:val="0"/>
                <w:lang w:eastAsia="ro-MD"/>
                <w14:ligatures w14:val="none"/>
              </w:rPr>
              <w:t>i</w:t>
            </w:r>
          </w:p>
          <w:p w14:paraId="5A49045A" w14:textId="5EC30DB1"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108</w:t>
            </w:r>
            <w:r w:rsidRPr="00B471D3">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p>
        </w:tc>
        <w:tc>
          <w:tcPr>
            <w:tcW w:w="713" w:type="dxa"/>
          </w:tcPr>
          <w:p w14:paraId="412CE27F"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50154CC2" w14:textId="71FA0544" w:rsidTr="00627FFD">
        <w:trPr>
          <w:tblCellSpacing w:w="0" w:type="dxa"/>
        </w:trPr>
        <w:tc>
          <w:tcPr>
            <w:tcW w:w="729" w:type="dxa"/>
            <w:gridSpan w:val="2"/>
            <w:hideMark/>
          </w:tcPr>
          <w:p w14:paraId="23FB18BA"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0680</w:t>
            </w:r>
          </w:p>
        </w:tc>
        <w:tc>
          <w:tcPr>
            <w:tcW w:w="8043" w:type="dxa"/>
            <w:hideMark/>
          </w:tcPr>
          <w:p w14:paraId="72F06724" w14:textId="57D788CF"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21</w:t>
            </w:r>
            <w:r w:rsidR="00D244C5"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Dețineri de instrumente de fonduri proprii de nivel 1 de bază ale entităților din sectorul financiar în care banca nu deține o investiție semnificativă, care fac obiectul unei derogări temporare</w:t>
            </w:r>
          </w:p>
          <w:p w14:paraId="1AC9E523" w14:textId="77777777" w:rsidR="00115C61" w:rsidRDefault="00815E38" w:rsidP="006F30A7">
            <w:pPr>
              <w:spacing w:after="0" w:line="240" w:lineRule="auto"/>
              <w:rPr>
                <w:rFonts w:ascii="Arial" w:hAnsi="Arial" w:cs="Arial"/>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126</w:t>
            </w:r>
            <w:r w:rsidRPr="00B471D3">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p>
          <w:p w14:paraId="3F00725F" w14:textId="1A92E143"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Banca Națională a Moldovei</w:t>
            </w:r>
            <w:r w:rsidRPr="00260C32">
              <w:rPr>
                <w:rFonts w:ascii="Times New Roman" w:eastAsia="Times New Roman" w:hAnsi="Times New Roman" w:cs="Times New Roman"/>
                <w:color w:val="000000"/>
                <w:kern w:val="0"/>
                <w:lang w:eastAsia="ro-MD"/>
                <w14:ligatures w14:val="none"/>
              </w:rPr>
              <w:t xml:space="preserve"> poate acorda o derogare temporară de la aplicarea dispozițiilor privind deducerile din fondurile proprii de nivel 1 de bază aferente deținerilor de instrumente ale unei anumite entități din sectorul financiar, în cazul în care consideră că aceste dețineri au scopul unei operațiuni de asistență financiară destinate reorganizării și salvării entității respective.</w:t>
            </w:r>
          </w:p>
          <w:p w14:paraId="0F306EBF" w14:textId="5B267626"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 se reține faptul că instrumentele respective trebuie, de asemenea, raportate la p</w:t>
            </w:r>
            <w:r>
              <w:rPr>
                <w:rFonts w:ascii="Times New Roman" w:eastAsia="Times New Roman" w:hAnsi="Times New Roman" w:cs="Times New Roman"/>
                <w:color w:val="000000"/>
                <w:kern w:val="0"/>
                <w:lang w:eastAsia="ro-MD"/>
                <w14:ligatures w14:val="none"/>
              </w:rPr>
              <w:t>ost</w:t>
            </w:r>
            <w:r w:rsidRPr="00260C32">
              <w:rPr>
                <w:rFonts w:ascii="Times New Roman" w:eastAsia="Times New Roman" w:hAnsi="Times New Roman" w:cs="Times New Roman"/>
                <w:color w:val="000000"/>
                <w:kern w:val="0"/>
                <w:lang w:eastAsia="ro-MD"/>
                <w14:ligatures w14:val="none"/>
              </w:rPr>
              <w:t>ul 12.1.</w:t>
            </w:r>
          </w:p>
        </w:tc>
        <w:tc>
          <w:tcPr>
            <w:tcW w:w="713" w:type="dxa"/>
          </w:tcPr>
          <w:p w14:paraId="1FA8E775"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1DBFA02" w14:textId="2DC440C2" w:rsidTr="00627FFD">
        <w:trPr>
          <w:tblCellSpacing w:w="0" w:type="dxa"/>
        </w:trPr>
        <w:tc>
          <w:tcPr>
            <w:tcW w:w="729" w:type="dxa"/>
            <w:gridSpan w:val="2"/>
            <w:hideMark/>
          </w:tcPr>
          <w:p w14:paraId="5C2E913B"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0690</w:t>
            </w:r>
          </w:p>
        </w:tc>
        <w:tc>
          <w:tcPr>
            <w:tcW w:w="8043" w:type="dxa"/>
            <w:hideMark/>
          </w:tcPr>
          <w:p w14:paraId="01866DB6" w14:textId="18B1320E"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22</w:t>
            </w:r>
            <w:r w:rsidR="00D244C5"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Dețineri de instrumente de fonduri proprii de nivel 1 de bază ale entităților din sectorul financiar în care banca deține o investiție semnificativă, care fac obiectul unei derogări temporare</w:t>
            </w:r>
          </w:p>
          <w:p w14:paraId="0DFA6BC0" w14:textId="77777777" w:rsidR="00115C61" w:rsidRDefault="00815E38" w:rsidP="006F30A7">
            <w:pPr>
              <w:spacing w:after="0" w:line="240" w:lineRule="auto"/>
              <w:rPr>
                <w:rFonts w:ascii="Arial" w:hAnsi="Arial" w:cs="Arial"/>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126</w:t>
            </w:r>
            <w:r w:rsidRPr="00B471D3">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p>
          <w:p w14:paraId="2CD17550" w14:textId="7788D780"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Banca Națională a Moldovei</w:t>
            </w:r>
            <w:r w:rsidR="00115C61">
              <w:rPr>
                <w:rFonts w:ascii="Times New Roman" w:eastAsia="Times New Roman" w:hAnsi="Times New Roman" w:cs="Times New Roman"/>
                <w:color w:val="000000"/>
                <w:kern w:val="0"/>
                <w:lang w:eastAsia="ro-MD"/>
                <w14:ligatures w14:val="none"/>
              </w:rPr>
              <w:t xml:space="preserve"> </w:t>
            </w:r>
            <w:r w:rsidRPr="00260C32">
              <w:rPr>
                <w:rFonts w:ascii="Times New Roman" w:eastAsia="Times New Roman" w:hAnsi="Times New Roman" w:cs="Times New Roman"/>
                <w:color w:val="000000"/>
                <w:kern w:val="0"/>
                <w:lang w:eastAsia="ro-MD"/>
                <w14:ligatures w14:val="none"/>
              </w:rPr>
              <w:t>poate acorda o derogare de la aplicarea dispozițiilor privind deducerile din fondurile proprii de nivel 1 de bază aferente deținerilor de instrumente ale unei anumite entități din sectorul financiar, în cazul în care consideră că aceste dețineri au scopul unei operațiuni de asistență financiară destinate reorganizării și salvării entității respective.</w:t>
            </w:r>
          </w:p>
          <w:p w14:paraId="7A8E583C" w14:textId="1E0DBC68"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 se reține faptul că instrumentele respective trebuie, de asemenea, raportate la p</w:t>
            </w:r>
            <w:r>
              <w:rPr>
                <w:rFonts w:ascii="Times New Roman" w:eastAsia="Times New Roman" w:hAnsi="Times New Roman" w:cs="Times New Roman"/>
                <w:color w:val="000000"/>
                <w:kern w:val="0"/>
                <w:lang w:eastAsia="ro-MD"/>
                <w14:ligatures w14:val="none"/>
              </w:rPr>
              <w:t>ost</w:t>
            </w:r>
            <w:r w:rsidRPr="00260C32">
              <w:rPr>
                <w:rFonts w:ascii="Times New Roman" w:eastAsia="Times New Roman" w:hAnsi="Times New Roman" w:cs="Times New Roman"/>
                <w:color w:val="000000"/>
                <w:kern w:val="0"/>
                <w:lang w:eastAsia="ro-MD"/>
                <w14:ligatures w14:val="none"/>
              </w:rPr>
              <w:t>ul 15.1.</w:t>
            </w:r>
          </w:p>
        </w:tc>
        <w:tc>
          <w:tcPr>
            <w:tcW w:w="713" w:type="dxa"/>
          </w:tcPr>
          <w:p w14:paraId="5CF5105E"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59D9ADE" w14:textId="4081C156" w:rsidTr="00627FFD">
        <w:trPr>
          <w:tblCellSpacing w:w="0" w:type="dxa"/>
        </w:trPr>
        <w:tc>
          <w:tcPr>
            <w:tcW w:w="729" w:type="dxa"/>
            <w:gridSpan w:val="2"/>
            <w:hideMark/>
          </w:tcPr>
          <w:p w14:paraId="2F12F8DE"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0700</w:t>
            </w:r>
          </w:p>
        </w:tc>
        <w:tc>
          <w:tcPr>
            <w:tcW w:w="8043" w:type="dxa"/>
            <w:hideMark/>
          </w:tcPr>
          <w:p w14:paraId="05E223D6" w14:textId="0576FDFB"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23</w:t>
            </w:r>
            <w:r w:rsidR="00D244C5"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Dețineri de instrumente de fonduri proprii de nivel 1 suplimentar ale entităților din sectorul financiar în care banca nu deține o investiție semnificativă, care fac obiectul unei derogări temporare</w:t>
            </w:r>
          </w:p>
          <w:p w14:paraId="0BB0DCAC" w14:textId="77777777" w:rsidR="00115C61" w:rsidRDefault="00815E38" w:rsidP="006F30A7">
            <w:pPr>
              <w:spacing w:after="0" w:line="240" w:lineRule="auto"/>
              <w:rPr>
                <w:rFonts w:ascii="Arial" w:hAnsi="Arial" w:cs="Arial"/>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126</w:t>
            </w:r>
            <w:r w:rsidRPr="00B471D3">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p>
          <w:p w14:paraId="4C719F3E" w14:textId="4A2D35B3"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Banca Națională a Moldovei</w:t>
            </w:r>
            <w:r w:rsidR="00115C61">
              <w:rPr>
                <w:rFonts w:ascii="Times New Roman" w:eastAsia="Times New Roman" w:hAnsi="Times New Roman" w:cs="Times New Roman"/>
                <w:color w:val="000000"/>
                <w:kern w:val="0"/>
                <w:lang w:eastAsia="ro-MD"/>
                <w14:ligatures w14:val="none"/>
              </w:rPr>
              <w:t xml:space="preserve"> </w:t>
            </w:r>
            <w:r w:rsidRPr="00260C32">
              <w:rPr>
                <w:rFonts w:ascii="Times New Roman" w:eastAsia="Times New Roman" w:hAnsi="Times New Roman" w:cs="Times New Roman"/>
                <w:color w:val="000000"/>
                <w:kern w:val="0"/>
                <w:lang w:eastAsia="ro-MD"/>
                <w14:ligatures w14:val="none"/>
              </w:rPr>
              <w:t xml:space="preserve">poate acorda o derogare temporară de la aplicarea dispozițiilor privind deducerile din fondurile proprii de nivel 1 suplimentar aferente deținerilor de instrumente ale unei anumite entități din sectorul financiar, în cazul în care </w:t>
            </w:r>
            <w:r w:rsidRPr="00260C32">
              <w:rPr>
                <w:rFonts w:ascii="Times New Roman" w:eastAsia="Times New Roman" w:hAnsi="Times New Roman" w:cs="Times New Roman"/>
                <w:color w:val="000000"/>
                <w:kern w:val="0"/>
                <w:lang w:eastAsia="ro-MD"/>
                <w14:ligatures w14:val="none"/>
              </w:rPr>
              <w:lastRenderedPageBreak/>
              <w:t>consideră că aceste dețineri au scopul unei operațiuni de asistență financiară destinate reorganizării și salvării entității respective.</w:t>
            </w:r>
          </w:p>
          <w:p w14:paraId="3DF6F18E" w14:textId="7B06FE5A"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 se reține faptul că aceste instrumente trebuie, de asemenea, raportate la p</w:t>
            </w:r>
            <w:r>
              <w:rPr>
                <w:rFonts w:ascii="Times New Roman" w:eastAsia="Times New Roman" w:hAnsi="Times New Roman" w:cs="Times New Roman"/>
                <w:color w:val="000000"/>
                <w:kern w:val="0"/>
                <w:lang w:eastAsia="ro-MD"/>
                <w14:ligatures w14:val="none"/>
              </w:rPr>
              <w:t>ost</w:t>
            </w:r>
            <w:r w:rsidRPr="00260C32">
              <w:rPr>
                <w:rFonts w:ascii="Times New Roman" w:eastAsia="Times New Roman" w:hAnsi="Times New Roman" w:cs="Times New Roman"/>
                <w:color w:val="000000"/>
                <w:kern w:val="0"/>
                <w:lang w:eastAsia="ro-MD"/>
                <w14:ligatures w14:val="none"/>
              </w:rPr>
              <w:t>ul 13.1.</w:t>
            </w:r>
          </w:p>
        </w:tc>
        <w:tc>
          <w:tcPr>
            <w:tcW w:w="713" w:type="dxa"/>
          </w:tcPr>
          <w:p w14:paraId="4CE2DC41"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146AB894" w14:textId="3628858D" w:rsidTr="00627FFD">
        <w:trPr>
          <w:tblCellSpacing w:w="0" w:type="dxa"/>
        </w:trPr>
        <w:tc>
          <w:tcPr>
            <w:tcW w:w="729" w:type="dxa"/>
            <w:gridSpan w:val="2"/>
            <w:hideMark/>
          </w:tcPr>
          <w:p w14:paraId="4A4B1F06"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0710</w:t>
            </w:r>
          </w:p>
        </w:tc>
        <w:tc>
          <w:tcPr>
            <w:tcW w:w="8043" w:type="dxa"/>
            <w:hideMark/>
          </w:tcPr>
          <w:p w14:paraId="3EF203FE" w14:textId="61E880FD"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24</w:t>
            </w:r>
            <w:r w:rsidR="00D244C5"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Dețineri de instrumente de fonduri proprii de nivel 1 suplimentar ale entităților din sectorul financiar în care banca deține o investiție semnificativă, care fac obiectul unei derogări temporare</w:t>
            </w:r>
          </w:p>
          <w:p w14:paraId="40C2998B" w14:textId="77777777" w:rsidR="00115C61" w:rsidRDefault="00815E38" w:rsidP="006F30A7">
            <w:pPr>
              <w:spacing w:after="0" w:line="240" w:lineRule="auto"/>
              <w:rPr>
                <w:rFonts w:ascii="Arial" w:hAnsi="Arial" w:cs="Arial"/>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126</w:t>
            </w:r>
            <w:r w:rsidRPr="00B471D3">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p>
          <w:p w14:paraId="6161FD60" w14:textId="37A14436"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 xml:space="preserve">Banca Națională a Moldovei </w:t>
            </w:r>
            <w:r w:rsidRPr="00260C32">
              <w:rPr>
                <w:rFonts w:ascii="Times New Roman" w:eastAsia="Times New Roman" w:hAnsi="Times New Roman" w:cs="Times New Roman"/>
                <w:color w:val="000000"/>
                <w:kern w:val="0"/>
                <w:lang w:eastAsia="ro-MD"/>
                <w14:ligatures w14:val="none"/>
              </w:rPr>
              <w:t>poate acorda o derogare temporară de la aplicarea dispozițiilor privind deducerile din fondurile proprii de nivel 1 suplimentar aferente deținerilor de instrumente ale unei anumite entități din sectorul financiar, în cazul în care consideră că aceste dețineri au scopul unei operațiuni de asistență financiară destinate reorganizării și salvării entității respective.</w:t>
            </w:r>
          </w:p>
          <w:p w14:paraId="07424556" w14:textId="3D14223E"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 se reține faptul că aceste instrumente trebuie, de asemenea, raportate la p</w:t>
            </w:r>
            <w:r>
              <w:rPr>
                <w:rFonts w:ascii="Times New Roman" w:eastAsia="Times New Roman" w:hAnsi="Times New Roman" w:cs="Times New Roman"/>
                <w:color w:val="000000"/>
                <w:kern w:val="0"/>
                <w:lang w:eastAsia="ro-MD"/>
                <w14:ligatures w14:val="none"/>
              </w:rPr>
              <w:t>ost</w:t>
            </w:r>
            <w:r w:rsidRPr="00260C32">
              <w:rPr>
                <w:rFonts w:ascii="Times New Roman" w:eastAsia="Times New Roman" w:hAnsi="Times New Roman" w:cs="Times New Roman"/>
                <w:color w:val="000000"/>
                <w:kern w:val="0"/>
                <w:lang w:eastAsia="ro-MD"/>
                <w14:ligatures w14:val="none"/>
              </w:rPr>
              <w:t>ul 16.1.</w:t>
            </w:r>
          </w:p>
        </w:tc>
        <w:tc>
          <w:tcPr>
            <w:tcW w:w="713" w:type="dxa"/>
          </w:tcPr>
          <w:p w14:paraId="4B984731"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257CBF8" w14:textId="2BEFFBE4" w:rsidTr="00627FFD">
        <w:trPr>
          <w:tblCellSpacing w:w="0" w:type="dxa"/>
        </w:trPr>
        <w:tc>
          <w:tcPr>
            <w:tcW w:w="729" w:type="dxa"/>
            <w:gridSpan w:val="2"/>
            <w:hideMark/>
          </w:tcPr>
          <w:p w14:paraId="5D37D26A"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0720</w:t>
            </w:r>
          </w:p>
        </w:tc>
        <w:tc>
          <w:tcPr>
            <w:tcW w:w="8043" w:type="dxa"/>
            <w:hideMark/>
          </w:tcPr>
          <w:p w14:paraId="419025BE" w14:textId="2DC18805"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25</w:t>
            </w:r>
            <w:r w:rsidR="00D244C5"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Dețineri de instrumente de fonduri proprii de nivel 2 ale entităților din sectorul financiar în care banca nu deține o investiție semnificativă, care fac obiectul unei derogări temporare</w:t>
            </w:r>
          </w:p>
          <w:p w14:paraId="6BDA0664" w14:textId="77777777" w:rsidR="00115C61" w:rsidRDefault="00815E38" w:rsidP="006F30A7">
            <w:pPr>
              <w:spacing w:after="0" w:line="240" w:lineRule="auto"/>
              <w:rPr>
                <w:rFonts w:ascii="Arial" w:hAnsi="Arial" w:cs="Arial"/>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126</w:t>
            </w:r>
            <w:r w:rsidRPr="00B471D3">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p>
          <w:p w14:paraId="1B3F8DF1" w14:textId="3973E2F1"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Banca Națională a Moldovei</w:t>
            </w:r>
            <w:r w:rsidR="00115C61">
              <w:rPr>
                <w:rFonts w:ascii="Times New Roman" w:eastAsia="Times New Roman" w:hAnsi="Times New Roman" w:cs="Times New Roman"/>
                <w:color w:val="000000"/>
                <w:kern w:val="0"/>
                <w:lang w:eastAsia="ro-MD"/>
                <w14:ligatures w14:val="none"/>
              </w:rPr>
              <w:t xml:space="preserve"> </w:t>
            </w:r>
            <w:r w:rsidRPr="00260C32">
              <w:rPr>
                <w:rFonts w:ascii="Times New Roman" w:eastAsia="Times New Roman" w:hAnsi="Times New Roman" w:cs="Times New Roman"/>
                <w:color w:val="000000"/>
                <w:kern w:val="0"/>
                <w:lang w:eastAsia="ro-MD"/>
                <w14:ligatures w14:val="none"/>
              </w:rPr>
              <w:t>poate acorda o derogare de la aplicarea dispozițiilor privind deducerile din fondurile proprii de nivel 2 aferente deținerilor de instrumente ale unei anumite entități din sectorul financiar, în cazul în care consideră că aceste dețineri au scopul unei operațiuni de asistență financiară destinate reorganizării și salvării entității respective.</w:t>
            </w:r>
          </w:p>
          <w:p w14:paraId="7035284C" w14:textId="455DEF06"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 se reține faptul că instrumentele respective trebuie, de asemenea, raportate la p</w:t>
            </w:r>
            <w:r>
              <w:rPr>
                <w:rFonts w:ascii="Times New Roman" w:eastAsia="Times New Roman" w:hAnsi="Times New Roman" w:cs="Times New Roman"/>
                <w:color w:val="000000"/>
                <w:kern w:val="0"/>
                <w:lang w:eastAsia="ro-MD"/>
                <w14:ligatures w14:val="none"/>
              </w:rPr>
              <w:t>os</w:t>
            </w:r>
            <w:r w:rsidRPr="00260C32">
              <w:rPr>
                <w:rFonts w:ascii="Times New Roman" w:eastAsia="Times New Roman" w:hAnsi="Times New Roman" w:cs="Times New Roman"/>
                <w:color w:val="000000"/>
                <w:kern w:val="0"/>
                <w:lang w:eastAsia="ro-MD"/>
                <w14:ligatures w14:val="none"/>
              </w:rPr>
              <w:t>tul 14.1.</w:t>
            </w:r>
          </w:p>
        </w:tc>
        <w:tc>
          <w:tcPr>
            <w:tcW w:w="713" w:type="dxa"/>
          </w:tcPr>
          <w:p w14:paraId="309F328B"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146B93BB" w14:textId="6662DABB" w:rsidTr="00627FFD">
        <w:trPr>
          <w:tblCellSpacing w:w="0" w:type="dxa"/>
        </w:trPr>
        <w:tc>
          <w:tcPr>
            <w:tcW w:w="729" w:type="dxa"/>
            <w:gridSpan w:val="2"/>
            <w:hideMark/>
          </w:tcPr>
          <w:p w14:paraId="3D38B359"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0730</w:t>
            </w:r>
          </w:p>
        </w:tc>
        <w:tc>
          <w:tcPr>
            <w:tcW w:w="8043" w:type="dxa"/>
            <w:hideMark/>
          </w:tcPr>
          <w:p w14:paraId="43453765" w14:textId="4034B1E3"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26</w:t>
            </w:r>
            <w:r w:rsidR="00D244C5"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Dețineri de instrumente de fonduri proprii de nivel 2 ale entităților din sectorul financiar în care banca deține o investiție semnificativă, care fac obiectul unei derogări temporare</w:t>
            </w:r>
          </w:p>
          <w:p w14:paraId="18D8528D" w14:textId="77777777" w:rsidR="00115C61" w:rsidRDefault="00815E38" w:rsidP="006F30A7">
            <w:pPr>
              <w:spacing w:after="0" w:line="240" w:lineRule="auto"/>
              <w:rPr>
                <w:rFonts w:ascii="Arial" w:hAnsi="Arial" w:cs="Arial"/>
              </w:rPr>
            </w:pPr>
            <w:r w:rsidRPr="00B471D3">
              <w:rPr>
                <w:rFonts w:ascii="Times New Roman" w:eastAsia="Times New Roman" w:hAnsi="Times New Roman" w:cs="Times New Roman"/>
                <w:color w:val="000000"/>
                <w:kern w:val="0"/>
                <w:lang w:eastAsia="ro-MD"/>
                <w14:ligatures w14:val="none"/>
              </w:rPr>
              <w:t xml:space="preserve">Punctul </w:t>
            </w:r>
            <w:r>
              <w:rPr>
                <w:rFonts w:ascii="Times New Roman" w:eastAsia="Times New Roman" w:hAnsi="Times New Roman" w:cs="Times New Roman"/>
                <w:color w:val="000000"/>
                <w:kern w:val="0"/>
                <w:lang w:eastAsia="ro-MD"/>
                <w14:ligatures w14:val="none"/>
              </w:rPr>
              <w:t>126</w:t>
            </w:r>
            <w:r w:rsidRPr="00B471D3">
              <w:rPr>
                <w:rFonts w:ascii="Times New Roman" w:eastAsia="Times New Roman" w:hAnsi="Times New Roman" w:cs="Times New Roman"/>
                <w:color w:val="000000"/>
                <w:kern w:val="0"/>
                <w:lang w:eastAsia="ro-MD"/>
                <w14:ligatures w14:val="none"/>
              </w:rPr>
              <w:t xml:space="preserve"> din </w:t>
            </w:r>
            <w:r>
              <w:rPr>
                <w:rFonts w:ascii="Times New Roman" w:eastAsia="Times New Roman" w:hAnsi="Times New Roman" w:cs="Times New Roman"/>
                <w:color w:val="000000"/>
                <w:kern w:val="0"/>
                <w:lang w:eastAsia="ro-MD"/>
                <w14:ligatures w14:val="none"/>
              </w:rPr>
              <w:t>Regulamentul nr.109/2018</w:t>
            </w:r>
            <w:r>
              <w:rPr>
                <w:rFonts w:ascii="Arial" w:hAnsi="Arial" w:cs="Arial"/>
              </w:rPr>
              <w:t xml:space="preserve"> </w:t>
            </w:r>
          </w:p>
          <w:p w14:paraId="118F9819" w14:textId="57B3693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 xml:space="preserve">Banca Națională a Moldovei </w:t>
            </w:r>
            <w:r w:rsidRPr="00260C32">
              <w:rPr>
                <w:rFonts w:ascii="Times New Roman" w:eastAsia="Times New Roman" w:hAnsi="Times New Roman" w:cs="Times New Roman"/>
                <w:color w:val="000000"/>
                <w:kern w:val="0"/>
                <w:lang w:eastAsia="ro-MD"/>
                <w14:ligatures w14:val="none"/>
              </w:rPr>
              <w:t>poate acorda o derogare de la aplicarea dispozițiilor privind deducerile din fondurile proprii de nivel 2 aferente deținerilor de instrumente ale unei anumite entități din sectorul financiar, în cazul în care consideră că aceste dețineri au scopul unei operațiuni de asistență financiară destinate reorganizării și salvării entității respective.</w:t>
            </w:r>
          </w:p>
          <w:p w14:paraId="4CCAA011" w14:textId="2998A6C3"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 se reține faptul că instrumentele respective trebuie, de asemenea, raportate la p</w:t>
            </w:r>
            <w:r>
              <w:rPr>
                <w:rFonts w:ascii="Times New Roman" w:eastAsia="Times New Roman" w:hAnsi="Times New Roman" w:cs="Times New Roman"/>
                <w:color w:val="000000"/>
                <w:kern w:val="0"/>
                <w:lang w:eastAsia="ro-MD"/>
                <w14:ligatures w14:val="none"/>
              </w:rPr>
              <w:t>ost</w:t>
            </w:r>
            <w:r w:rsidRPr="00260C32">
              <w:rPr>
                <w:rFonts w:ascii="Times New Roman" w:eastAsia="Times New Roman" w:hAnsi="Times New Roman" w:cs="Times New Roman"/>
                <w:color w:val="000000"/>
                <w:kern w:val="0"/>
                <w:lang w:eastAsia="ro-MD"/>
                <w14:ligatures w14:val="none"/>
              </w:rPr>
              <w:t>ul 17.1.</w:t>
            </w:r>
          </w:p>
        </w:tc>
        <w:tc>
          <w:tcPr>
            <w:tcW w:w="713" w:type="dxa"/>
          </w:tcPr>
          <w:p w14:paraId="796E28C6"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6E82487D" w14:textId="121F22E7" w:rsidTr="00627FFD">
        <w:trPr>
          <w:tblCellSpacing w:w="0" w:type="dxa"/>
        </w:trPr>
        <w:tc>
          <w:tcPr>
            <w:tcW w:w="729" w:type="dxa"/>
            <w:gridSpan w:val="2"/>
            <w:hideMark/>
          </w:tcPr>
          <w:p w14:paraId="7E0F2174"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0740</w:t>
            </w:r>
          </w:p>
        </w:tc>
        <w:tc>
          <w:tcPr>
            <w:tcW w:w="8043" w:type="dxa"/>
            <w:hideMark/>
          </w:tcPr>
          <w:p w14:paraId="25836C02" w14:textId="44182670"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27</w:t>
            </w:r>
            <w:r w:rsidR="00D244C5"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Cerința de amortizor combinat</w:t>
            </w:r>
          </w:p>
          <w:p w14:paraId="3DD34EC9" w14:textId="282976D2" w:rsidR="00815E38" w:rsidRPr="00115C61" w:rsidRDefault="00B63073" w:rsidP="006F30A7">
            <w:pPr>
              <w:pStyle w:val="lf"/>
              <w:spacing w:before="0" w:beforeAutospacing="0" w:after="0" w:afterAutospacing="0"/>
              <w:rPr>
                <w:color w:val="000000"/>
                <w:sz w:val="22"/>
                <w:szCs w:val="22"/>
              </w:rPr>
            </w:pPr>
            <w:r w:rsidRPr="00855994">
              <w:rPr>
                <w:color w:val="000000"/>
                <w:sz w:val="22"/>
                <w:szCs w:val="22"/>
              </w:rPr>
              <w:t xml:space="preserve"> </w:t>
            </w:r>
            <w:r w:rsidR="00220E8A" w:rsidRPr="00855994">
              <w:rPr>
                <w:color w:val="000000"/>
                <w:sz w:val="22"/>
                <w:szCs w:val="22"/>
              </w:rPr>
              <w:t xml:space="preserve">Punctul </w:t>
            </w:r>
            <w:r w:rsidR="00220E8A">
              <w:rPr>
                <w:color w:val="000000"/>
                <w:sz w:val="22"/>
                <w:szCs w:val="22"/>
              </w:rPr>
              <w:t>3</w:t>
            </w:r>
            <w:r w:rsidR="00220E8A" w:rsidRPr="00855994">
              <w:rPr>
                <w:color w:val="000000"/>
                <w:sz w:val="22"/>
                <w:szCs w:val="22"/>
              </w:rPr>
              <w:t xml:space="preserve"> din Regulamentul nr.110/2018</w:t>
            </w:r>
          </w:p>
        </w:tc>
        <w:tc>
          <w:tcPr>
            <w:tcW w:w="713" w:type="dxa"/>
          </w:tcPr>
          <w:p w14:paraId="4F8AABD8"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CC89FD5" w14:textId="15EF5297" w:rsidTr="00627FFD">
        <w:trPr>
          <w:tblCellSpacing w:w="0" w:type="dxa"/>
        </w:trPr>
        <w:tc>
          <w:tcPr>
            <w:tcW w:w="729" w:type="dxa"/>
            <w:gridSpan w:val="2"/>
            <w:hideMark/>
          </w:tcPr>
          <w:p w14:paraId="1723CA97"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0750</w:t>
            </w:r>
          </w:p>
        </w:tc>
        <w:tc>
          <w:tcPr>
            <w:tcW w:w="8043" w:type="dxa"/>
            <w:hideMark/>
          </w:tcPr>
          <w:p w14:paraId="531FBAFA"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Amortizorul de conservare a capitalului</w:t>
            </w:r>
          </w:p>
          <w:p w14:paraId="770AFC71" w14:textId="77777777" w:rsidR="00CF70FD" w:rsidRDefault="00442C3B" w:rsidP="006F30A7">
            <w:pPr>
              <w:spacing w:after="0" w:line="240" w:lineRule="auto"/>
              <w:rPr>
                <w:rFonts w:ascii="Arial" w:eastAsia="Times New Roman" w:hAnsi="Arial" w:cs="Arial"/>
                <w:kern w:val="0"/>
                <w:sz w:val="24"/>
                <w:szCs w:val="24"/>
                <w:lang w:val="ro-RO" w:eastAsia="ro-RO"/>
                <w14:ligatures w14:val="none"/>
              </w:rPr>
            </w:pPr>
            <w:r w:rsidRPr="00D10E01">
              <w:rPr>
                <w:rFonts w:ascii="Times New Roman" w:eastAsia="Times New Roman" w:hAnsi="Times New Roman" w:cs="Times New Roman"/>
                <w:color w:val="000000"/>
                <w:kern w:val="0"/>
                <w:lang w:eastAsia="ro-MD"/>
                <w14:ligatures w14:val="none"/>
              </w:rPr>
              <w:t>Punct</w:t>
            </w:r>
            <w:r>
              <w:rPr>
                <w:rFonts w:ascii="Times New Roman" w:eastAsia="Times New Roman" w:hAnsi="Times New Roman" w:cs="Times New Roman"/>
                <w:color w:val="000000"/>
                <w:kern w:val="0"/>
                <w:lang w:eastAsia="ro-MD"/>
                <w14:ligatures w14:val="none"/>
              </w:rPr>
              <w:t>ele</w:t>
            </w:r>
            <w:r w:rsidRPr="00D10E01">
              <w:rPr>
                <w:rFonts w:ascii="Times New Roman" w:eastAsia="Times New Roman" w:hAnsi="Times New Roman" w:cs="Times New Roman"/>
                <w:color w:val="000000"/>
                <w:kern w:val="0"/>
                <w:lang w:eastAsia="ro-MD"/>
                <w14:ligatures w14:val="none"/>
              </w:rPr>
              <w:t xml:space="preserve"> </w:t>
            </w:r>
            <w:r w:rsidRPr="00855994">
              <w:rPr>
                <w:rFonts w:ascii="Times New Roman" w:eastAsia="Times New Roman" w:hAnsi="Times New Roman" w:cs="Times New Roman"/>
                <w:color w:val="000000"/>
                <w:kern w:val="0"/>
                <w:lang w:eastAsia="ro-MD"/>
                <w14:ligatures w14:val="none"/>
              </w:rPr>
              <w:t xml:space="preserve">3, </w:t>
            </w:r>
            <w:r w:rsidR="00C64C29">
              <w:rPr>
                <w:rFonts w:ascii="Times New Roman" w:eastAsia="Times New Roman" w:hAnsi="Times New Roman" w:cs="Times New Roman"/>
                <w:color w:val="000000"/>
                <w:kern w:val="0"/>
                <w:lang w:eastAsia="ro-MD"/>
                <w14:ligatures w14:val="none"/>
              </w:rPr>
              <w:t xml:space="preserve">7, </w:t>
            </w:r>
            <w:r w:rsidRPr="00855994">
              <w:rPr>
                <w:rFonts w:ascii="Times New Roman" w:eastAsia="Times New Roman" w:hAnsi="Times New Roman" w:cs="Times New Roman"/>
                <w:color w:val="000000"/>
                <w:kern w:val="0"/>
                <w:lang w:eastAsia="ro-MD"/>
                <w14:ligatures w14:val="none"/>
              </w:rPr>
              <w:t>8 și 9</w:t>
            </w:r>
            <w:r w:rsidRPr="00D10E01">
              <w:rPr>
                <w:rFonts w:ascii="Times New Roman" w:eastAsia="Times New Roman" w:hAnsi="Times New Roman" w:cs="Times New Roman"/>
                <w:color w:val="000000"/>
                <w:kern w:val="0"/>
                <w:lang w:eastAsia="ro-MD"/>
                <w14:ligatures w14:val="none"/>
              </w:rPr>
              <w:t xml:space="preserve"> din </w:t>
            </w:r>
            <w:r w:rsidRPr="00855994">
              <w:rPr>
                <w:rFonts w:ascii="Times New Roman" w:eastAsia="Times New Roman" w:hAnsi="Times New Roman" w:cs="Times New Roman"/>
                <w:color w:val="000000"/>
                <w:kern w:val="0"/>
                <w:lang w:eastAsia="ro-MD"/>
                <w14:ligatures w14:val="none"/>
              </w:rPr>
              <w:t xml:space="preserve">Regulamentul nr.110/2018 </w:t>
            </w:r>
            <w:r w:rsidR="00000D09" w:rsidRPr="00000D09">
              <w:rPr>
                <w:rFonts w:ascii="Arial" w:eastAsia="Times New Roman" w:hAnsi="Arial" w:cs="Arial"/>
                <w:kern w:val="0"/>
                <w:sz w:val="24"/>
                <w:szCs w:val="24"/>
                <w:lang w:val="ro-RO" w:eastAsia="ro-RO"/>
                <w14:ligatures w14:val="none"/>
              </w:rPr>
              <w:t xml:space="preserve"> </w:t>
            </w:r>
          </w:p>
          <w:p w14:paraId="43C051BF" w14:textId="2E4A64D5" w:rsidR="00CF70FD" w:rsidRDefault="00000D09" w:rsidP="006F30A7">
            <w:pPr>
              <w:spacing w:after="0" w:line="240" w:lineRule="auto"/>
              <w:rPr>
                <w:rFonts w:ascii="Times New Roman" w:eastAsia="Times New Roman" w:hAnsi="Times New Roman" w:cs="Times New Roman"/>
                <w:color w:val="000000"/>
                <w:kern w:val="0"/>
                <w:lang w:val="ro-RO" w:eastAsia="ro-MD"/>
                <w14:ligatures w14:val="none"/>
              </w:rPr>
            </w:pPr>
            <w:r w:rsidRPr="00000D09">
              <w:rPr>
                <w:rFonts w:ascii="Times New Roman" w:eastAsia="Times New Roman" w:hAnsi="Times New Roman" w:cs="Times New Roman"/>
                <w:color w:val="000000"/>
                <w:kern w:val="0"/>
                <w:lang w:val="ro-RO" w:eastAsia="ro-MD"/>
                <w14:ligatures w14:val="none"/>
              </w:rPr>
              <w:t xml:space="preserve">Băncile raportează cuantumul amortizorului de conservare a capitalului, calculat în conformitate cu actul normativ al Băncii </w:t>
            </w:r>
            <w:proofErr w:type="spellStart"/>
            <w:r w:rsidRPr="00000D09">
              <w:rPr>
                <w:rFonts w:ascii="Times New Roman" w:eastAsia="Times New Roman" w:hAnsi="Times New Roman" w:cs="Times New Roman"/>
                <w:color w:val="000000"/>
                <w:kern w:val="0"/>
                <w:lang w:val="ro-RO" w:eastAsia="ro-MD"/>
                <w14:ligatures w14:val="none"/>
              </w:rPr>
              <w:t>Naţionale</w:t>
            </w:r>
            <w:proofErr w:type="spellEnd"/>
            <w:r w:rsidRPr="00000D09">
              <w:rPr>
                <w:rFonts w:ascii="Times New Roman" w:eastAsia="Times New Roman" w:hAnsi="Times New Roman" w:cs="Times New Roman"/>
                <w:color w:val="000000"/>
                <w:kern w:val="0"/>
                <w:lang w:val="ro-RO" w:eastAsia="ro-MD"/>
                <w14:ligatures w14:val="none"/>
              </w:rPr>
              <w:t xml:space="preserve"> a Moldovei aferent amortizoarelor de capital ale băncilor</w:t>
            </w:r>
            <w:r>
              <w:rPr>
                <w:rFonts w:ascii="Times New Roman" w:eastAsia="Times New Roman" w:hAnsi="Times New Roman" w:cs="Times New Roman"/>
                <w:color w:val="000000"/>
                <w:kern w:val="0"/>
                <w:lang w:val="ro-RO" w:eastAsia="ro-MD"/>
                <w14:ligatures w14:val="none"/>
              </w:rPr>
              <w:t xml:space="preserve"> - </w:t>
            </w:r>
            <w:r w:rsidRPr="00855994">
              <w:rPr>
                <w:rFonts w:ascii="Times New Roman" w:eastAsia="Times New Roman" w:hAnsi="Times New Roman" w:cs="Times New Roman"/>
                <w:color w:val="000000"/>
                <w:kern w:val="0"/>
                <w:lang w:eastAsia="ro-MD"/>
                <w14:ligatures w14:val="none"/>
              </w:rPr>
              <w:t>Regulamentul nr.110/2018</w:t>
            </w:r>
            <w:r w:rsidRPr="00000D09">
              <w:rPr>
                <w:rFonts w:ascii="Times New Roman" w:eastAsia="Times New Roman" w:hAnsi="Times New Roman" w:cs="Times New Roman"/>
                <w:color w:val="000000"/>
                <w:kern w:val="0"/>
                <w:lang w:val="ro-RO" w:eastAsia="ro-MD"/>
                <w14:ligatures w14:val="none"/>
              </w:rPr>
              <w:t>.</w:t>
            </w:r>
          </w:p>
          <w:p w14:paraId="6AD01BD5" w14:textId="70FF4D24"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În conformitate cu </w:t>
            </w:r>
            <w:r w:rsidR="00442C3B">
              <w:rPr>
                <w:rFonts w:ascii="Times New Roman" w:eastAsia="Times New Roman" w:hAnsi="Times New Roman" w:cs="Times New Roman"/>
                <w:color w:val="000000"/>
                <w:kern w:val="0"/>
                <w:lang w:eastAsia="ro-MD"/>
                <w14:ligatures w14:val="none"/>
              </w:rPr>
              <w:t>p</w:t>
            </w:r>
            <w:r w:rsidR="00442C3B" w:rsidRPr="00D10E01">
              <w:rPr>
                <w:rFonts w:ascii="Times New Roman" w:eastAsia="Times New Roman" w:hAnsi="Times New Roman" w:cs="Times New Roman"/>
                <w:color w:val="000000"/>
                <w:kern w:val="0"/>
                <w:lang w:eastAsia="ro-MD"/>
                <w14:ligatures w14:val="none"/>
              </w:rPr>
              <w:t>unct</w:t>
            </w:r>
            <w:r w:rsidR="00442C3B">
              <w:rPr>
                <w:rFonts w:ascii="Times New Roman" w:eastAsia="Times New Roman" w:hAnsi="Times New Roman" w:cs="Times New Roman"/>
                <w:color w:val="000000"/>
                <w:kern w:val="0"/>
                <w:lang w:eastAsia="ro-MD"/>
                <w14:ligatures w14:val="none"/>
              </w:rPr>
              <w:t>ele 8 și 9</w:t>
            </w:r>
            <w:r w:rsidR="00442C3B" w:rsidRPr="00D10E01">
              <w:rPr>
                <w:rFonts w:ascii="Times New Roman" w:eastAsia="Times New Roman" w:hAnsi="Times New Roman" w:cs="Times New Roman"/>
                <w:color w:val="000000"/>
                <w:kern w:val="0"/>
                <w:lang w:eastAsia="ro-MD"/>
                <w14:ligatures w14:val="none"/>
              </w:rPr>
              <w:t xml:space="preserve"> din </w:t>
            </w:r>
            <w:r w:rsidR="00442C3B" w:rsidRPr="00855994">
              <w:rPr>
                <w:rFonts w:ascii="Times New Roman" w:eastAsia="Times New Roman" w:hAnsi="Times New Roman" w:cs="Times New Roman"/>
                <w:color w:val="000000"/>
                <w:kern w:val="0"/>
                <w:lang w:eastAsia="ro-MD"/>
                <w14:ligatures w14:val="none"/>
              </w:rPr>
              <w:t>Regulamentul nr.110/2018</w:t>
            </w:r>
            <w:r w:rsidRPr="00260C32">
              <w:rPr>
                <w:rFonts w:ascii="Times New Roman" w:eastAsia="Times New Roman" w:hAnsi="Times New Roman" w:cs="Times New Roman"/>
                <w:color w:val="000000"/>
                <w:kern w:val="0"/>
                <w:lang w:eastAsia="ro-MD"/>
                <w14:ligatures w14:val="none"/>
              </w:rPr>
              <w:t>, amortizorul de conservare a capitalului este un cuantum suplimentar de fonduri proprii de nivel 1 de bază. Datorită faptului că rata de 2,5 % a amortizorului de conservare a capitalului este stabilă, pe acest rând trebuie raportat un cuantum.</w:t>
            </w:r>
          </w:p>
        </w:tc>
        <w:tc>
          <w:tcPr>
            <w:tcW w:w="713" w:type="dxa"/>
          </w:tcPr>
          <w:p w14:paraId="19402B85"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658D9894" w14:textId="4DD25DCA" w:rsidTr="00627FFD">
        <w:trPr>
          <w:tblCellSpacing w:w="0" w:type="dxa"/>
        </w:trPr>
        <w:tc>
          <w:tcPr>
            <w:tcW w:w="729" w:type="dxa"/>
            <w:gridSpan w:val="2"/>
            <w:hideMark/>
          </w:tcPr>
          <w:p w14:paraId="47A89D0C" w14:textId="77777777" w:rsidR="00815E38" w:rsidRPr="0004310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043102">
              <w:rPr>
                <w:rFonts w:ascii="Times New Roman" w:eastAsia="Times New Roman" w:hAnsi="Times New Roman" w:cs="Times New Roman"/>
                <w:color w:val="000000"/>
                <w:kern w:val="0"/>
                <w:lang w:eastAsia="ro-MD"/>
                <w14:ligatures w14:val="none"/>
              </w:rPr>
              <w:t>0760</w:t>
            </w:r>
          </w:p>
        </w:tc>
        <w:tc>
          <w:tcPr>
            <w:tcW w:w="8043" w:type="dxa"/>
            <w:hideMark/>
          </w:tcPr>
          <w:p w14:paraId="0563ED27" w14:textId="6C6EC933" w:rsidR="00815E38" w:rsidRPr="0004310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043102">
              <w:rPr>
                <w:rFonts w:ascii="Times New Roman" w:eastAsia="Times New Roman" w:hAnsi="Times New Roman" w:cs="Times New Roman"/>
                <w:color w:val="000000"/>
                <w:kern w:val="0"/>
                <w:lang w:eastAsia="ro-MD"/>
                <w14:ligatures w14:val="none"/>
              </w:rPr>
              <w:t xml:space="preserve">Amortizorul de conservare aferent riscului </w:t>
            </w:r>
            <w:proofErr w:type="spellStart"/>
            <w:r w:rsidRPr="00043102">
              <w:rPr>
                <w:rFonts w:ascii="Times New Roman" w:eastAsia="Times New Roman" w:hAnsi="Times New Roman" w:cs="Times New Roman"/>
                <w:color w:val="000000"/>
                <w:kern w:val="0"/>
                <w:lang w:eastAsia="ro-MD"/>
                <w14:ligatures w14:val="none"/>
              </w:rPr>
              <w:t>macroprudențial</w:t>
            </w:r>
            <w:proofErr w:type="spellEnd"/>
            <w:r w:rsidRPr="00043102">
              <w:rPr>
                <w:rFonts w:ascii="Times New Roman" w:eastAsia="Times New Roman" w:hAnsi="Times New Roman" w:cs="Times New Roman"/>
                <w:color w:val="000000"/>
                <w:kern w:val="0"/>
                <w:lang w:eastAsia="ro-MD"/>
                <w14:ligatures w14:val="none"/>
              </w:rPr>
              <w:t xml:space="preserve"> sau sistemic identificat la nivelul </w:t>
            </w:r>
            <w:r w:rsidRPr="000274C8">
              <w:rPr>
                <w:rFonts w:ascii="Times New Roman" w:eastAsia="Times New Roman" w:hAnsi="Times New Roman" w:cs="Times New Roman"/>
                <w:color w:val="000000"/>
                <w:kern w:val="0"/>
                <w:lang w:eastAsia="ro-MD"/>
                <w14:ligatures w14:val="none"/>
              </w:rPr>
              <w:t>unui stat membru</w:t>
            </w:r>
          </w:p>
        </w:tc>
        <w:tc>
          <w:tcPr>
            <w:tcW w:w="713" w:type="dxa"/>
          </w:tcPr>
          <w:p w14:paraId="1A64EB5F" w14:textId="71D89D1F" w:rsidR="00815E38" w:rsidRPr="00260C32" w:rsidRDefault="00B256A1" w:rsidP="006F30A7">
            <w:pPr>
              <w:spacing w:after="0"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blocat</w:t>
            </w:r>
          </w:p>
        </w:tc>
      </w:tr>
      <w:tr w:rsidR="00815E38" w:rsidRPr="00260C32" w14:paraId="2B3C79D3" w14:textId="2CA65EF3" w:rsidTr="00627FFD">
        <w:trPr>
          <w:tblCellSpacing w:w="0" w:type="dxa"/>
        </w:trPr>
        <w:tc>
          <w:tcPr>
            <w:tcW w:w="729" w:type="dxa"/>
            <w:gridSpan w:val="2"/>
            <w:hideMark/>
          </w:tcPr>
          <w:p w14:paraId="04235470"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0770</w:t>
            </w:r>
          </w:p>
        </w:tc>
        <w:tc>
          <w:tcPr>
            <w:tcW w:w="8043" w:type="dxa"/>
            <w:hideMark/>
          </w:tcPr>
          <w:p w14:paraId="5A6B0B07" w14:textId="18A69241"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Amortizorul </w:t>
            </w:r>
            <w:proofErr w:type="spellStart"/>
            <w:r w:rsidRPr="00260C32">
              <w:rPr>
                <w:rFonts w:ascii="Times New Roman" w:eastAsia="Times New Roman" w:hAnsi="Times New Roman" w:cs="Times New Roman"/>
                <w:color w:val="000000"/>
                <w:kern w:val="0"/>
                <w:lang w:eastAsia="ro-MD"/>
                <w14:ligatures w14:val="none"/>
              </w:rPr>
              <w:t>anticiclic</w:t>
            </w:r>
            <w:proofErr w:type="spellEnd"/>
            <w:r w:rsidRPr="00260C32">
              <w:rPr>
                <w:rFonts w:ascii="Times New Roman" w:eastAsia="Times New Roman" w:hAnsi="Times New Roman" w:cs="Times New Roman"/>
                <w:color w:val="000000"/>
                <w:kern w:val="0"/>
                <w:lang w:eastAsia="ro-MD"/>
                <w14:ligatures w14:val="none"/>
              </w:rPr>
              <w:t xml:space="preserve"> de capital specific </w:t>
            </w:r>
            <w:r>
              <w:rPr>
                <w:rFonts w:ascii="Times New Roman" w:eastAsia="Times New Roman" w:hAnsi="Times New Roman" w:cs="Times New Roman"/>
                <w:color w:val="000000"/>
                <w:kern w:val="0"/>
                <w:lang w:eastAsia="ro-MD"/>
                <w14:ligatures w14:val="none"/>
              </w:rPr>
              <w:t>bănci</w:t>
            </w:r>
            <w:r w:rsidRPr="00260C32">
              <w:rPr>
                <w:rFonts w:ascii="Times New Roman" w:eastAsia="Times New Roman" w:hAnsi="Times New Roman" w:cs="Times New Roman"/>
                <w:color w:val="000000"/>
                <w:kern w:val="0"/>
                <w:lang w:eastAsia="ro-MD"/>
                <w14:ligatures w14:val="none"/>
              </w:rPr>
              <w:t>i</w:t>
            </w:r>
          </w:p>
          <w:p w14:paraId="3A2EA9FF" w14:textId="7DCEA01A" w:rsidR="00CF70FD"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raportat reprezintă cuantumul fondurilor proprii necesare pentru îndeplinirea cerințelor respective privind amortizorul de capital la data de raportare</w:t>
            </w:r>
            <w:r w:rsidR="00B256A1">
              <w:rPr>
                <w:rFonts w:ascii="Times New Roman" w:eastAsia="Times New Roman" w:hAnsi="Times New Roman" w:cs="Times New Roman"/>
                <w:color w:val="000000"/>
                <w:kern w:val="0"/>
                <w:lang w:eastAsia="ro-MD"/>
                <w14:ligatures w14:val="none"/>
              </w:rPr>
              <w:t xml:space="preserve">, </w:t>
            </w:r>
            <w:r w:rsidR="00B256A1" w:rsidRPr="00000D09">
              <w:rPr>
                <w:rFonts w:ascii="Times New Roman" w:eastAsia="Times New Roman" w:hAnsi="Times New Roman" w:cs="Times New Roman"/>
                <w:color w:val="000000"/>
                <w:kern w:val="0"/>
                <w:lang w:val="ro-RO" w:eastAsia="ro-MD"/>
                <w14:ligatures w14:val="none"/>
              </w:rPr>
              <w:t xml:space="preserve">calculat în conformitate cu actul normativ al Băncii </w:t>
            </w:r>
            <w:proofErr w:type="spellStart"/>
            <w:r w:rsidR="00B256A1" w:rsidRPr="00000D09">
              <w:rPr>
                <w:rFonts w:ascii="Times New Roman" w:eastAsia="Times New Roman" w:hAnsi="Times New Roman" w:cs="Times New Roman"/>
                <w:color w:val="000000"/>
                <w:kern w:val="0"/>
                <w:lang w:val="ro-RO" w:eastAsia="ro-MD"/>
                <w14:ligatures w14:val="none"/>
              </w:rPr>
              <w:t>Naţionale</w:t>
            </w:r>
            <w:proofErr w:type="spellEnd"/>
            <w:r w:rsidR="00B256A1" w:rsidRPr="00000D09">
              <w:rPr>
                <w:rFonts w:ascii="Times New Roman" w:eastAsia="Times New Roman" w:hAnsi="Times New Roman" w:cs="Times New Roman"/>
                <w:color w:val="000000"/>
                <w:kern w:val="0"/>
                <w:lang w:val="ro-RO" w:eastAsia="ro-MD"/>
                <w14:ligatures w14:val="none"/>
              </w:rPr>
              <w:t xml:space="preserve"> a Moldovei aferent amortizoarelor de capital ale băncilor</w:t>
            </w:r>
            <w:r w:rsidR="00B256A1">
              <w:rPr>
                <w:rFonts w:ascii="Times New Roman" w:eastAsia="Times New Roman" w:hAnsi="Times New Roman" w:cs="Times New Roman"/>
                <w:color w:val="000000"/>
                <w:kern w:val="0"/>
                <w:lang w:val="ro-RO" w:eastAsia="ro-MD"/>
                <w14:ligatures w14:val="none"/>
              </w:rPr>
              <w:t xml:space="preserve"> - </w:t>
            </w:r>
            <w:r w:rsidR="00B256A1" w:rsidRPr="00855994">
              <w:rPr>
                <w:rFonts w:ascii="Times New Roman" w:eastAsia="Times New Roman" w:hAnsi="Times New Roman" w:cs="Times New Roman"/>
                <w:color w:val="000000"/>
                <w:kern w:val="0"/>
                <w:lang w:eastAsia="ro-MD"/>
                <w14:ligatures w14:val="none"/>
              </w:rPr>
              <w:t>Regulamentul nr.110/2018</w:t>
            </w:r>
            <w:r w:rsidR="00B256A1" w:rsidRPr="00000D09">
              <w:rPr>
                <w:rFonts w:ascii="Times New Roman" w:eastAsia="Times New Roman" w:hAnsi="Times New Roman" w:cs="Times New Roman"/>
                <w:color w:val="000000"/>
                <w:kern w:val="0"/>
                <w:lang w:val="ro-RO" w:eastAsia="ro-MD"/>
                <w14:ligatures w14:val="none"/>
              </w:rPr>
              <w:t>.</w:t>
            </w:r>
          </w:p>
        </w:tc>
        <w:tc>
          <w:tcPr>
            <w:tcW w:w="713" w:type="dxa"/>
          </w:tcPr>
          <w:p w14:paraId="0595560A"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04B73745" w14:textId="4D12753B" w:rsidTr="00627FFD">
        <w:trPr>
          <w:tblCellSpacing w:w="0" w:type="dxa"/>
        </w:trPr>
        <w:tc>
          <w:tcPr>
            <w:tcW w:w="729" w:type="dxa"/>
            <w:gridSpan w:val="2"/>
            <w:hideMark/>
          </w:tcPr>
          <w:p w14:paraId="4A1A537E"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0780</w:t>
            </w:r>
          </w:p>
        </w:tc>
        <w:tc>
          <w:tcPr>
            <w:tcW w:w="8043" w:type="dxa"/>
            <w:hideMark/>
          </w:tcPr>
          <w:p w14:paraId="6F01D952"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Amortizorul de risc sistemic</w:t>
            </w:r>
          </w:p>
          <w:p w14:paraId="1CA518DA" w14:textId="7DF6C2C8"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raportat reprezintă cuantumul fondurilor proprii necesare pentru îndeplinirea cerințelor respective privind amortizorul de capital la data de raportare</w:t>
            </w:r>
            <w:r w:rsidR="00B256A1">
              <w:rPr>
                <w:rFonts w:ascii="Times New Roman" w:eastAsia="Times New Roman" w:hAnsi="Times New Roman" w:cs="Times New Roman"/>
                <w:color w:val="000000"/>
                <w:kern w:val="0"/>
                <w:lang w:eastAsia="ro-MD"/>
                <w14:ligatures w14:val="none"/>
              </w:rPr>
              <w:t xml:space="preserve">, </w:t>
            </w:r>
            <w:r w:rsidR="00B256A1" w:rsidRPr="00000D09">
              <w:rPr>
                <w:rFonts w:ascii="Times New Roman" w:eastAsia="Times New Roman" w:hAnsi="Times New Roman" w:cs="Times New Roman"/>
                <w:color w:val="000000"/>
                <w:kern w:val="0"/>
                <w:lang w:val="ro-RO" w:eastAsia="ro-MD"/>
                <w14:ligatures w14:val="none"/>
              </w:rPr>
              <w:t xml:space="preserve">calculat în </w:t>
            </w:r>
            <w:r w:rsidR="00B256A1" w:rsidRPr="00000D09">
              <w:rPr>
                <w:rFonts w:ascii="Times New Roman" w:eastAsia="Times New Roman" w:hAnsi="Times New Roman" w:cs="Times New Roman"/>
                <w:color w:val="000000"/>
                <w:kern w:val="0"/>
                <w:lang w:val="ro-RO" w:eastAsia="ro-MD"/>
                <w14:ligatures w14:val="none"/>
              </w:rPr>
              <w:lastRenderedPageBreak/>
              <w:t xml:space="preserve">conformitate cu actul normativ al Băncii </w:t>
            </w:r>
            <w:proofErr w:type="spellStart"/>
            <w:r w:rsidR="00B256A1" w:rsidRPr="00000D09">
              <w:rPr>
                <w:rFonts w:ascii="Times New Roman" w:eastAsia="Times New Roman" w:hAnsi="Times New Roman" w:cs="Times New Roman"/>
                <w:color w:val="000000"/>
                <w:kern w:val="0"/>
                <w:lang w:val="ro-RO" w:eastAsia="ro-MD"/>
                <w14:ligatures w14:val="none"/>
              </w:rPr>
              <w:t>Naţionale</w:t>
            </w:r>
            <w:proofErr w:type="spellEnd"/>
            <w:r w:rsidR="00B256A1" w:rsidRPr="00000D09">
              <w:rPr>
                <w:rFonts w:ascii="Times New Roman" w:eastAsia="Times New Roman" w:hAnsi="Times New Roman" w:cs="Times New Roman"/>
                <w:color w:val="000000"/>
                <w:kern w:val="0"/>
                <w:lang w:val="ro-RO" w:eastAsia="ro-MD"/>
                <w14:ligatures w14:val="none"/>
              </w:rPr>
              <w:t xml:space="preserve"> a Moldovei aferent amortizoarelor de capital ale băncilor</w:t>
            </w:r>
            <w:r w:rsidR="00B256A1">
              <w:rPr>
                <w:rFonts w:ascii="Times New Roman" w:eastAsia="Times New Roman" w:hAnsi="Times New Roman" w:cs="Times New Roman"/>
                <w:color w:val="000000"/>
                <w:kern w:val="0"/>
                <w:lang w:val="ro-RO" w:eastAsia="ro-MD"/>
                <w14:ligatures w14:val="none"/>
              </w:rPr>
              <w:t xml:space="preserve"> - </w:t>
            </w:r>
            <w:r w:rsidR="00B256A1" w:rsidRPr="00855994">
              <w:rPr>
                <w:rFonts w:ascii="Times New Roman" w:eastAsia="Times New Roman" w:hAnsi="Times New Roman" w:cs="Times New Roman"/>
                <w:color w:val="000000"/>
                <w:kern w:val="0"/>
                <w:lang w:eastAsia="ro-MD"/>
                <w14:ligatures w14:val="none"/>
              </w:rPr>
              <w:t>Regulamentul nr.110/2018</w:t>
            </w:r>
            <w:r w:rsidRPr="00260C32">
              <w:rPr>
                <w:rFonts w:ascii="Times New Roman" w:eastAsia="Times New Roman" w:hAnsi="Times New Roman" w:cs="Times New Roman"/>
                <w:color w:val="000000"/>
                <w:kern w:val="0"/>
                <w:lang w:eastAsia="ro-MD"/>
                <w14:ligatures w14:val="none"/>
              </w:rPr>
              <w:t>.</w:t>
            </w:r>
          </w:p>
        </w:tc>
        <w:tc>
          <w:tcPr>
            <w:tcW w:w="713" w:type="dxa"/>
          </w:tcPr>
          <w:p w14:paraId="582829BB"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4A2DF28A" w14:textId="17D5C7D9" w:rsidTr="00627FFD">
        <w:trPr>
          <w:tblCellSpacing w:w="0" w:type="dxa"/>
        </w:trPr>
        <w:tc>
          <w:tcPr>
            <w:tcW w:w="729" w:type="dxa"/>
            <w:gridSpan w:val="2"/>
            <w:hideMark/>
          </w:tcPr>
          <w:p w14:paraId="03CFFDE7"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0800</w:t>
            </w:r>
          </w:p>
        </w:tc>
        <w:tc>
          <w:tcPr>
            <w:tcW w:w="8043" w:type="dxa"/>
            <w:hideMark/>
          </w:tcPr>
          <w:p w14:paraId="5D4C445C" w14:textId="1D245147" w:rsidR="00815E38" w:rsidRPr="00855994" w:rsidRDefault="00815E38" w:rsidP="006F30A7">
            <w:pPr>
              <w:spacing w:after="0" w:line="240" w:lineRule="auto"/>
              <w:rPr>
                <w:rFonts w:ascii="Times New Roman" w:eastAsia="Times New Roman" w:hAnsi="Times New Roman" w:cs="Times New Roman"/>
                <w:color w:val="000000"/>
                <w:kern w:val="0"/>
                <w:lang w:val="ro-RO" w:eastAsia="ro-MD"/>
                <w14:ligatures w14:val="none"/>
              </w:rPr>
            </w:pPr>
            <w:r w:rsidRPr="00260C32">
              <w:rPr>
                <w:rFonts w:ascii="Times New Roman" w:eastAsia="Times New Roman" w:hAnsi="Times New Roman" w:cs="Times New Roman"/>
                <w:color w:val="000000"/>
                <w:kern w:val="0"/>
                <w:lang w:eastAsia="ro-MD"/>
                <w14:ligatures w14:val="none"/>
              </w:rPr>
              <w:t>Amortizorul instituțiilor globale de importanță sistemică</w:t>
            </w:r>
          </w:p>
          <w:p w14:paraId="32BAFAA2" w14:textId="5A331239"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raportat reprezintă cuantumul fondurilor proprii necesare pentru îndeplinirea cerințelor respective privind amortizorul de capital la data de raportare</w:t>
            </w:r>
            <w:r w:rsidR="00B256A1">
              <w:rPr>
                <w:rFonts w:ascii="Times New Roman" w:eastAsia="Times New Roman" w:hAnsi="Times New Roman" w:cs="Times New Roman"/>
                <w:color w:val="000000"/>
                <w:kern w:val="0"/>
                <w:lang w:eastAsia="ro-MD"/>
                <w14:ligatures w14:val="none"/>
              </w:rPr>
              <w:t xml:space="preserve">, </w:t>
            </w:r>
            <w:r w:rsidR="00B256A1" w:rsidRPr="00000D09">
              <w:rPr>
                <w:rFonts w:ascii="Times New Roman" w:eastAsia="Times New Roman" w:hAnsi="Times New Roman" w:cs="Times New Roman"/>
                <w:color w:val="000000"/>
                <w:kern w:val="0"/>
                <w:lang w:val="ro-RO" w:eastAsia="ro-MD"/>
                <w14:ligatures w14:val="none"/>
              </w:rPr>
              <w:t xml:space="preserve">calculat în conformitate cu actul normativ al Băncii </w:t>
            </w:r>
            <w:proofErr w:type="spellStart"/>
            <w:r w:rsidR="00B256A1" w:rsidRPr="00000D09">
              <w:rPr>
                <w:rFonts w:ascii="Times New Roman" w:eastAsia="Times New Roman" w:hAnsi="Times New Roman" w:cs="Times New Roman"/>
                <w:color w:val="000000"/>
                <w:kern w:val="0"/>
                <w:lang w:val="ro-RO" w:eastAsia="ro-MD"/>
                <w14:ligatures w14:val="none"/>
              </w:rPr>
              <w:t>Naţionale</w:t>
            </w:r>
            <w:proofErr w:type="spellEnd"/>
            <w:r w:rsidR="00B256A1" w:rsidRPr="00000D09">
              <w:rPr>
                <w:rFonts w:ascii="Times New Roman" w:eastAsia="Times New Roman" w:hAnsi="Times New Roman" w:cs="Times New Roman"/>
                <w:color w:val="000000"/>
                <w:kern w:val="0"/>
                <w:lang w:val="ro-RO" w:eastAsia="ro-MD"/>
                <w14:ligatures w14:val="none"/>
              </w:rPr>
              <w:t xml:space="preserve"> a Moldovei aferent amortizoarelor de capital ale băncilor</w:t>
            </w:r>
            <w:r w:rsidR="00B256A1">
              <w:rPr>
                <w:rFonts w:ascii="Times New Roman" w:eastAsia="Times New Roman" w:hAnsi="Times New Roman" w:cs="Times New Roman"/>
                <w:color w:val="000000"/>
                <w:kern w:val="0"/>
                <w:lang w:val="ro-RO" w:eastAsia="ro-MD"/>
                <w14:ligatures w14:val="none"/>
              </w:rPr>
              <w:t xml:space="preserve"> - </w:t>
            </w:r>
            <w:r w:rsidR="00B256A1" w:rsidRPr="00855994">
              <w:rPr>
                <w:rFonts w:ascii="Times New Roman" w:eastAsia="Times New Roman" w:hAnsi="Times New Roman" w:cs="Times New Roman"/>
                <w:color w:val="000000"/>
                <w:kern w:val="0"/>
                <w:lang w:eastAsia="ro-MD"/>
                <w14:ligatures w14:val="none"/>
              </w:rPr>
              <w:t>Regulamentul nr.110/2018</w:t>
            </w:r>
            <w:r w:rsidRPr="00260C32">
              <w:rPr>
                <w:rFonts w:ascii="Times New Roman" w:eastAsia="Times New Roman" w:hAnsi="Times New Roman" w:cs="Times New Roman"/>
                <w:color w:val="000000"/>
                <w:kern w:val="0"/>
                <w:lang w:eastAsia="ro-MD"/>
                <w14:ligatures w14:val="none"/>
              </w:rPr>
              <w:t>.</w:t>
            </w:r>
          </w:p>
        </w:tc>
        <w:tc>
          <w:tcPr>
            <w:tcW w:w="713" w:type="dxa"/>
          </w:tcPr>
          <w:p w14:paraId="7F608C4C" w14:textId="66922CEE"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1CA11922" w14:textId="35F32FDA" w:rsidTr="00627FFD">
        <w:trPr>
          <w:tblCellSpacing w:w="0" w:type="dxa"/>
        </w:trPr>
        <w:tc>
          <w:tcPr>
            <w:tcW w:w="729" w:type="dxa"/>
            <w:gridSpan w:val="2"/>
            <w:hideMark/>
          </w:tcPr>
          <w:p w14:paraId="5FBE823B"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0810</w:t>
            </w:r>
          </w:p>
        </w:tc>
        <w:tc>
          <w:tcPr>
            <w:tcW w:w="8043" w:type="dxa"/>
            <w:hideMark/>
          </w:tcPr>
          <w:p w14:paraId="2A96F311" w14:textId="56714EF5"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Amortizorul altor </w:t>
            </w:r>
            <w:r w:rsidR="00B7782A">
              <w:rPr>
                <w:rFonts w:ascii="Times New Roman" w:eastAsia="Times New Roman" w:hAnsi="Times New Roman" w:cs="Times New Roman"/>
                <w:color w:val="000000"/>
                <w:kern w:val="0"/>
                <w:lang w:eastAsia="ro-MD"/>
                <w14:ligatures w14:val="none"/>
              </w:rPr>
              <w:t>societăți</w:t>
            </w:r>
            <w:r w:rsidRPr="00260C32">
              <w:rPr>
                <w:rFonts w:ascii="Times New Roman" w:eastAsia="Times New Roman" w:hAnsi="Times New Roman" w:cs="Times New Roman"/>
                <w:color w:val="000000"/>
                <w:kern w:val="0"/>
                <w:lang w:eastAsia="ro-MD"/>
                <w14:ligatures w14:val="none"/>
              </w:rPr>
              <w:t xml:space="preserve"> de importanță sistemică</w:t>
            </w:r>
          </w:p>
          <w:p w14:paraId="65DAF976" w14:textId="18B66DB5"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Cuantumul raportat reprezintă cuantumul fondurilor proprii necesare pentru îndeplinirea cerințelor respective privind amortizorul de capital la data de raportare</w:t>
            </w:r>
            <w:r w:rsidR="00B256A1">
              <w:rPr>
                <w:rFonts w:ascii="Times New Roman" w:eastAsia="Times New Roman" w:hAnsi="Times New Roman" w:cs="Times New Roman"/>
                <w:color w:val="000000"/>
                <w:kern w:val="0"/>
                <w:lang w:eastAsia="ro-MD"/>
                <w14:ligatures w14:val="none"/>
              </w:rPr>
              <w:t xml:space="preserve">, </w:t>
            </w:r>
            <w:r w:rsidR="00B256A1" w:rsidRPr="00000D09">
              <w:rPr>
                <w:rFonts w:ascii="Times New Roman" w:eastAsia="Times New Roman" w:hAnsi="Times New Roman" w:cs="Times New Roman"/>
                <w:color w:val="000000"/>
                <w:kern w:val="0"/>
                <w:lang w:val="ro-RO" w:eastAsia="ro-MD"/>
                <w14:ligatures w14:val="none"/>
              </w:rPr>
              <w:t xml:space="preserve">calculat în conformitate cu actul normativ al Băncii </w:t>
            </w:r>
            <w:proofErr w:type="spellStart"/>
            <w:r w:rsidR="00B256A1" w:rsidRPr="00000D09">
              <w:rPr>
                <w:rFonts w:ascii="Times New Roman" w:eastAsia="Times New Roman" w:hAnsi="Times New Roman" w:cs="Times New Roman"/>
                <w:color w:val="000000"/>
                <w:kern w:val="0"/>
                <w:lang w:val="ro-RO" w:eastAsia="ro-MD"/>
                <w14:ligatures w14:val="none"/>
              </w:rPr>
              <w:t>Naţionale</w:t>
            </w:r>
            <w:proofErr w:type="spellEnd"/>
            <w:r w:rsidR="00B256A1" w:rsidRPr="00000D09">
              <w:rPr>
                <w:rFonts w:ascii="Times New Roman" w:eastAsia="Times New Roman" w:hAnsi="Times New Roman" w:cs="Times New Roman"/>
                <w:color w:val="000000"/>
                <w:kern w:val="0"/>
                <w:lang w:val="ro-RO" w:eastAsia="ro-MD"/>
                <w14:ligatures w14:val="none"/>
              </w:rPr>
              <w:t xml:space="preserve"> a Moldovei aferent amortizoarelor de capital ale băncilor</w:t>
            </w:r>
            <w:r w:rsidR="00B256A1">
              <w:rPr>
                <w:rFonts w:ascii="Times New Roman" w:eastAsia="Times New Roman" w:hAnsi="Times New Roman" w:cs="Times New Roman"/>
                <w:color w:val="000000"/>
                <w:kern w:val="0"/>
                <w:lang w:val="ro-RO" w:eastAsia="ro-MD"/>
                <w14:ligatures w14:val="none"/>
              </w:rPr>
              <w:t xml:space="preserve"> - </w:t>
            </w:r>
            <w:r w:rsidR="00B256A1" w:rsidRPr="00855994">
              <w:rPr>
                <w:rFonts w:ascii="Times New Roman" w:eastAsia="Times New Roman" w:hAnsi="Times New Roman" w:cs="Times New Roman"/>
                <w:color w:val="000000"/>
                <w:kern w:val="0"/>
                <w:lang w:eastAsia="ro-MD"/>
                <w14:ligatures w14:val="none"/>
              </w:rPr>
              <w:t>Regulamentul nr.110/2018</w:t>
            </w:r>
            <w:r w:rsidRPr="00260C32">
              <w:rPr>
                <w:rFonts w:ascii="Times New Roman" w:eastAsia="Times New Roman" w:hAnsi="Times New Roman" w:cs="Times New Roman"/>
                <w:color w:val="000000"/>
                <w:kern w:val="0"/>
                <w:lang w:eastAsia="ro-MD"/>
                <w14:ligatures w14:val="none"/>
              </w:rPr>
              <w:t>.</w:t>
            </w:r>
          </w:p>
        </w:tc>
        <w:tc>
          <w:tcPr>
            <w:tcW w:w="713" w:type="dxa"/>
          </w:tcPr>
          <w:p w14:paraId="4D7F9BEE" w14:textId="59BF32F2"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6F37D35E" w14:textId="338DDC38" w:rsidTr="00627FFD">
        <w:trPr>
          <w:tblCellSpacing w:w="0" w:type="dxa"/>
        </w:trPr>
        <w:tc>
          <w:tcPr>
            <w:tcW w:w="729" w:type="dxa"/>
            <w:gridSpan w:val="2"/>
            <w:hideMark/>
          </w:tcPr>
          <w:p w14:paraId="6B4DEB17" w14:textId="77777777"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0820</w:t>
            </w:r>
          </w:p>
        </w:tc>
        <w:tc>
          <w:tcPr>
            <w:tcW w:w="8043" w:type="dxa"/>
            <w:hideMark/>
          </w:tcPr>
          <w:p w14:paraId="2740C4F9" w14:textId="255A7332" w:rsidR="00815E38" w:rsidRPr="007874EE" w:rsidRDefault="00815E38" w:rsidP="006F30A7">
            <w:pPr>
              <w:spacing w:after="0" w:line="240" w:lineRule="auto"/>
              <w:rPr>
                <w:rFonts w:ascii="Times New Roman" w:eastAsia="Times New Roman" w:hAnsi="Times New Roman" w:cs="Times New Roman"/>
                <w:b/>
                <w:bCs/>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28</w:t>
            </w:r>
            <w:r w:rsidR="00B63073"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Cerințele de fonduri proprii aferente ajustărilor prevăzute de pilonul II</w:t>
            </w:r>
          </w:p>
          <w:p w14:paraId="7AD1426B" w14:textId="6E5C3201" w:rsidR="00815E38" w:rsidRPr="00260C32" w:rsidRDefault="00270F6E" w:rsidP="006F30A7">
            <w:pPr>
              <w:spacing w:after="0"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Articolul 139</w:t>
            </w:r>
            <w:r w:rsidRPr="00CF70FD">
              <w:rPr>
                <w:rFonts w:ascii="Times New Roman" w:eastAsia="Times New Roman" w:hAnsi="Times New Roman" w:cs="Times New Roman"/>
                <w:color w:val="000000"/>
                <w:kern w:val="0"/>
                <w:vertAlign w:val="superscript"/>
                <w:lang w:eastAsia="ro-MD"/>
                <w14:ligatures w14:val="none"/>
              </w:rPr>
              <w:t>1</w:t>
            </w:r>
            <w:r>
              <w:rPr>
                <w:rFonts w:ascii="Times New Roman" w:eastAsia="Times New Roman" w:hAnsi="Times New Roman" w:cs="Times New Roman"/>
                <w:color w:val="000000"/>
                <w:kern w:val="0"/>
                <w:lang w:eastAsia="ro-MD"/>
                <w14:ligatures w14:val="none"/>
              </w:rPr>
              <w:t xml:space="preserve"> alineatul (1) litera f) din Legea nr. 202/2017 </w:t>
            </w:r>
          </w:p>
          <w:p w14:paraId="48EE0B64" w14:textId="7C60E50E" w:rsidR="00815E38" w:rsidRPr="00260C32" w:rsidRDefault="00815E38" w:rsidP="006F30A7">
            <w:pPr>
              <w:spacing w:after="0"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 xml:space="preserve">În cazul în care </w:t>
            </w:r>
            <w:r w:rsidR="009C2894">
              <w:rPr>
                <w:rFonts w:ascii="Times New Roman" w:eastAsia="Times New Roman" w:hAnsi="Times New Roman" w:cs="Times New Roman"/>
                <w:color w:val="000000"/>
                <w:kern w:val="0"/>
                <w:lang w:eastAsia="ro-MD"/>
                <w14:ligatures w14:val="none"/>
              </w:rPr>
              <w:t>Banca Na</w:t>
            </w:r>
            <w:proofErr w:type="spellStart"/>
            <w:r w:rsidR="009C2894">
              <w:rPr>
                <w:rFonts w:ascii="Times New Roman" w:eastAsia="Times New Roman" w:hAnsi="Times New Roman" w:cs="Times New Roman"/>
                <w:color w:val="000000"/>
                <w:kern w:val="0"/>
                <w:lang w:val="ro-RO" w:eastAsia="ro-MD"/>
                <w14:ligatures w14:val="none"/>
              </w:rPr>
              <w:t>țională</w:t>
            </w:r>
            <w:proofErr w:type="spellEnd"/>
            <w:r w:rsidR="009C2894">
              <w:rPr>
                <w:rFonts w:ascii="Times New Roman" w:eastAsia="Times New Roman" w:hAnsi="Times New Roman" w:cs="Times New Roman"/>
                <w:color w:val="000000"/>
                <w:kern w:val="0"/>
                <w:lang w:val="ro-RO" w:eastAsia="ro-MD"/>
                <w14:ligatures w14:val="none"/>
              </w:rPr>
              <w:t xml:space="preserve"> a Moldovei</w:t>
            </w:r>
            <w:r w:rsidRPr="00260C32">
              <w:rPr>
                <w:rFonts w:ascii="Times New Roman" w:eastAsia="Times New Roman" w:hAnsi="Times New Roman" w:cs="Times New Roman"/>
                <w:color w:val="000000"/>
                <w:kern w:val="0"/>
                <w:lang w:eastAsia="ro-MD"/>
                <w14:ligatures w14:val="none"/>
              </w:rPr>
              <w:t xml:space="preserve"> decide că o instituție trebuie să calculeze cerințe de fonduri proprii suplimentare din motive legate de pilonul II, aceste cerințe de fonduri proprii suplimentare se raportează pe acest rând.</w:t>
            </w:r>
          </w:p>
        </w:tc>
        <w:tc>
          <w:tcPr>
            <w:tcW w:w="713" w:type="dxa"/>
          </w:tcPr>
          <w:p w14:paraId="64461341" w14:textId="77777777" w:rsidR="00815E38" w:rsidRPr="00260C32" w:rsidRDefault="00815E38" w:rsidP="006F30A7">
            <w:pPr>
              <w:spacing w:after="0" w:line="240" w:lineRule="auto"/>
              <w:jc w:val="center"/>
              <w:rPr>
                <w:rFonts w:ascii="Times New Roman" w:eastAsia="Times New Roman" w:hAnsi="Times New Roman" w:cs="Times New Roman"/>
                <w:color w:val="000000"/>
                <w:kern w:val="0"/>
                <w:lang w:eastAsia="ro-MD"/>
                <w14:ligatures w14:val="none"/>
              </w:rPr>
            </w:pPr>
          </w:p>
        </w:tc>
      </w:tr>
      <w:tr w:rsidR="00815E38" w:rsidRPr="00260C32" w14:paraId="640646E0" w14:textId="6F5D8651" w:rsidTr="00627FFD">
        <w:trPr>
          <w:tblCellSpacing w:w="0" w:type="dxa"/>
        </w:trPr>
        <w:tc>
          <w:tcPr>
            <w:tcW w:w="729" w:type="dxa"/>
            <w:gridSpan w:val="2"/>
            <w:hideMark/>
          </w:tcPr>
          <w:p w14:paraId="4BB4A765" w14:textId="77777777" w:rsidR="00815E38" w:rsidRPr="00260C32" w:rsidRDefault="00815E38" w:rsidP="00061B39">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0830</w:t>
            </w:r>
          </w:p>
        </w:tc>
        <w:tc>
          <w:tcPr>
            <w:tcW w:w="8043" w:type="dxa"/>
            <w:hideMark/>
          </w:tcPr>
          <w:p w14:paraId="081D3852" w14:textId="5A7C381B" w:rsidR="00815E38" w:rsidRPr="00260C32" w:rsidRDefault="00815E38" w:rsidP="00CF70F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29</w:t>
            </w:r>
            <w:r w:rsidR="00B63073"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Capital inițial</w:t>
            </w:r>
          </w:p>
        </w:tc>
        <w:tc>
          <w:tcPr>
            <w:tcW w:w="713" w:type="dxa"/>
          </w:tcPr>
          <w:p w14:paraId="71F6CC3B" w14:textId="239BD381" w:rsidR="00815E38" w:rsidRPr="00260C32" w:rsidRDefault="00A53564" w:rsidP="00061B39">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blocat</w:t>
            </w:r>
          </w:p>
        </w:tc>
      </w:tr>
      <w:tr w:rsidR="00815E38" w:rsidRPr="00260C32" w14:paraId="07ACC05F" w14:textId="2405E88C" w:rsidTr="00627FFD">
        <w:trPr>
          <w:tblCellSpacing w:w="0" w:type="dxa"/>
        </w:trPr>
        <w:tc>
          <w:tcPr>
            <w:tcW w:w="729" w:type="dxa"/>
            <w:gridSpan w:val="2"/>
            <w:hideMark/>
          </w:tcPr>
          <w:p w14:paraId="5FD9FC34" w14:textId="77777777" w:rsidR="00815E38" w:rsidRPr="00260C32" w:rsidRDefault="00815E38" w:rsidP="00061B39">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0840</w:t>
            </w:r>
          </w:p>
        </w:tc>
        <w:tc>
          <w:tcPr>
            <w:tcW w:w="8043" w:type="dxa"/>
            <w:hideMark/>
          </w:tcPr>
          <w:p w14:paraId="3AB9DEFF" w14:textId="62340FCB" w:rsidR="00815E38" w:rsidRPr="00260C32" w:rsidRDefault="00815E38" w:rsidP="00CF70F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7874EE">
              <w:rPr>
                <w:rFonts w:ascii="Times New Roman" w:eastAsia="Times New Roman" w:hAnsi="Times New Roman" w:cs="Times New Roman"/>
                <w:b/>
                <w:bCs/>
                <w:color w:val="000000"/>
                <w:kern w:val="0"/>
                <w:lang w:eastAsia="ro-MD"/>
                <w14:ligatures w14:val="none"/>
              </w:rPr>
              <w:t>30</w:t>
            </w:r>
            <w:r w:rsidR="00B63073" w:rsidRPr="007874EE">
              <w:rPr>
                <w:rFonts w:ascii="Times New Roman" w:eastAsia="Times New Roman" w:hAnsi="Times New Roman" w:cs="Times New Roman"/>
                <w:b/>
                <w:bCs/>
                <w:color w:val="000000"/>
                <w:kern w:val="0"/>
                <w:lang w:eastAsia="ro-MD"/>
                <w14:ligatures w14:val="none"/>
              </w:rPr>
              <w:t>.</w:t>
            </w:r>
            <w:r w:rsidRPr="007874EE">
              <w:rPr>
                <w:rFonts w:ascii="Times New Roman" w:eastAsia="Times New Roman" w:hAnsi="Times New Roman" w:cs="Times New Roman"/>
                <w:b/>
                <w:bCs/>
                <w:color w:val="000000"/>
                <w:kern w:val="0"/>
                <w:lang w:eastAsia="ro-MD"/>
                <w14:ligatures w14:val="none"/>
              </w:rPr>
              <w:t> Fonduri proprii bazate pe cheltuieli generale fixe</w:t>
            </w:r>
          </w:p>
        </w:tc>
        <w:tc>
          <w:tcPr>
            <w:tcW w:w="713" w:type="dxa"/>
          </w:tcPr>
          <w:p w14:paraId="11B7191B" w14:textId="765B4878" w:rsidR="00815E38" w:rsidRPr="00260C32" w:rsidRDefault="00A53564" w:rsidP="00061B39">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blocat</w:t>
            </w:r>
          </w:p>
        </w:tc>
      </w:tr>
      <w:tr w:rsidR="00627FFD" w:rsidRPr="00260C32" w14:paraId="23E8FB9A" w14:textId="384AD6E8" w:rsidTr="00627FFD">
        <w:trPr>
          <w:tblCellSpacing w:w="0" w:type="dxa"/>
        </w:trPr>
        <w:tc>
          <w:tcPr>
            <w:tcW w:w="729" w:type="dxa"/>
            <w:gridSpan w:val="2"/>
            <w:hideMark/>
          </w:tcPr>
          <w:p w14:paraId="095CA6ED" w14:textId="77777777" w:rsidR="00627FFD" w:rsidRPr="00260C32" w:rsidRDefault="00627FFD" w:rsidP="00627FF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0850</w:t>
            </w:r>
          </w:p>
        </w:tc>
        <w:tc>
          <w:tcPr>
            <w:tcW w:w="8043" w:type="dxa"/>
            <w:hideMark/>
          </w:tcPr>
          <w:p w14:paraId="48EF6B02" w14:textId="3555CB29" w:rsidR="00627FFD" w:rsidRPr="005A370D" w:rsidRDefault="00627FFD" w:rsidP="00CF70F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31. Expuneri inițiale, altele decât cele interne</w:t>
            </w:r>
          </w:p>
        </w:tc>
        <w:tc>
          <w:tcPr>
            <w:tcW w:w="713" w:type="dxa"/>
          </w:tcPr>
          <w:p w14:paraId="2A2361AB" w14:textId="1A20CFAE" w:rsidR="00627FFD" w:rsidRPr="00260C32" w:rsidRDefault="00627FFD" w:rsidP="00627FFD">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AF6E49">
              <w:rPr>
                <w:rFonts w:ascii="Times New Roman" w:eastAsia="Times New Roman" w:hAnsi="Times New Roman" w:cs="Times New Roman"/>
                <w:color w:val="000000"/>
                <w:kern w:val="0"/>
                <w:lang w:eastAsia="ro-MD"/>
                <w14:ligatures w14:val="none"/>
              </w:rPr>
              <w:t>blocat</w:t>
            </w:r>
          </w:p>
        </w:tc>
      </w:tr>
      <w:tr w:rsidR="00627FFD" w:rsidRPr="00260C32" w14:paraId="3899D5B0" w14:textId="2A66995D" w:rsidTr="00627FFD">
        <w:trPr>
          <w:tblCellSpacing w:w="0" w:type="dxa"/>
        </w:trPr>
        <w:tc>
          <w:tcPr>
            <w:tcW w:w="729" w:type="dxa"/>
            <w:gridSpan w:val="2"/>
            <w:hideMark/>
          </w:tcPr>
          <w:p w14:paraId="3C090E8C" w14:textId="77777777" w:rsidR="00627FFD" w:rsidRPr="00260C32" w:rsidRDefault="00627FFD" w:rsidP="00627FF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260C32">
              <w:rPr>
                <w:rFonts w:ascii="Times New Roman" w:eastAsia="Times New Roman" w:hAnsi="Times New Roman" w:cs="Times New Roman"/>
                <w:color w:val="000000"/>
                <w:kern w:val="0"/>
                <w:lang w:eastAsia="ro-MD"/>
                <w14:ligatures w14:val="none"/>
              </w:rPr>
              <w:t>0860</w:t>
            </w:r>
          </w:p>
        </w:tc>
        <w:tc>
          <w:tcPr>
            <w:tcW w:w="8043" w:type="dxa"/>
            <w:hideMark/>
          </w:tcPr>
          <w:p w14:paraId="53DF4D00" w14:textId="5F36CC08" w:rsidR="00627FFD" w:rsidRPr="00B74513" w:rsidRDefault="00627FFD" w:rsidP="00CF70F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sidRPr="00B74513">
              <w:rPr>
                <w:rFonts w:ascii="Times New Roman" w:eastAsia="Times New Roman" w:hAnsi="Times New Roman" w:cs="Times New Roman"/>
                <w:b/>
                <w:bCs/>
                <w:color w:val="000000"/>
                <w:kern w:val="0"/>
                <w:lang w:eastAsia="ro-MD"/>
                <w14:ligatures w14:val="none"/>
              </w:rPr>
              <w:t>32. Total expuneri inițiale</w:t>
            </w:r>
          </w:p>
        </w:tc>
        <w:tc>
          <w:tcPr>
            <w:tcW w:w="713" w:type="dxa"/>
          </w:tcPr>
          <w:p w14:paraId="3D166020" w14:textId="678CE2BA" w:rsidR="00627FFD" w:rsidRPr="00260C32" w:rsidRDefault="00627FFD" w:rsidP="00627FFD">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AF6E49">
              <w:rPr>
                <w:rFonts w:ascii="Times New Roman" w:eastAsia="Times New Roman" w:hAnsi="Times New Roman" w:cs="Times New Roman"/>
                <w:color w:val="000000"/>
                <w:kern w:val="0"/>
                <w:lang w:eastAsia="ro-MD"/>
                <w14:ligatures w14:val="none"/>
              </w:rPr>
              <w:t>blocat</w:t>
            </w:r>
          </w:p>
        </w:tc>
      </w:tr>
      <w:tr w:rsidR="00627FFD" w:rsidRPr="00260C32" w14:paraId="1934FCE6" w14:textId="77777777" w:rsidTr="00627FFD">
        <w:trPr>
          <w:tblCellSpacing w:w="0" w:type="dxa"/>
        </w:trPr>
        <w:tc>
          <w:tcPr>
            <w:tcW w:w="729" w:type="dxa"/>
            <w:gridSpan w:val="2"/>
          </w:tcPr>
          <w:p w14:paraId="53A2C425" w14:textId="5AE474EA" w:rsidR="00627FFD" w:rsidRPr="00260C32" w:rsidRDefault="00627FFD" w:rsidP="00627FF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0870</w:t>
            </w:r>
          </w:p>
        </w:tc>
        <w:tc>
          <w:tcPr>
            <w:tcW w:w="8043" w:type="dxa"/>
          </w:tcPr>
          <w:p w14:paraId="264BA964" w14:textId="0302D8AD" w:rsidR="00627FFD" w:rsidRPr="005A370D" w:rsidRDefault="00627FFD" w:rsidP="00A84D2B">
            <w:pPr>
              <w:pStyle w:val="InstructionsText"/>
              <w:rPr>
                <w:color w:val="000000"/>
                <w:lang w:eastAsia="ro-MD"/>
              </w:rPr>
            </w:pPr>
            <w:r w:rsidRPr="00B74513">
              <w:rPr>
                <w:rStyle w:val="InstructionsTabelleberschrift"/>
                <w:rFonts w:ascii="Times New Roman" w:hAnsi="Times New Roman"/>
                <w:sz w:val="22"/>
                <w:u w:val="none"/>
              </w:rPr>
              <w:t>33.  Ajustarea la pragul minim înainte de aplicarea plafonului tranzitoriu</w:t>
            </w:r>
          </w:p>
        </w:tc>
        <w:tc>
          <w:tcPr>
            <w:tcW w:w="713" w:type="dxa"/>
          </w:tcPr>
          <w:p w14:paraId="3FAE3506" w14:textId="773C021E" w:rsidR="00627FFD" w:rsidRPr="00260C32" w:rsidRDefault="00627FFD" w:rsidP="00627FFD">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AF6E49">
              <w:rPr>
                <w:rFonts w:ascii="Times New Roman" w:eastAsia="Times New Roman" w:hAnsi="Times New Roman" w:cs="Times New Roman"/>
                <w:color w:val="000000"/>
                <w:kern w:val="0"/>
                <w:lang w:eastAsia="ro-MD"/>
                <w14:ligatures w14:val="none"/>
              </w:rPr>
              <w:t>blocat</w:t>
            </w:r>
          </w:p>
        </w:tc>
      </w:tr>
      <w:tr w:rsidR="00627FFD" w:rsidRPr="00260C32" w14:paraId="10CCF739" w14:textId="77777777" w:rsidTr="00627FFD">
        <w:trPr>
          <w:tblCellSpacing w:w="0" w:type="dxa"/>
        </w:trPr>
        <w:tc>
          <w:tcPr>
            <w:tcW w:w="729" w:type="dxa"/>
            <w:gridSpan w:val="2"/>
          </w:tcPr>
          <w:p w14:paraId="6FD371ED" w14:textId="3F807940" w:rsidR="00627FFD" w:rsidRPr="00260C32" w:rsidRDefault="00627FFD" w:rsidP="00627FF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0880</w:t>
            </w:r>
          </w:p>
        </w:tc>
        <w:tc>
          <w:tcPr>
            <w:tcW w:w="8043" w:type="dxa"/>
          </w:tcPr>
          <w:p w14:paraId="1DC675E1" w14:textId="5B677967" w:rsidR="00627FFD" w:rsidRPr="00B74513" w:rsidRDefault="00627FFD" w:rsidP="00A84D2B">
            <w:pPr>
              <w:pStyle w:val="InstructionsText"/>
              <w:rPr>
                <w:color w:val="000000"/>
                <w:lang w:eastAsia="ro-MD"/>
              </w:rPr>
            </w:pPr>
            <w:r w:rsidRPr="00B74513">
              <w:rPr>
                <w:rStyle w:val="InstructionsTabelleberschrift"/>
                <w:rFonts w:ascii="Times New Roman" w:hAnsi="Times New Roman"/>
                <w:sz w:val="22"/>
                <w:u w:val="none"/>
              </w:rPr>
              <w:t>34. Ajustarea la pragul minim după aplicarea plafonului tranzitoriu</w:t>
            </w:r>
          </w:p>
        </w:tc>
        <w:tc>
          <w:tcPr>
            <w:tcW w:w="713" w:type="dxa"/>
          </w:tcPr>
          <w:p w14:paraId="61A4F80D" w14:textId="722B3435" w:rsidR="00627FFD" w:rsidRPr="00260C32" w:rsidRDefault="00627FFD" w:rsidP="00627FFD">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r w:rsidRPr="00AF6E49">
              <w:rPr>
                <w:rFonts w:ascii="Times New Roman" w:eastAsia="Times New Roman" w:hAnsi="Times New Roman" w:cs="Times New Roman"/>
                <w:color w:val="000000"/>
                <w:kern w:val="0"/>
                <w:lang w:eastAsia="ro-MD"/>
                <w14:ligatures w14:val="none"/>
              </w:rPr>
              <w:t>blocat</w:t>
            </w:r>
          </w:p>
        </w:tc>
      </w:tr>
      <w:tr w:rsidR="00627FFD" w:rsidRPr="00260C32" w14:paraId="2E89A22B" w14:textId="77777777" w:rsidTr="00627FFD">
        <w:trPr>
          <w:tblCellSpacing w:w="0" w:type="dxa"/>
        </w:trPr>
        <w:tc>
          <w:tcPr>
            <w:tcW w:w="729" w:type="dxa"/>
            <w:gridSpan w:val="2"/>
          </w:tcPr>
          <w:p w14:paraId="3C5CE670" w14:textId="72EC6084" w:rsidR="00627FFD" w:rsidRPr="00260C32" w:rsidRDefault="00627FFD" w:rsidP="00627FF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0890</w:t>
            </w:r>
          </w:p>
        </w:tc>
        <w:tc>
          <w:tcPr>
            <w:tcW w:w="8043" w:type="dxa"/>
            <w:tcBorders>
              <w:top w:val="single" w:sz="6" w:space="0" w:color="000000"/>
              <w:left w:val="single" w:sz="6" w:space="0" w:color="000000"/>
              <w:bottom w:val="single" w:sz="6" w:space="0" w:color="000000"/>
              <w:right w:val="single" w:sz="6" w:space="0" w:color="000000"/>
            </w:tcBorders>
          </w:tcPr>
          <w:p w14:paraId="1B05993A" w14:textId="77777777" w:rsidR="00627FFD" w:rsidRDefault="00627FFD" w:rsidP="00A84D2B">
            <w:pPr>
              <w:pStyle w:val="InstructionsText"/>
              <w:rPr>
                <w:rStyle w:val="InstructionsTabelleberschrift"/>
                <w:rFonts w:ascii="Times New Roman" w:hAnsi="Times New Roman"/>
                <w:sz w:val="22"/>
                <w:u w:val="none"/>
              </w:rPr>
            </w:pPr>
            <w:r w:rsidRPr="00B74513">
              <w:rPr>
                <w:rStyle w:val="InstructionsTabelleberschrift"/>
                <w:rFonts w:ascii="Times New Roman" w:hAnsi="Times New Roman"/>
                <w:sz w:val="22"/>
                <w:u w:val="none"/>
              </w:rPr>
              <w:t>35.   Ajustarea la pragul minim „</w:t>
            </w:r>
            <w:proofErr w:type="spellStart"/>
            <w:r w:rsidRPr="00B74513">
              <w:rPr>
                <w:rStyle w:val="InstructionsTabelleberschrift"/>
                <w:rFonts w:ascii="Times New Roman" w:hAnsi="Times New Roman"/>
                <w:sz w:val="22"/>
                <w:u w:val="none"/>
              </w:rPr>
              <w:t>fully</w:t>
            </w:r>
            <w:proofErr w:type="spellEnd"/>
            <w:r w:rsidRPr="00B74513">
              <w:rPr>
                <w:rStyle w:val="InstructionsTabelleberschrift"/>
                <w:rFonts w:ascii="Times New Roman" w:hAnsi="Times New Roman"/>
                <w:sz w:val="22"/>
                <w:u w:val="none"/>
              </w:rPr>
              <w:t xml:space="preserve"> </w:t>
            </w:r>
            <w:proofErr w:type="spellStart"/>
            <w:r w:rsidRPr="00B74513">
              <w:rPr>
                <w:rStyle w:val="InstructionsTabelleberschrift"/>
                <w:rFonts w:ascii="Times New Roman" w:hAnsi="Times New Roman"/>
                <w:sz w:val="22"/>
                <w:u w:val="none"/>
              </w:rPr>
              <w:t>loaded</w:t>
            </w:r>
            <w:proofErr w:type="spellEnd"/>
            <w:r w:rsidRPr="00B74513">
              <w:rPr>
                <w:rStyle w:val="InstructionsTabelleberschrift"/>
                <w:rFonts w:ascii="Times New Roman" w:hAnsi="Times New Roman"/>
                <w:sz w:val="22"/>
                <w:u w:val="none"/>
              </w:rPr>
              <w:t xml:space="preserve">” </w:t>
            </w:r>
          </w:p>
          <w:p w14:paraId="53012EF4" w14:textId="4E807716" w:rsidR="00531324" w:rsidRPr="00B74513" w:rsidRDefault="00531324" w:rsidP="00A84D2B">
            <w:pPr>
              <w:pStyle w:val="InstructionsText"/>
              <w:rPr>
                <w:color w:val="000000"/>
                <w:lang w:eastAsia="ro-MD"/>
              </w:rPr>
            </w:pPr>
            <w:r w:rsidRPr="005A370D">
              <w:t>În cazul instituțiilor care fac obiectul pragului minim privind cerințele de capital în conformitate cu</w:t>
            </w:r>
            <w:r w:rsidRPr="006F6C14">
              <w:rPr>
                <w:color w:val="000000"/>
                <w:lang w:eastAsia="ro-MD"/>
              </w:rPr>
              <w:t xml:space="preserve"> punctul </w:t>
            </w:r>
            <w:r w:rsidRPr="00534602">
              <w:rPr>
                <w:color w:val="000000"/>
                <w:lang w:eastAsia="ro-MD"/>
              </w:rPr>
              <w:t>13</w:t>
            </w:r>
            <w:r>
              <w:rPr>
                <w:color w:val="000000"/>
                <w:lang w:eastAsia="ro-MD"/>
              </w:rPr>
              <w:t>1</w:t>
            </w:r>
            <w:r w:rsidRPr="00680511">
              <w:rPr>
                <w:color w:val="000000"/>
                <w:vertAlign w:val="superscript"/>
                <w:lang w:eastAsia="ro-MD"/>
              </w:rPr>
              <w:t>1</w:t>
            </w:r>
            <w:r w:rsidRPr="006F6C14">
              <w:rPr>
                <w:color w:val="000000"/>
                <w:lang w:eastAsia="ro-MD"/>
              </w:rPr>
              <w:t xml:space="preserve"> din Regulamentul nr.109/2018</w:t>
            </w:r>
          </w:p>
        </w:tc>
        <w:tc>
          <w:tcPr>
            <w:tcW w:w="713" w:type="dxa"/>
          </w:tcPr>
          <w:p w14:paraId="6F731F6E" w14:textId="316577B0" w:rsidR="00627FFD" w:rsidRPr="00260C32" w:rsidRDefault="00627FFD" w:rsidP="00627FFD">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r w:rsidR="00627FFD" w:rsidRPr="00260C32" w14:paraId="7907F73F" w14:textId="77777777" w:rsidTr="00627FFD">
        <w:trPr>
          <w:tblCellSpacing w:w="0" w:type="dxa"/>
        </w:trPr>
        <w:tc>
          <w:tcPr>
            <w:tcW w:w="729" w:type="dxa"/>
            <w:gridSpan w:val="2"/>
          </w:tcPr>
          <w:p w14:paraId="3694E190" w14:textId="6D7233BC" w:rsidR="00627FFD" w:rsidRPr="00260C32" w:rsidRDefault="00627FFD" w:rsidP="00627FFD">
            <w:pPr>
              <w:spacing w:before="100" w:beforeAutospacing="1" w:after="100" w:afterAutospacing="1" w:line="240" w:lineRule="auto"/>
              <w:rPr>
                <w:rFonts w:ascii="Times New Roman" w:eastAsia="Times New Roman" w:hAnsi="Times New Roman" w:cs="Times New Roman"/>
                <w:color w:val="000000"/>
                <w:kern w:val="0"/>
                <w:lang w:eastAsia="ro-MD"/>
                <w14:ligatures w14:val="none"/>
              </w:rPr>
            </w:pPr>
            <w:r>
              <w:rPr>
                <w:rFonts w:ascii="Times New Roman" w:eastAsia="Times New Roman" w:hAnsi="Times New Roman" w:cs="Times New Roman"/>
                <w:color w:val="000000"/>
                <w:kern w:val="0"/>
                <w:lang w:eastAsia="ro-MD"/>
                <w14:ligatures w14:val="none"/>
              </w:rPr>
              <w:t>0900</w:t>
            </w:r>
          </w:p>
        </w:tc>
        <w:tc>
          <w:tcPr>
            <w:tcW w:w="8043" w:type="dxa"/>
          </w:tcPr>
          <w:p w14:paraId="09FD1BA9" w14:textId="77777777" w:rsidR="00627FFD" w:rsidRDefault="00627FFD" w:rsidP="00A84D2B">
            <w:pPr>
              <w:pStyle w:val="InstructionsText"/>
              <w:rPr>
                <w:rStyle w:val="InstructionsTabelleberschrift"/>
                <w:rFonts w:ascii="Times New Roman" w:hAnsi="Times New Roman"/>
                <w:sz w:val="22"/>
                <w:u w:val="none"/>
              </w:rPr>
            </w:pPr>
            <w:r w:rsidRPr="00B74513">
              <w:rPr>
                <w:rStyle w:val="InstructionsTabelleberschrift"/>
                <w:rFonts w:ascii="Times New Roman" w:hAnsi="Times New Roman"/>
                <w:sz w:val="22"/>
                <w:u w:val="none"/>
              </w:rPr>
              <w:t>36.      Pragul minim privind cerințele de capital aplicat (%)</w:t>
            </w:r>
          </w:p>
          <w:p w14:paraId="089E12A7" w14:textId="662F2032" w:rsidR="00531324" w:rsidRPr="00B74513" w:rsidRDefault="00531324" w:rsidP="00A84D2B">
            <w:pPr>
              <w:pStyle w:val="InstructionsText"/>
              <w:rPr>
                <w:rFonts w:eastAsia="Arial"/>
              </w:rPr>
            </w:pPr>
            <w:r w:rsidRPr="005A370D">
              <w:t>Pragul minim privind cerințele de capital, exprimat ca procent, aplicat de bancă pentru</w:t>
            </w:r>
            <w:r w:rsidRPr="005A370D">
              <w:rPr>
                <w:rFonts w:eastAsia="Arial"/>
              </w:rPr>
              <w:t xml:space="preserve"> </w:t>
            </w:r>
            <w:r w:rsidRPr="005A370D">
              <w:t>calcularea valorii ajustării la pragul minim: factorul „x” în temeiul</w:t>
            </w:r>
            <w:r>
              <w:t xml:space="preserve"> </w:t>
            </w:r>
            <w:r w:rsidRPr="006F6C14">
              <w:rPr>
                <w:color w:val="000000"/>
                <w:lang w:eastAsia="ro-MD"/>
              </w:rPr>
              <w:t>punctul</w:t>
            </w:r>
            <w:r>
              <w:rPr>
                <w:color w:val="000000"/>
                <w:lang w:eastAsia="ro-MD"/>
              </w:rPr>
              <w:t>ui</w:t>
            </w:r>
            <w:r w:rsidRPr="006F6C14">
              <w:rPr>
                <w:color w:val="000000"/>
                <w:lang w:eastAsia="ro-MD"/>
              </w:rPr>
              <w:t xml:space="preserve"> </w:t>
            </w:r>
            <w:r w:rsidRPr="00534602">
              <w:rPr>
                <w:color w:val="000000"/>
                <w:lang w:eastAsia="ro-MD"/>
              </w:rPr>
              <w:t>13</w:t>
            </w:r>
            <w:r>
              <w:rPr>
                <w:color w:val="000000"/>
                <w:lang w:eastAsia="ro-MD"/>
              </w:rPr>
              <w:t>1</w:t>
            </w:r>
            <w:r w:rsidRPr="00680511">
              <w:rPr>
                <w:color w:val="000000"/>
                <w:vertAlign w:val="superscript"/>
                <w:lang w:eastAsia="ro-MD"/>
              </w:rPr>
              <w:t>1</w:t>
            </w:r>
            <w:r w:rsidRPr="006F6C14">
              <w:rPr>
                <w:color w:val="000000"/>
                <w:lang w:eastAsia="ro-MD"/>
              </w:rPr>
              <w:t xml:space="preserve"> din Regulamentul nr.109/2018</w:t>
            </w:r>
          </w:p>
        </w:tc>
        <w:tc>
          <w:tcPr>
            <w:tcW w:w="713" w:type="dxa"/>
          </w:tcPr>
          <w:p w14:paraId="333E5321" w14:textId="65A30883" w:rsidR="00627FFD" w:rsidRPr="00260C32" w:rsidRDefault="00627FFD" w:rsidP="00627FFD">
            <w:pPr>
              <w:spacing w:before="100" w:beforeAutospacing="1" w:after="100" w:afterAutospacing="1" w:line="240" w:lineRule="auto"/>
              <w:jc w:val="center"/>
              <w:rPr>
                <w:rFonts w:ascii="Times New Roman" w:eastAsia="Times New Roman" w:hAnsi="Times New Roman" w:cs="Times New Roman"/>
                <w:color w:val="000000"/>
                <w:kern w:val="0"/>
                <w:lang w:eastAsia="ro-MD"/>
                <w14:ligatures w14:val="none"/>
              </w:rPr>
            </w:pPr>
          </w:p>
        </w:tc>
      </w:tr>
    </w:tbl>
    <w:p w14:paraId="17243922" w14:textId="77777777" w:rsidR="00260C32" w:rsidRDefault="00260C32"/>
    <w:p w14:paraId="1CDA34C9" w14:textId="77777777" w:rsidR="002B0CD0" w:rsidRDefault="002B0CD0"/>
    <w:p w14:paraId="4AE179FE" w14:textId="2A552D9D" w:rsidR="009F07B0" w:rsidRPr="006126C1" w:rsidRDefault="009F07B0" w:rsidP="009F07B0">
      <w:pPr>
        <w:pStyle w:val="ListParagraph"/>
        <w:numPr>
          <w:ilvl w:val="1"/>
          <w:numId w:val="8"/>
        </w:numPr>
        <w:tabs>
          <w:tab w:val="left" w:pos="720"/>
        </w:tabs>
        <w:spacing w:after="0"/>
        <w:rPr>
          <w:rFonts w:ascii="Times New Roman" w:eastAsia="Calibri" w:hAnsi="Times New Roman" w:cs="Times New Roman"/>
          <w:sz w:val="24"/>
          <w:szCs w:val="24"/>
          <w:lang w:val="ro-RO" w:eastAsia="ru-RU"/>
        </w:rPr>
      </w:pPr>
      <w:r>
        <w:rPr>
          <w:rFonts w:ascii="Times New Roman" w:eastAsia="Calibri" w:hAnsi="Times New Roman" w:cs="Times New Roman"/>
          <w:sz w:val="24"/>
          <w:szCs w:val="24"/>
        </w:rPr>
        <w:t xml:space="preserve"> </w:t>
      </w:r>
      <w:r w:rsidRPr="00D61744">
        <w:rPr>
          <w:rFonts w:ascii="Times New Roman" w:eastAsia="Calibri" w:hAnsi="Times New Roman" w:cs="Times New Roman"/>
          <w:sz w:val="24"/>
          <w:szCs w:val="24"/>
        </w:rPr>
        <w:t>Anexa nr.</w:t>
      </w:r>
      <w:r>
        <w:rPr>
          <w:rFonts w:ascii="Times New Roman" w:eastAsia="Calibri" w:hAnsi="Times New Roman" w:cs="Times New Roman"/>
          <w:sz w:val="24"/>
          <w:szCs w:val="24"/>
        </w:rPr>
        <w:t>2</w:t>
      </w:r>
      <w:r w:rsidRPr="00D61744">
        <w:rPr>
          <w:rFonts w:ascii="Times New Roman" w:eastAsia="Times New Roman" w:hAnsi="Times New Roman" w:cs="Times New Roman"/>
          <w:sz w:val="24"/>
          <w:szCs w:val="24"/>
          <w:lang w:eastAsia="ro-MD"/>
        </w:rPr>
        <w:t xml:space="preserve"> </w:t>
      </w:r>
      <w:r w:rsidR="00FA00FF">
        <w:rPr>
          <w:rFonts w:ascii="Times New Roman" w:eastAsia="Times New Roman" w:hAnsi="Times New Roman" w:cs="Times New Roman"/>
          <w:sz w:val="24"/>
          <w:szCs w:val="24"/>
          <w:lang w:eastAsia="ro-MD"/>
        </w:rPr>
        <w:t>va avea următorul cuprins</w:t>
      </w:r>
      <w:r w:rsidRPr="00D61744">
        <w:rPr>
          <w:rFonts w:ascii="Times New Roman" w:eastAsia="Calibri" w:hAnsi="Times New Roman" w:cs="Times New Roman"/>
          <w:sz w:val="24"/>
          <w:szCs w:val="24"/>
        </w:rPr>
        <w:t>:</w:t>
      </w:r>
    </w:p>
    <w:p w14:paraId="2908209C" w14:textId="77777777" w:rsidR="006126C1" w:rsidRPr="006126C1" w:rsidRDefault="006126C1" w:rsidP="006126C1">
      <w:pPr>
        <w:pStyle w:val="ListParagraph"/>
        <w:tabs>
          <w:tab w:val="left" w:pos="720"/>
        </w:tabs>
        <w:spacing w:after="0"/>
        <w:ind w:left="360"/>
        <w:rPr>
          <w:rFonts w:ascii="Times New Roman" w:eastAsia="Calibri" w:hAnsi="Times New Roman" w:cs="Times New Roman"/>
          <w:sz w:val="24"/>
          <w:szCs w:val="24"/>
          <w:lang w:val="ro-RO" w:eastAsia="ru-RU"/>
        </w:rPr>
      </w:pPr>
    </w:p>
    <w:p w14:paraId="563CF26E" w14:textId="62AD63F4" w:rsidR="006126C1" w:rsidRPr="00A80C33" w:rsidRDefault="009F1272" w:rsidP="006126C1">
      <w:pPr>
        <w:pStyle w:val="rg"/>
        <w:spacing w:before="0" w:beforeAutospacing="0" w:after="0" w:afterAutospacing="0"/>
        <w:ind w:left="360"/>
        <w:jc w:val="right"/>
      </w:pPr>
      <w:r>
        <w:rPr>
          <w:lang w:val="ro-RO"/>
        </w:rPr>
        <w:t>„</w:t>
      </w:r>
      <w:r w:rsidR="006126C1" w:rsidRPr="00A80C33">
        <w:t xml:space="preserve">Anexa </w:t>
      </w:r>
      <w:r w:rsidR="006126C1">
        <w:t>2</w:t>
      </w:r>
    </w:p>
    <w:p w14:paraId="7B2D49E9" w14:textId="77777777" w:rsidR="006126C1" w:rsidRPr="00A80C33" w:rsidRDefault="006126C1" w:rsidP="006126C1">
      <w:pPr>
        <w:pStyle w:val="rg"/>
        <w:spacing w:before="0" w:beforeAutospacing="0" w:after="0" w:afterAutospacing="0"/>
        <w:ind w:left="360"/>
        <w:jc w:val="right"/>
      </w:pPr>
      <w:r w:rsidRPr="00A80C33">
        <w:t xml:space="preserve">la </w:t>
      </w:r>
      <w:proofErr w:type="spellStart"/>
      <w:r w:rsidRPr="00A80C33">
        <w:t>Instrucţiunea</w:t>
      </w:r>
      <w:proofErr w:type="spellEnd"/>
      <w:r w:rsidRPr="00A80C33">
        <w:t xml:space="preserve"> cu privire la prezentarea</w:t>
      </w:r>
    </w:p>
    <w:p w14:paraId="13797BB0" w14:textId="77777777" w:rsidR="006126C1" w:rsidRPr="00A80C33" w:rsidRDefault="006126C1" w:rsidP="006126C1">
      <w:pPr>
        <w:pStyle w:val="rg"/>
        <w:spacing w:before="0" w:beforeAutospacing="0" w:after="0" w:afterAutospacing="0"/>
        <w:ind w:left="360"/>
        <w:jc w:val="right"/>
      </w:pPr>
      <w:r w:rsidRPr="00A80C33">
        <w:t>de către bănci a rapoartelor COREP</w:t>
      </w:r>
    </w:p>
    <w:p w14:paraId="368AD525" w14:textId="77777777" w:rsidR="006126C1" w:rsidRDefault="006126C1" w:rsidP="006126C1">
      <w:pPr>
        <w:pStyle w:val="rg"/>
        <w:spacing w:before="0" w:beforeAutospacing="0" w:after="0" w:afterAutospacing="0"/>
        <w:ind w:left="360"/>
        <w:jc w:val="right"/>
      </w:pPr>
      <w:r w:rsidRPr="00A80C33">
        <w:t>în scopuri de supraveghere</w:t>
      </w:r>
    </w:p>
    <w:p w14:paraId="523F87FF" w14:textId="77777777" w:rsidR="006126C1" w:rsidRDefault="006126C1" w:rsidP="006126C1">
      <w:pPr>
        <w:pStyle w:val="ListParagraph"/>
        <w:tabs>
          <w:tab w:val="left" w:pos="720"/>
        </w:tabs>
        <w:spacing w:after="0"/>
        <w:ind w:left="360"/>
        <w:rPr>
          <w:rFonts w:ascii="Times New Roman" w:eastAsia="Calibri" w:hAnsi="Times New Roman" w:cs="Times New Roman"/>
          <w:sz w:val="24"/>
          <w:szCs w:val="24"/>
          <w:lang w:val="ro-RO" w:eastAsia="ru-RU"/>
        </w:rPr>
      </w:pPr>
    </w:p>
    <w:p w14:paraId="16D97BB1" w14:textId="1BC0745A" w:rsidR="006126C1" w:rsidRPr="00CF70FD" w:rsidRDefault="006126C1" w:rsidP="00CF70FD">
      <w:pPr>
        <w:jc w:val="center"/>
        <w:rPr>
          <w:rFonts w:ascii="Times New Roman" w:hAnsi="Times New Roman" w:cs="Times New Roman"/>
          <w:b/>
          <w:bCs/>
          <w:sz w:val="24"/>
          <w:szCs w:val="24"/>
        </w:rPr>
      </w:pPr>
      <w:r w:rsidRPr="00CF70FD">
        <w:rPr>
          <w:rFonts w:ascii="Times New Roman" w:hAnsi="Times New Roman" w:cs="Times New Roman"/>
          <w:b/>
          <w:bCs/>
          <w:sz w:val="24"/>
          <w:szCs w:val="24"/>
        </w:rPr>
        <w:t>Formulare privind riscul de credit</w:t>
      </w:r>
    </w:p>
    <w:p w14:paraId="306B0267" w14:textId="1BC0745A" w:rsidR="006126C1" w:rsidRPr="002E4BA9" w:rsidRDefault="006126C1" w:rsidP="00CF70FD">
      <w:pPr>
        <w:rPr>
          <w:rFonts w:ascii="Times New Roman" w:hAnsi="Times New Roman" w:cs="Times New Roman"/>
          <w:b/>
          <w:bCs/>
          <w:sz w:val="24"/>
        </w:rPr>
      </w:pPr>
      <w:bookmarkStart w:id="2" w:name="_Toc360188345"/>
      <w:bookmarkStart w:id="3" w:name="_Toc473560894"/>
      <w:bookmarkStart w:id="4" w:name="_Toc151714382"/>
      <w:bookmarkStart w:id="5" w:name="_Toc262568022"/>
      <w:bookmarkStart w:id="6" w:name="_Toc295829848"/>
      <w:bookmarkStart w:id="7" w:name="_Toc310415014"/>
      <w:r>
        <w:tab/>
      </w:r>
      <w:r w:rsidR="009B5534" w:rsidRPr="002E4BA9">
        <w:rPr>
          <w:rFonts w:ascii="Times New Roman" w:hAnsi="Times New Roman" w:cs="Times New Roman"/>
          <w:b/>
          <w:bCs/>
          <w:sz w:val="24"/>
          <w:szCs w:val="24"/>
        </w:rPr>
        <w:t xml:space="preserve">I. </w:t>
      </w:r>
      <w:r w:rsidRPr="002E4BA9">
        <w:rPr>
          <w:rFonts w:ascii="Times New Roman" w:hAnsi="Times New Roman" w:cs="Times New Roman"/>
          <w:b/>
          <w:bCs/>
          <w:sz w:val="24"/>
          <w:szCs w:val="24"/>
        </w:rPr>
        <w:t>Observații generale</w:t>
      </w:r>
      <w:bookmarkEnd w:id="2"/>
      <w:bookmarkEnd w:id="3"/>
      <w:bookmarkEnd w:id="4"/>
      <w:r w:rsidRPr="002E4BA9">
        <w:rPr>
          <w:rFonts w:ascii="Times New Roman" w:hAnsi="Times New Roman" w:cs="Times New Roman"/>
          <w:b/>
          <w:bCs/>
          <w:sz w:val="24"/>
          <w:szCs w:val="24"/>
        </w:rPr>
        <w:t xml:space="preserve"> </w:t>
      </w:r>
      <w:bookmarkEnd w:id="5"/>
      <w:bookmarkEnd w:id="6"/>
      <w:bookmarkEnd w:id="7"/>
    </w:p>
    <w:p w14:paraId="4B71CA19" w14:textId="735EAA81" w:rsidR="009B5534" w:rsidRPr="00AD4440" w:rsidRDefault="001D5512" w:rsidP="00CF70FD">
      <w:r w:rsidRPr="002E4BA9">
        <w:rPr>
          <w:rFonts w:ascii="Times New Roman" w:hAnsi="Times New Roman" w:cs="Times New Roman"/>
          <w:sz w:val="24"/>
          <w:szCs w:val="24"/>
        </w:rPr>
        <w:t xml:space="preserve">1. </w:t>
      </w:r>
      <w:r w:rsidR="006126C1" w:rsidRPr="002E4BA9">
        <w:rPr>
          <w:rFonts w:ascii="Times New Roman" w:hAnsi="Times New Roman" w:cs="Times New Roman"/>
          <w:sz w:val="24"/>
          <w:szCs w:val="24"/>
        </w:rPr>
        <w:t xml:space="preserve">Pentru abordarea standardizată privind riscul de credit există seturi diferite de formulare. </w:t>
      </w:r>
      <w:bookmarkStart w:id="8" w:name="_Toc262568023"/>
      <w:bookmarkStart w:id="9" w:name="_Toc295829849"/>
      <w:bookmarkStart w:id="10" w:name="_Toc310415015"/>
      <w:bookmarkStart w:id="11" w:name="_Toc360188346"/>
      <w:bookmarkStart w:id="12" w:name="_Toc473560895"/>
      <w:bookmarkStart w:id="13" w:name="_Toc151714383"/>
    </w:p>
    <w:p w14:paraId="20841D88" w14:textId="6305CF9E" w:rsidR="009B5534" w:rsidRPr="00AD4440" w:rsidRDefault="001D5512" w:rsidP="00CF70FD">
      <w:r w:rsidRPr="002E4BA9">
        <w:rPr>
          <w:rFonts w:ascii="Times New Roman" w:hAnsi="Times New Roman" w:cs="Times New Roman"/>
          <w:sz w:val="24"/>
          <w:szCs w:val="24"/>
        </w:rPr>
        <w:t xml:space="preserve">2. </w:t>
      </w:r>
      <w:r w:rsidR="006126C1" w:rsidRPr="002E4BA9">
        <w:rPr>
          <w:rFonts w:ascii="Times New Roman" w:hAnsi="Times New Roman" w:cs="Times New Roman"/>
          <w:sz w:val="24"/>
          <w:szCs w:val="24"/>
        </w:rPr>
        <w:t>Raportarea tehnicilor de diminuare a riscului de credit cu efect de substituție</w:t>
      </w:r>
      <w:bookmarkEnd w:id="8"/>
      <w:bookmarkEnd w:id="9"/>
      <w:bookmarkEnd w:id="10"/>
      <w:bookmarkEnd w:id="11"/>
      <w:bookmarkEnd w:id="12"/>
      <w:bookmarkEnd w:id="13"/>
      <w:r w:rsidR="00484737" w:rsidRPr="002E4BA9">
        <w:rPr>
          <w:rFonts w:ascii="Times New Roman" w:hAnsi="Times New Roman" w:cs="Times New Roman"/>
          <w:sz w:val="24"/>
          <w:szCs w:val="24"/>
        </w:rPr>
        <w:t xml:space="preserve"> se efectuează ținând cont de următoarele:</w:t>
      </w:r>
    </w:p>
    <w:p w14:paraId="1BFBE918" w14:textId="77777777" w:rsidR="009B5534" w:rsidRPr="00AD4440" w:rsidRDefault="009B5534" w:rsidP="00CF70FD">
      <w:r w:rsidRPr="002E4BA9">
        <w:rPr>
          <w:rFonts w:ascii="Times New Roman" w:hAnsi="Times New Roman" w:cs="Times New Roman"/>
          <w:sz w:val="24"/>
          <w:szCs w:val="24"/>
        </w:rPr>
        <w:t xml:space="preserve">2.1. </w:t>
      </w:r>
      <w:r w:rsidR="006126C1" w:rsidRPr="002E4BA9">
        <w:rPr>
          <w:rFonts w:ascii="Times New Roman" w:hAnsi="Times New Roman" w:cs="Times New Roman"/>
          <w:sz w:val="24"/>
          <w:szCs w:val="24"/>
        </w:rPr>
        <w:t>Expunerile față de debitori (</w:t>
      </w:r>
      <w:proofErr w:type="spellStart"/>
      <w:r w:rsidR="006126C1" w:rsidRPr="002E4BA9">
        <w:rPr>
          <w:rFonts w:ascii="Times New Roman" w:hAnsi="Times New Roman" w:cs="Times New Roman"/>
          <w:sz w:val="24"/>
          <w:szCs w:val="24"/>
        </w:rPr>
        <w:t>contrapărți</w:t>
      </w:r>
      <w:proofErr w:type="spellEnd"/>
      <w:r w:rsidR="006126C1" w:rsidRPr="002E4BA9">
        <w:rPr>
          <w:rFonts w:ascii="Times New Roman" w:hAnsi="Times New Roman" w:cs="Times New Roman"/>
          <w:sz w:val="24"/>
          <w:szCs w:val="24"/>
        </w:rPr>
        <w:t xml:space="preserve"> imediate) și față de furnizorii de protecție care sunt încadrați în aceeași clasă de expuneri se raportează atât ca intrare, cât și ca ieșire la aceeași clasă de expuneri.</w:t>
      </w:r>
    </w:p>
    <w:p w14:paraId="2A84225C" w14:textId="5126CE7E" w:rsidR="006126C1" w:rsidRPr="00AD4440" w:rsidRDefault="009B5534" w:rsidP="00CF70FD">
      <w:r w:rsidRPr="002E4BA9">
        <w:rPr>
          <w:rFonts w:ascii="Times New Roman" w:hAnsi="Times New Roman" w:cs="Times New Roman"/>
          <w:sz w:val="24"/>
          <w:szCs w:val="24"/>
        </w:rPr>
        <w:t xml:space="preserve">2.2. </w:t>
      </w:r>
      <w:r w:rsidR="006126C1" w:rsidRPr="002E4BA9">
        <w:rPr>
          <w:rFonts w:ascii="Times New Roman" w:hAnsi="Times New Roman" w:cs="Times New Roman"/>
          <w:sz w:val="24"/>
          <w:szCs w:val="24"/>
        </w:rPr>
        <w:t>Protecția nefinanțată a creditului nu modifică tipul expunerii.</w:t>
      </w:r>
    </w:p>
    <w:p w14:paraId="795F68CE" w14:textId="0E4FABFE" w:rsidR="009B5534" w:rsidRPr="00AD4440" w:rsidRDefault="009B5534" w:rsidP="00CF70FD">
      <w:r w:rsidRPr="002E4BA9">
        <w:rPr>
          <w:rFonts w:ascii="Times New Roman" w:hAnsi="Times New Roman" w:cs="Times New Roman"/>
          <w:sz w:val="24"/>
          <w:szCs w:val="24"/>
        </w:rPr>
        <w:lastRenderedPageBreak/>
        <w:t xml:space="preserve">2.3. </w:t>
      </w:r>
      <w:r w:rsidR="006126C1" w:rsidRPr="002E4BA9">
        <w:rPr>
          <w:rFonts w:ascii="Times New Roman" w:hAnsi="Times New Roman" w:cs="Times New Roman"/>
          <w:sz w:val="24"/>
          <w:szCs w:val="24"/>
        </w:rPr>
        <w:t>În cazul în care o expunere este garantată de o protecție nefinanțată a creditului, partea garantată este desemnată ca o ieșire în clasa de expuneri a debitorului și ca o intrare în clasa de expuneri a furnizorului de protecție. Cu toate acestea, modificarea clase</w:t>
      </w:r>
      <w:r w:rsidR="00484737" w:rsidRPr="002E4BA9">
        <w:rPr>
          <w:rFonts w:ascii="Times New Roman" w:hAnsi="Times New Roman" w:cs="Times New Roman"/>
          <w:sz w:val="24"/>
          <w:szCs w:val="24"/>
        </w:rPr>
        <w:t>i</w:t>
      </w:r>
      <w:r w:rsidR="006126C1" w:rsidRPr="002E4BA9">
        <w:rPr>
          <w:rFonts w:ascii="Times New Roman" w:hAnsi="Times New Roman" w:cs="Times New Roman"/>
          <w:sz w:val="24"/>
          <w:szCs w:val="24"/>
        </w:rPr>
        <w:t xml:space="preserve"> </w:t>
      </w:r>
      <w:r w:rsidR="00BE2F10">
        <w:rPr>
          <w:rFonts w:ascii="Times New Roman" w:hAnsi="Times New Roman" w:cs="Times New Roman"/>
          <w:sz w:val="24"/>
          <w:szCs w:val="24"/>
        </w:rPr>
        <w:t xml:space="preserve">de </w:t>
      </w:r>
      <w:r w:rsidR="006126C1" w:rsidRPr="002E4BA9">
        <w:rPr>
          <w:rFonts w:ascii="Times New Roman" w:hAnsi="Times New Roman" w:cs="Times New Roman"/>
          <w:sz w:val="24"/>
          <w:szCs w:val="24"/>
        </w:rPr>
        <w:t xml:space="preserve">expuneri nu atrage după sine modificarea tipului </w:t>
      </w:r>
      <w:r w:rsidR="00BE2F10">
        <w:rPr>
          <w:rFonts w:ascii="Times New Roman" w:hAnsi="Times New Roman" w:cs="Times New Roman"/>
          <w:sz w:val="24"/>
          <w:szCs w:val="24"/>
        </w:rPr>
        <w:t xml:space="preserve">de </w:t>
      </w:r>
      <w:r w:rsidR="006126C1" w:rsidRPr="002E4BA9">
        <w:rPr>
          <w:rFonts w:ascii="Times New Roman" w:hAnsi="Times New Roman" w:cs="Times New Roman"/>
          <w:sz w:val="24"/>
          <w:szCs w:val="24"/>
        </w:rPr>
        <w:t>expuneri.</w:t>
      </w:r>
    </w:p>
    <w:p w14:paraId="2A92A20E" w14:textId="3F9A89E2" w:rsidR="009B5534" w:rsidRPr="00AD4440" w:rsidRDefault="009B5534" w:rsidP="00CF70FD">
      <w:r w:rsidRPr="002E4BA9">
        <w:rPr>
          <w:rFonts w:ascii="Times New Roman" w:hAnsi="Times New Roman" w:cs="Times New Roman"/>
          <w:sz w:val="24"/>
          <w:szCs w:val="24"/>
        </w:rPr>
        <w:t>2.4</w:t>
      </w:r>
      <w:r w:rsidR="006126C1" w:rsidRPr="002E4BA9">
        <w:rPr>
          <w:rFonts w:ascii="Times New Roman" w:hAnsi="Times New Roman" w:cs="Times New Roman"/>
          <w:sz w:val="24"/>
          <w:szCs w:val="24"/>
        </w:rPr>
        <w:t>.</w:t>
      </w:r>
      <w:r w:rsidR="002E4BA9">
        <w:rPr>
          <w:rFonts w:ascii="Times New Roman" w:hAnsi="Times New Roman" w:cs="Times New Roman"/>
          <w:sz w:val="24"/>
          <w:szCs w:val="24"/>
        </w:rPr>
        <w:t xml:space="preserve"> </w:t>
      </w:r>
      <w:r w:rsidR="006126C1" w:rsidRPr="002E4BA9">
        <w:rPr>
          <w:rFonts w:ascii="Times New Roman" w:hAnsi="Times New Roman" w:cs="Times New Roman"/>
          <w:sz w:val="24"/>
          <w:szCs w:val="24"/>
        </w:rPr>
        <w:t xml:space="preserve">Efectul de substituție în cadrul de raportare COREP trebuie să reflecte tratarea ponderii riscului care se aplică efectiv părții garantate a expunerii. </w:t>
      </w:r>
      <w:bookmarkStart w:id="14" w:name="_Toc262568024"/>
      <w:bookmarkStart w:id="15" w:name="_Toc295829850"/>
      <w:bookmarkStart w:id="16" w:name="_Toc310415016"/>
      <w:bookmarkStart w:id="17" w:name="_Toc360188347"/>
      <w:bookmarkStart w:id="18" w:name="_Toc473560896"/>
      <w:bookmarkStart w:id="19" w:name="_Toc151714384"/>
    </w:p>
    <w:p w14:paraId="7BB9E1E3" w14:textId="709CA2A3" w:rsidR="009B5534" w:rsidRPr="00AD4440" w:rsidRDefault="009B5534" w:rsidP="00CF70FD">
      <w:r w:rsidRPr="002E4BA9">
        <w:rPr>
          <w:rFonts w:ascii="Times New Roman" w:hAnsi="Times New Roman" w:cs="Times New Roman"/>
          <w:sz w:val="24"/>
          <w:szCs w:val="24"/>
        </w:rPr>
        <w:t xml:space="preserve">3. </w:t>
      </w:r>
      <w:r w:rsidR="006126C1" w:rsidRPr="002E4BA9">
        <w:rPr>
          <w:rFonts w:ascii="Times New Roman" w:hAnsi="Times New Roman" w:cs="Times New Roman"/>
          <w:sz w:val="24"/>
          <w:szCs w:val="24"/>
        </w:rPr>
        <w:t xml:space="preserve">Raportarea riscului de credit al </w:t>
      </w:r>
      <w:proofErr w:type="spellStart"/>
      <w:r w:rsidR="006126C1" w:rsidRPr="002E4BA9">
        <w:rPr>
          <w:rFonts w:ascii="Times New Roman" w:hAnsi="Times New Roman" w:cs="Times New Roman"/>
          <w:sz w:val="24"/>
          <w:szCs w:val="24"/>
        </w:rPr>
        <w:t>contrapărții</w:t>
      </w:r>
      <w:bookmarkEnd w:id="14"/>
      <w:bookmarkEnd w:id="15"/>
      <w:bookmarkEnd w:id="16"/>
      <w:bookmarkEnd w:id="17"/>
      <w:bookmarkEnd w:id="18"/>
      <w:bookmarkEnd w:id="19"/>
      <w:proofErr w:type="spellEnd"/>
      <w:r w:rsidR="007C2356">
        <w:rPr>
          <w:rFonts w:ascii="Times New Roman" w:hAnsi="Times New Roman" w:cs="Times New Roman"/>
          <w:sz w:val="24"/>
          <w:szCs w:val="24"/>
        </w:rPr>
        <w:t>:</w:t>
      </w:r>
    </w:p>
    <w:p w14:paraId="16321674" w14:textId="44AFAC50" w:rsidR="009B5534" w:rsidRPr="00AD4440" w:rsidRDefault="009B5534" w:rsidP="00CF70FD">
      <w:r w:rsidRPr="002E4BA9">
        <w:rPr>
          <w:rFonts w:ascii="Times New Roman" w:hAnsi="Times New Roman" w:cs="Times New Roman"/>
          <w:sz w:val="24"/>
          <w:szCs w:val="24"/>
        </w:rPr>
        <w:t xml:space="preserve">3.1. </w:t>
      </w:r>
      <w:r w:rsidR="006126C1" w:rsidRPr="002E4BA9">
        <w:rPr>
          <w:rFonts w:ascii="Times New Roman" w:hAnsi="Times New Roman" w:cs="Times New Roman"/>
          <w:sz w:val="24"/>
          <w:szCs w:val="24"/>
        </w:rPr>
        <w:t xml:space="preserve">Expunerile care decurg din pozițiile riscului de credit al </w:t>
      </w:r>
      <w:proofErr w:type="spellStart"/>
      <w:r w:rsidR="006126C1" w:rsidRPr="002E4BA9">
        <w:rPr>
          <w:rFonts w:ascii="Times New Roman" w:hAnsi="Times New Roman" w:cs="Times New Roman"/>
          <w:sz w:val="24"/>
          <w:szCs w:val="24"/>
        </w:rPr>
        <w:t>contrapărții</w:t>
      </w:r>
      <w:proofErr w:type="spellEnd"/>
      <w:r w:rsidR="006126C1" w:rsidRPr="002E4BA9">
        <w:rPr>
          <w:rFonts w:ascii="Times New Roman" w:hAnsi="Times New Roman" w:cs="Times New Roman"/>
          <w:sz w:val="24"/>
          <w:szCs w:val="24"/>
        </w:rPr>
        <w:t xml:space="preserve"> trebuie raportate în formularele CR SA</w:t>
      </w:r>
      <w:r w:rsidR="007C2356">
        <w:rPr>
          <w:rFonts w:ascii="Times New Roman" w:hAnsi="Times New Roman" w:cs="Times New Roman"/>
          <w:sz w:val="24"/>
          <w:szCs w:val="24"/>
        </w:rPr>
        <w:t xml:space="preserve"> sau CR IRB</w:t>
      </w:r>
      <w:r w:rsidR="006126C1" w:rsidRPr="002E4BA9">
        <w:rPr>
          <w:rFonts w:ascii="Times New Roman" w:hAnsi="Times New Roman" w:cs="Times New Roman"/>
          <w:sz w:val="24"/>
          <w:szCs w:val="24"/>
        </w:rPr>
        <w:t xml:space="preserve"> indiferent dacă sunt elemente din portofoliul bancar sau din portofoliul de tranzacționare. </w:t>
      </w:r>
      <w:bookmarkStart w:id="20" w:name="_Toc292456202"/>
      <w:bookmarkStart w:id="21" w:name="_Toc295829851"/>
      <w:bookmarkStart w:id="22" w:name="_Toc310415017"/>
      <w:bookmarkStart w:id="23" w:name="_Toc360188348"/>
      <w:bookmarkStart w:id="24" w:name="_Toc473560897"/>
      <w:bookmarkStart w:id="25" w:name="_Toc151714385"/>
    </w:p>
    <w:p w14:paraId="18F85070" w14:textId="32D3F067" w:rsidR="006126C1" w:rsidRPr="00AD4440" w:rsidRDefault="009B5534" w:rsidP="002E4BA9">
      <w:pPr>
        <w:ind w:firstLine="708"/>
      </w:pPr>
      <w:r w:rsidRPr="002E4BA9">
        <w:rPr>
          <w:rFonts w:ascii="Times New Roman" w:hAnsi="Times New Roman" w:cs="Times New Roman"/>
          <w:b/>
          <w:bCs/>
          <w:sz w:val="24"/>
          <w:szCs w:val="24"/>
        </w:rPr>
        <w:t xml:space="preserve">II. </w:t>
      </w:r>
      <w:r w:rsidR="006126C1" w:rsidRPr="002E4BA9">
        <w:rPr>
          <w:rFonts w:ascii="Times New Roman" w:hAnsi="Times New Roman" w:cs="Times New Roman"/>
          <w:b/>
          <w:bCs/>
          <w:sz w:val="24"/>
          <w:szCs w:val="24"/>
        </w:rPr>
        <w:t xml:space="preserve">C 07.00 – Riscul de credit, riscul de credit al </w:t>
      </w:r>
      <w:proofErr w:type="spellStart"/>
      <w:r w:rsidR="006126C1" w:rsidRPr="002E4BA9">
        <w:rPr>
          <w:rFonts w:ascii="Times New Roman" w:hAnsi="Times New Roman" w:cs="Times New Roman"/>
          <w:b/>
          <w:bCs/>
          <w:sz w:val="24"/>
          <w:szCs w:val="24"/>
        </w:rPr>
        <w:t>contrapărții</w:t>
      </w:r>
      <w:proofErr w:type="spellEnd"/>
      <w:r w:rsidR="006126C1" w:rsidRPr="002E4BA9">
        <w:rPr>
          <w:rFonts w:ascii="Times New Roman" w:hAnsi="Times New Roman" w:cs="Times New Roman"/>
          <w:b/>
          <w:bCs/>
          <w:sz w:val="24"/>
          <w:szCs w:val="24"/>
        </w:rPr>
        <w:t xml:space="preserve"> și tranzacțiile incomplete: Abordarea standardizată privind cerințele de capital</w:t>
      </w:r>
      <w:bookmarkEnd w:id="20"/>
      <w:bookmarkEnd w:id="21"/>
      <w:bookmarkEnd w:id="22"/>
      <w:bookmarkEnd w:id="23"/>
      <w:r w:rsidR="006126C1" w:rsidRPr="002E4BA9">
        <w:rPr>
          <w:rFonts w:ascii="Times New Roman" w:hAnsi="Times New Roman" w:cs="Times New Roman"/>
          <w:b/>
          <w:bCs/>
          <w:sz w:val="24"/>
          <w:szCs w:val="24"/>
        </w:rPr>
        <w:t xml:space="preserve"> (CR SA)</w:t>
      </w:r>
      <w:bookmarkEnd w:id="24"/>
      <w:bookmarkEnd w:id="25"/>
    </w:p>
    <w:p w14:paraId="7D3DAD04" w14:textId="77777777" w:rsidR="00032B9B" w:rsidRPr="00AF6B97" w:rsidRDefault="00032B9B" w:rsidP="00CF70FD">
      <w:r w:rsidRPr="002E4BA9">
        <w:rPr>
          <w:rFonts w:ascii="Times New Roman" w:hAnsi="Times New Roman" w:cs="Times New Roman"/>
          <w:sz w:val="24"/>
          <w:szCs w:val="24"/>
        </w:rPr>
        <w:t xml:space="preserve">4. </w:t>
      </w:r>
      <w:r w:rsidR="006126C1" w:rsidRPr="002E4BA9">
        <w:rPr>
          <w:rFonts w:ascii="Times New Roman" w:hAnsi="Times New Roman" w:cs="Times New Roman"/>
          <w:sz w:val="24"/>
          <w:szCs w:val="24"/>
        </w:rPr>
        <w:t>Formularele CR SA furnizează informațiile necesare privind calculul cerințelor de fonduri proprii pentru riscul de credit în conformitate cu abordarea standardizată. Mai precis, acestea oferă informații detaliate despre:</w:t>
      </w:r>
    </w:p>
    <w:p w14:paraId="448AE987" w14:textId="77777777" w:rsidR="00032B9B" w:rsidRPr="00AF6B97" w:rsidRDefault="00032B9B" w:rsidP="00CF70FD">
      <w:r w:rsidRPr="002E4BA9">
        <w:rPr>
          <w:rFonts w:ascii="Times New Roman" w:hAnsi="Times New Roman" w:cs="Times New Roman"/>
          <w:sz w:val="24"/>
          <w:szCs w:val="24"/>
        </w:rPr>
        <w:t xml:space="preserve">4.1. </w:t>
      </w:r>
      <w:r w:rsidR="006126C1" w:rsidRPr="002E4BA9">
        <w:rPr>
          <w:rFonts w:ascii="Times New Roman" w:hAnsi="Times New Roman" w:cs="Times New Roman"/>
          <w:sz w:val="24"/>
          <w:szCs w:val="24"/>
        </w:rPr>
        <w:t>distribuirea valorilor expunerilor în funcție de diferitele tipuri de expuneri, ponderi de risc și clase de expuneri;</w:t>
      </w:r>
    </w:p>
    <w:p w14:paraId="6DBF5718" w14:textId="313BB5F3" w:rsidR="006126C1" w:rsidRPr="00AF6B97" w:rsidRDefault="00032B9B" w:rsidP="00CF70FD">
      <w:r w:rsidRPr="002E4BA9">
        <w:rPr>
          <w:rFonts w:ascii="Times New Roman" w:hAnsi="Times New Roman" w:cs="Times New Roman"/>
          <w:sz w:val="24"/>
          <w:szCs w:val="24"/>
        </w:rPr>
        <w:t xml:space="preserve">4.2. </w:t>
      </w:r>
      <w:r w:rsidR="006126C1" w:rsidRPr="002E4BA9">
        <w:rPr>
          <w:rFonts w:ascii="Times New Roman" w:hAnsi="Times New Roman" w:cs="Times New Roman"/>
          <w:sz w:val="24"/>
          <w:szCs w:val="24"/>
        </w:rPr>
        <w:t xml:space="preserve">cuantumul și tipul tehnicilor de diminuare a riscului de credit utilizate pentru reducerea riscurilor. </w:t>
      </w:r>
    </w:p>
    <w:p w14:paraId="2573ECC2" w14:textId="123A2EDB" w:rsidR="00032B9B" w:rsidRPr="00AF6B97" w:rsidRDefault="00032B9B" w:rsidP="00CF70FD">
      <w:r w:rsidRPr="002E4BA9">
        <w:rPr>
          <w:rFonts w:ascii="Times New Roman" w:hAnsi="Times New Roman" w:cs="Times New Roman"/>
          <w:sz w:val="24"/>
          <w:szCs w:val="24"/>
        </w:rPr>
        <w:t xml:space="preserve">5. </w:t>
      </w:r>
      <w:r w:rsidR="006126C1" w:rsidRPr="002E4BA9">
        <w:rPr>
          <w:rFonts w:ascii="Times New Roman" w:hAnsi="Times New Roman" w:cs="Times New Roman"/>
          <w:sz w:val="24"/>
          <w:szCs w:val="24"/>
        </w:rPr>
        <w:t xml:space="preserve">În conformitate cu </w:t>
      </w:r>
      <w:r w:rsidR="009F6438" w:rsidRPr="002E4BA9">
        <w:rPr>
          <w:rFonts w:ascii="Times New Roman" w:hAnsi="Times New Roman" w:cs="Times New Roman"/>
          <w:sz w:val="24"/>
          <w:szCs w:val="24"/>
        </w:rPr>
        <w:t xml:space="preserve">punctul </w:t>
      </w:r>
      <w:r w:rsidR="006126C1" w:rsidRPr="002E4BA9">
        <w:rPr>
          <w:rFonts w:ascii="Times New Roman" w:hAnsi="Times New Roman" w:cs="Times New Roman"/>
          <w:sz w:val="24"/>
          <w:szCs w:val="24"/>
        </w:rPr>
        <w:t xml:space="preserve">11 din Regulamentul </w:t>
      </w:r>
      <w:r w:rsidR="009F6438" w:rsidRPr="002E4BA9">
        <w:rPr>
          <w:rFonts w:ascii="Times New Roman" w:hAnsi="Times New Roman" w:cs="Times New Roman"/>
          <w:sz w:val="24"/>
          <w:szCs w:val="24"/>
        </w:rPr>
        <w:t>nr. 111/2018</w:t>
      </w:r>
      <w:r w:rsidR="006126C1" w:rsidRPr="002E4BA9">
        <w:rPr>
          <w:rFonts w:ascii="Times New Roman" w:hAnsi="Times New Roman" w:cs="Times New Roman"/>
          <w:sz w:val="24"/>
          <w:szCs w:val="24"/>
        </w:rPr>
        <w:t>, fiecare expunere SA se încadrează într-una dintre cele 16 clase de expuneri SA în vederea calculării cerințelor de fonduri proprii.</w:t>
      </w:r>
    </w:p>
    <w:p w14:paraId="414C1E73" w14:textId="77777777" w:rsidR="00032B9B" w:rsidRPr="00AF6B97" w:rsidRDefault="00032B9B" w:rsidP="00CF70FD">
      <w:r w:rsidRPr="002E4BA9">
        <w:rPr>
          <w:rFonts w:ascii="Times New Roman" w:hAnsi="Times New Roman" w:cs="Times New Roman"/>
          <w:sz w:val="24"/>
          <w:szCs w:val="24"/>
        </w:rPr>
        <w:t xml:space="preserve">6. </w:t>
      </w:r>
      <w:r w:rsidR="006126C1" w:rsidRPr="002E4BA9">
        <w:rPr>
          <w:rFonts w:ascii="Times New Roman" w:hAnsi="Times New Roman" w:cs="Times New Roman"/>
          <w:sz w:val="24"/>
          <w:szCs w:val="24"/>
        </w:rPr>
        <w:t>Informațiile cuprinse în CR SA sunt necesare pentru totalul claselor de expuneri și individual pentru fiecare clasă de expuneri din cadrul abordării standardizate. Sumele totale și informațiile din fiecare clasă de expuneri sunt raportate în altă parte.</w:t>
      </w:r>
    </w:p>
    <w:p w14:paraId="26601CAF" w14:textId="0C4EC10C" w:rsidR="006126C1" w:rsidRPr="00AF6B97" w:rsidRDefault="00032B9B" w:rsidP="00CF70FD">
      <w:r w:rsidRPr="002E4BA9">
        <w:rPr>
          <w:rFonts w:ascii="Times New Roman" w:hAnsi="Times New Roman" w:cs="Times New Roman"/>
          <w:sz w:val="24"/>
          <w:szCs w:val="24"/>
        </w:rPr>
        <w:t xml:space="preserve">7. </w:t>
      </w:r>
      <w:r w:rsidR="006126C1" w:rsidRPr="002E4BA9">
        <w:rPr>
          <w:rFonts w:ascii="Times New Roman" w:hAnsi="Times New Roman" w:cs="Times New Roman"/>
          <w:sz w:val="24"/>
          <w:szCs w:val="24"/>
        </w:rPr>
        <w:t>Cu toate acestea, următoarele poziții nu se încadrează în domeniul de aplicare al CR SA:</w:t>
      </w:r>
    </w:p>
    <w:p w14:paraId="5E94E4DA" w14:textId="2CEE4796" w:rsidR="00032B9B" w:rsidRPr="00AF6B97" w:rsidRDefault="00032B9B" w:rsidP="00CF70FD">
      <w:r w:rsidRPr="002E4BA9">
        <w:rPr>
          <w:rFonts w:ascii="Times New Roman" w:hAnsi="Times New Roman" w:cs="Times New Roman"/>
          <w:sz w:val="24"/>
          <w:szCs w:val="24"/>
        </w:rPr>
        <w:t xml:space="preserve">7.1. </w:t>
      </w:r>
      <w:r w:rsidR="006126C1" w:rsidRPr="002E4BA9">
        <w:rPr>
          <w:rFonts w:ascii="Times New Roman" w:hAnsi="Times New Roman" w:cs="Times New Roman"/>
          <w:sz w:val="24"/>
          <w:szCs w:val="24"/>
        </w:rPr>
        <w:t xml:space="preserve">expunerile încadrate în clasa de expuneri «elemente reprezentând poziții din securitizare», menționate la </w:t>
      </w:r>
      <w:r w:rsidR="009F6438" w:rsidRPr="002E4BA9">
        <w:rPr>
          <w:rFonts w:ascii="Times New Roman" w:hAnsi="Times New Roman" w:cs="Times New Roman"/>
          <w:sz w:val="24"/>
          <w:szCs w:val="24"/>
        </w:rPr>
        <w:t xml:space="preserve">punctul 11 </w:t>
      </w:r>
      <w:r w:rsidR="00483681">
        <w:rPr>
          <w:rFonts w:ascii="Times New Roman" w:hAnsi="Times New Roman" w:cs="Times New Roman"/>
          <w:sz w:val="24"/>
          <w:szCs w:val="24"/>
        </w:rPr>
        <w:t xml:space="preserve">subpunctul 12) </w:t>
      </w:r>
      <w:r w:rsidR="009F6438" w:rsidRPr="002E4BA9">
        <w:rPr>
          <w:rFonts w:ascii="Times New Roman" w:hAnsi="Times New Roman" w:cs="Times New Roman"/>
          <w:sz w:val="24"/>
          <w:szCs w:val="24"/>
        </w:rPr>
        <w:t>din Regulamentul nr. 111/2018</w:t>
      </w:r>
      <w:r w:rsidR="006126C1" w:rsidRPr="002E4BA9">
        <w:rPr>
          <w:rFonts w:ascii="Times New Roman" w:hAnsi="Times New Roman" w:cs="Times New Roman"/>
          <w:sz w:val="24"/>
          <w:szCs w:val="24"/>
        </w:rPr>
        <w:t xml:space="preserve">, care se </w:t>
      </w:r>
      <w:r w:rsidR="009F6438" w:rsidRPr="002E4BA9">
        <w:rPr>
          <w:rFonts w:ascii="Times New Roman" w:hAnsi="Times New Roman" w:cs="Times New Roman"/>
          <w:sz w:val="24"/>
          <w:szCs w:val="24"/>
        </w:rPr>
        <w:t xml:space="preserve">vor </w:t>
      </w:r>
      <w:r w:rsidR="006126C1" w:rsidRPr="002E4BA9">
        <w:rPr>
          <w:rFonts w:ascii="Times New Roman" w:hAnsi="Times New Roman" w:cs="Times New Roman"/>
          <w:sz w:val="24"/>
          <w:szCs w:val="24"/>
        </w:rPr>
        <w:t>raport</w:t>
      </w:r>
      <w:r w:rsidR="009F6438" w:rsidRPr="002E4BA9">
        <w:rPr>
          <w:rFonts w:ascii="Times New Roman" w:hAnsi="Times New Roman" w:cs="Times New Roman"/>
          <w:sz w:val="24"/>
          <w:szCs w:val="24"/>
        </w:rPr>
        <w:t>a</w:t>
      </w:r>
      <w:r w:rsidR="006126C1" w:rsidRPr="002E4BA9">
        <w:rPr>
          <w:rFonts w:ascii="Times New Roman" w:hAnsi="Times New Roman" w:cs="Times New Roman"/>
          <w:sz w:val="24"/>
          <w:szCs w:val="24"/>
        </w:rPr>
        <w:t xml:space="preserve"> în formularele CR SEC;</w:t>
      </w:r>
    </w:p>
    <w:p w14:paraId="1AC921A7" w14:textId="77777777" w:rsidR="00032B9B" w:rsidRPr="00AF6B97" w:rsidRDefault="00032B9B" w:rsidP="00CF70FD">
      <w:r w:rsidRPr="002E4BA9">
        <w:rPr>
          <w:rFonts w:ascii="Times New Roman" w:hAnsi="Times New Roman" w:cs="Times New Roman"/>
          <w:sz w:val="24"/>
          <w:szCs w:val="24"/>
        </w:rPr>
        <w:t xml:space="preserve">7.2. </w:t>
      </w:r>
      <w:r w:rsidR="006126C1" w:rsidRPr="002E4BA9">
        <w:rPr>
          <w:rFonts w:ascii="Times New Roman" w:hAnsi="Times New Roman" w:cs="Times New Roman"/>
          <w:sz w:val="24"/>
          <w:szCs w:val="24"/>
        </w:rPr>
        <w:t>expunerile deduse din fondurile proprii.</w:t>
      </w:r>
    </w:p>
    <w:p w14:paraId="070E1D79" w14:textId="77777777" w:rsidR="00032B9B" w:rsidRPr="00AF6B97" w:rsidRDefault="00032B9B" w:rsidP="00CF70FD">
      <w:r w:rsidRPr="002E4BA9">
        <w:rPr>
          <w:rFonts w:ascii="Times New Roman" w:hAnsi="Times New Roman" w:cs="Times New Roman"/>
          <w:sz w:val="24"/>
          <w:szCs w:val="24"/>
        </w:rPr>
        <w:t xml:space="preserve">8. </w:t>
      </w:r>
      <w:r w:rsidR="006126C1" w:rsidRPr="002E4BA9">
        <w:rPr>
          <w:rFonts w:ascii="Times New Roman" w:hAnsi="Times New Roman" w:cs="Times New Roman"/>
          <w:sz w:val="24"/>
          <w:szCs w:val="24"/>
        </w:rPr>
        <w:t>Domeniul de aplicare al formularului CR SA acoperă următoarele cerințe de fonduri proprii:</w:t>
      </w:r>
    </w:p>
    <w:p w14:paraId="2874DFD6" w14:textId="40B1E5C4" w:rsidR="001167B2" w:rsidRPr="00AF6B97" w:rsidRDefault="00032B9B" w:rsidP="00CF70FD">
      <w:r w:rsidRPr="002E4BA9">
        <w:rPr>
          <w:rFonts w:ascii="Times New Roman" w:hAnsi="Times New Roman" w:cs="Times New Roman"/>
          <w:sz w:val="24"/>
          <w:szCs w:val="24"/>
        </w:rPr>
        <w:t xml:space="preserve">8.1. </w:t>
      </w:r>
      <w:r w:rsidR="006126C1" w:rsidRPr="002E4BA9">
        <w:rPr>
          <w:rFonts w:ascii="Times New Roman" w:hAnsi="Times New Roman" w:cs="Times New Roman"/>
          <w:sz w:val="24"/>
          <w:szCs w:val="24"/>
        </w:rPr>
        <w:t>riscurile de credit în conformitate cu</w:t>
      </w:r>
      <w:r w:rsidR="007C5516" w:rsidRPr="002E4BA9">
        <w:rPr>
          <w:rFonts w:ascii="Times New Roman" w:hAnsi="Times New Roman" w:cs="Times New Roman"/>
          <w:sz w:val="24"/>
          <w:szCs w:val="24"/>
        </w:rPr>
        <w:t xml:space="preserve"> Regulamentul nr. 111/2018</w:t>
      </w:r>
      <w:r w:rsidR="006126C1" w:rsidRPr="002E4BA9">
        <w:rPr>
          <w:rFonts w:ascii="Times New Roman" w:hAnsi="Times New Roman" w:cs="Times New Roman"/>
          <w:sz w:val="24"/>
          <w:szCs w:val="24"/>
        </w:rPr>
        <w:t>;</w:t>
      </w:r>
    </w:p>
    <w:p w14:paraId="577D0CDC" w14:textId="761DA052" w:rsidR="001167B2" w:rsidRPr="00AF6B97" w:rsidRDefault="001167B2" w:rsidP="00CF70FD">
      <w:r w:rsidRPr="002E4BA9">
        <w:rPr>
          <w:rFonts w:ascii="Times New Roman" w:hAnsi="Times New Roman" w:cs="Times New Roman"/>
          <w:sz w:val="24"/>
          <w:szCs w:val="24"/>
        </w:rPr>
        <w:t xml:space="preserve">8.2. </w:t>
      </w:r>
      <w:r w:rsidR="006126C1" w:rsidRPr="002E4BA9">
        <w:rPr>
          <w:rFonts w:ascii="Times New Roman" w:hAnsi="Times New Roman" w:cs="Times New Roman"/>
          <w:sz w:val="24"/>
          <w:szCs w:val="24"/>
        </w:rPr>
        <w:t xml:space="preserve">riscul de credit al </w:t>
      </w:r>
      <w:proofErr w:type="spellStart"/>
      <w:r w:rsidR="006126C1" w:rsidRPr="002E4BA9">
        <w:rPr>
          <w:rFonts w:ascii="Times New Roman" w:hAnsi="Times New Roman" w:cs="Times New Roman"/>
          <w:sz w:val="24"/>
          <w:szCs w:val="24"/>
        </w:rPr>
        <w:t>contrapărții</w:t>
      </w:r>
      <w:proofErr w:type="spellEnd"/>
      <w:r w:rsidR="006126C1" w:rsidRPr="002E4BA9">
        <w:rPr>
          <w:rFonts w:ascii="Times New Roman" w:hAnsi="Times New Roman" w:cs="Times New Roman"/>
          <w:sz w:val="24"/>
          <w:szCs w:val="24"/>
        </w:rPr>
        <w:t xml:space="preserve"> în conformitate cu </w:t>
      </w:r>
      <w:r w:rsidR="007C5516" w:rsidRPr="002E4BA9">
        <w:rPr>
          <w:rFonts w:ascii="Times New Roman" w:hAnsi="Times New Roman" w:cs="Times New Roman"/>
          <w:sz w:val="24"/>
          <w:szCs w:val="24"/>
          <w:lang w:eastAsia="ro-MD"/>
        </w:rPr>
        <w:t>Regulamentul nr. 220/2025</w:t>
      </w:r>
      <w:r w:rsidR="006126C1" w:rsidRPr="002E4BA9">
        <w:rPr>
          <w:rFonts w:ascii="Times New Roman" w:hAnsi="Times New Roman" w:cs="Times New Roman"/>
          <w:sz w:val="24"/>
          <w:szCs w:val="24"/>
        </w:rPr>
        <w:t>;</w:t>
      </w:r>
    </w:p>
    <w:p w14:paraId="57C6B96B" w14:textId="4D2BE9B7" w:rsidR="006126C1" w:rsidRPr="00AF6B97" w:rsidRDefault="001167B2" w:rsidP="00CF70FD">
      <w:r w:rsidRPr="002E4BA9">
        <w:rPr>
          <w:rFonts w:ascii="Times New Roman" w:hAnsi="Times New Roman" w:cs="Times New Roman"/>
          <w:sz w:val="24"/>
          <w:szCs w:val="24"/>
        </w:rPr>
        <w:t xml:space="preserve">8.3. </w:t>
      </w:r>
      <w:r w:rsidR="006126C1" w:rsidRPr="002E4BA9">
        <w:rPr>
          <w:rFonts w:ascii="Times New Roman" w:hAnsi="Times New Roman" w:cs="Times New Roman"/>
          <w:spacing w:val="-4"/>
          <w:sz w:val="24"/>
          <w:szCs w:val="24"/>
        </w:rPr>
        <w:t xml:space="preserve">riscul de decontare care rezultă din tranzacții incomplete în conformitate cu </w:t>
      </w:r>
      <w:r w:rsidR="004F0FCD" w:rsidRPr="002E4BA9">
        <w:rPr>
          <w:rFonts w:ascii="Times New Roman" w:hAnsi="Times New Roman" w:cs="Times New Roman"/>
          <w:sz w:val="24"/>
          <w:szCs w:val="24"/>
        </w:rPr>
        <w:t xml:space="preserve">Regulamentul nr. 115/2018 </w:t>
      </w:r>
      <w:r w:rsidR="006126C1" w:rsidRPr="002E4BA9">
        <w:rPr>
          <w:rFonts w:ascii="Times New Roman" w:hAnsi="Times New Roman" w:cs="Times New Roman"/>
          <w:sz w:val="24"/>
          <w:szCs w:val="24"/>
        </w:rPr>
        <w:t>în ceea ce privește toate activitățile economice.</w:t>
      </w:r>
    </w:p>
    <w:p w14:paraId="2EFA8726" w14:textId="44A12454" w:rsidR="001167B2" w:rsidRPr="00AF6B97" w:rsidRDefault="001167B2" w:rsidP="00CF70FD">
      <w:r w:rsidRPr="002E4BA9">
        <w:rPr>
          <w:rFonts w:ascii="Times New Roman" w:hAnsi="Times New Roman" w:cs="Times New Roman"/>
          <w:sz w:val="24"/>
          <w:szCs w:val="24"/>
        </w:rPr>
        <w:t xml:space="preserve">9. </w:t>
      </w:r>
      <w:r w:rsidR="006126C1" w:rsidRPr="002E4BA9">
        <w:rPr>
          <w:rFonts w:ascii="Times New Roman" w:hAnsi="Times New Roman" w:cs="Times New Roman"/>
          <w:sz w:val="24"/>
          <w:szCs w:val="24"/>
        </w:rPr>
        <w:t xml:space="preserve">Formularul include toate expunerile pentru care cerințele de fonduri proprii sunt calculate în conformitate cu </w:t>
      </w:r>
      <w:r w:rsidR="004F0FCD" w:rsidRPr="002E4BA9">
        <w:rPr>
          <w:rFonts w:ascii="Times New Roman" w:hAnsi="Times New Roman" w:cs="Times New Roman"/>
          <w:sz w:val="24"/>
          <w:szCs w:val="24"/>
        </w:rPr>
        <w:t xml:space="preserve">Regulamentul nr. 111/2018 și </w:t>
      </w:r>
      <w:r w:rsidR="004F0FCD" w:rsidRPr="002E4BA9">
        <w:rPr>
          <w:rFonts w:ascii="Times New Roman" w:hAnsi="Times New Roman" w:cs="Times New Roman"/>
          <w:sz w:val="24"/>
          <w:szCs w:val="24"/>
          <w:lang w:eastAsia="ro-MD"/>
        </w:rPr>
        <w:t>Regulamentul nr. 220/2025.</w:t>
      </w:r>
      <w:r w:rsidR="008C53B0">
        <w:rPr>
          <w:rFonts w:ascii="Times New Roman" w:hAnsi="Times New Roman" w:cs="Times New Roman"/>
          <w:sz w:val="24"/>
          <w:szCs w:val="24"/>
          <w:lang w:eastAsia="ro-MD"/>
        </w:rPr>
        <w:t xml:space="preserve"> </w:t>
      </w:r>
      <w:r w:rsidR="006126C1" w:rsidRPr="002E4BA9">
        <w:rPr>
          <w:rFonts w:ascii="Times New Roman" w:hAnsi="Times New Roman" w:cs="Times New Roman"/>
          <w:sz w:val="24"/>
          <w:szCs w:val="24"/>
        </w:rPr>
        <w:t xml:space="preserve">Prin urmare, formularul oferă nu numai informații detaliate privind tipul de expunere (de exemplu, elemente </w:t>
      </w:r>
      <w:r w:rsidR="006126C1" w:rsidRPr="002E4BA9">
        <w:rPr>
          <w:rFonts w:ascii="Times New Roman" w:hAnsi="Times New Roman" w:cs="Times New Roman"/>
          <w:sz w:val="24"/>
          <w:szCs w:val="24"/>
        </w:rPr>
        <w:lastRenderedPageBreak/>
        <w:t>bilanțiere/</w:t>
      </w:r>
      <w:proofErr w:type="spellStart"/>
      <w:r w:rsidR="006126C1" w:rsidRPr="002E4BA9">
        <w:rPr>
          <w:rFonts w:ascii="Times New Roman" w:hAnsi="Times New Roman" w:cs="Times New Roman"/>
          <w:sz w:val="24"/>
          <w:szCs w:val="24"/>
        </w:rPr>
        <w:t>extrabilanțiere</w:t>
      </w:r>
      <w:proofErr w:type="spellEnd"/>
      <w:r w:rsidR="006126C1" w:rsidRPr="002E4BA9">
        <w:rPr>
          <w:rFonts w:ascii="Times New Roman" w:hAnsi="Times New Roman" w:cs="Times New Roman"/>
          <w:sz w:val="24"/>
          <w:szCs w:val="24"/>
        </w:rPr>
        <w:t>), dar și informații cu privire la alocarea ponderilor de risc în cadrul respectivelor clase de expuneri.</w:t>
      </w:r>
      <w:bookmarkStart w:id="26" w:name="_Toc264033212"/>
      <w:bookmarkStart w:id="27" w:name="_Toc294166813"/>
      <w:bookmarkStart w:id="28" w:name="_Toc294256386"/>
      <w:bookmarkStart w:id="29" w:name="_Toc294256487"/>
      <w:bookmarkStart w:id="30" w:name="_Toc294267371"/>
      <w:bookmarkStart w:id="31" w:name="_Toc294267476"/>
      <w:bookmarkStart w:id="32" w:name="_Toc294267607"/>
      <w:bookmarkStart w:id="33" w:name="_Toc294267709"/>
      <w:bookmarkStart w:id="34" w:name="_Toc294274817"/>
      <w:bookmarkStart w:id="35" w:name="_Toc294280261"/>
      <w:bookmarkStart w:id="36" w:name="_Toc294281586"/>
      <w:bookmarkStart w:id="37" w:name="_Toc294281806"/>
      <w:bookmarkStart w:id="38" w:name="_Toc294282020"/>
      <w:bookmarkStart w:id="39" w:name="_Toc294282223"/>
      <w:bookmarkStart w:id="40" w:name="_Toc294714158"/>
      <w:bookmarkStart w:id="41" w:name="_Toc295314184"/>
      <w:bookmarkStart w:id="42" w:name="_Toc295829573"/>
      <w:bookmarkStart w:id="43" w:name="_Toc295829856"/>
      <w:bookmarkStart w:id="44" w:name="_Toc301772744"/>
      <w:bookmarkStart w:id="45" w:name="_Toc301772822"/>
      <w:bookmarkStart w:id="46" w:name="_Toc302657761"/>
      <w:bookmarkStart w:id="47" w:name="_Toc302657880"/>
      <w:bookmarkStart w:id="48" w:name="_Toc307582992"/>
      <w:bookmarkStart w:id="49" w:name="_Toc307583014"/>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28844D5" w14:textId="77777777" w:rsidR="001167B2" w:rsidRPr="00AF6B97" w:rsidRDefault="001167B2" w:rsidP="00CF70FD">
      <w:r w:rsidRPr="002E4BA9">
        <w:rPr>
          <w:rFonts w:ascii="Times New Roman" w:hAnsi="Times New Roman" w:cs="Times New Roman"/>
          <w:sz w:val="24"/>
          <w:szCs w:val="24"/>
        </w:rPr>
        <w:t xml:space="preserve">10. </w:t>
      </w:r>
      <w:r w:rsidR="006126C1" w:rsidRPr="002E4BA9">
        <w:rPr>
          <w:rFonts w:ascii="Times New Roman" w:hAnsi="Times New Roman" w:cs="Times New Roman"/>
          <w:sz w:val="24"/>
          <w:szCs w:val="24"/>
        </w:rPr>
        <w:t xml:space="preserve">În plus, CR SA include elemente memorandum pe rândurile 0290-0330 pentru a colecta informații suplimentare cu privire la expunerile garantate cu ipoteci asupra bunurilor imobile și la expunerile ADC și expunerile în stare de nerambursare. </w:t>
      </w:r>
    </w:p>
    <w:p w14:paraId="6554410B" w14:textId="77777777" w:rsidR="001167B2" w:rsidRPr="00AF6B97" w:rsidRDefault="001167B2" w:rsidP="00CF70FD">
      <w:r w:rsidRPr="002E4BA9">
        <w:rPr>
          <w:rFonts w:ascii="Times New Roman" w:hAnsi="Times New Roman" w:cs="Times New Roman"/>
          <w:sz w:val="24"/>
          <w:szCs w:val="24"/>
        </w:rPr>
        <w:t xml:space="preserve">11. </w:t>
      </w:r>
      <w:r w:rsidR="006126C1" w:rsidRPr="002E4BA9">
        <w:rPr>
          <w:rFonts w:ascii="Times New Roman" w:hAnsi="Times New Roman" w:cs="Times New Roman"/>
          <w:sz w:val="24"/>
          <w:szCs w:val="24"/>
        </w:rPr>
        <w:t xml:space="preserve">Aceste elemente memorandum trebuie raportate numai pentru următoarele clase de expuneri: </w:t>
      </w:r>
    </w:p>
    <w:p w14:paraId="2D391246" w14:textId="0CA5A4DB" w:rsidR="001167B2" w:rsidRPr="00AF6B97" w:rsidRDefault="001167B2" w:rsidP="00CF70FD">
      <w:r w:rsidRPr="002E4BA9">
        <w:rPr>
          <w:rFonts w:ascii="Times New Roman" w:hAnsi="Times New Roman" w:cs="Times New Roman"/>
          <w:sz w:val="24"/>
          <w:szCs w:val="24"/>
        </w:rPr>
        <w:t xml:space="preserve">11.1. </w:t>
      </w:r>
      <w:r w:rsidR="006126C1" w:rsidRPr="002E4BA9">
        <w:rPr>
          <w:rFonts w:ascii="Times New Roman" w:hAnsi="Times New Roman" w:cs="Times New Roman"/>
          <w:sz w:val="24"/>
          <w:szCs w:val="24"/>
        </w:rPr>
        <w:t>față de administrații centrale sau bănci centrale;</w:t>
      </w:r>
    </w:p>
    <w:p w14:paraId="70B34949" w14:textId="5BB4089E" w:rsidR="001167B2" w:rsidRPr="00AF6B97" w:rsidRDefault="001167B2" w:rsidP="00CF70FD">
      <w:r w:rsidRPr="002E4BA9">
        <w:rPr>
          <w:rFonts w:ascii="Times New Roman" w:hAnsi="Times New Roman" w:cs="Times New Roman"/>
          <w:sz w:val="24"/>
          <w:szCs w:val="24"/>
        </w:rPr>
        <w:t xml:space="preserve">11.2. </w:t>
      </w:r>
      <w:r w:rsidR="006126C1" w:rsidRPr="002E4BA9">
        <w:rPr>
          <w:rFonts w:ascii="Times New Roman" w:hAnsi="Times New Roman" w:cs="Times New Roman"/>
          <w:sz w:val="24"/>
          <w:szCs w:val="24"/>
        </w:rPr>
        <w:t>față de administrații regionale sau autorități locale;</w:t>
      </w:r>
    </w:p>
    <w:p w14:paraId="3987821A" w14:textId="20009150" w:rsidR="001167B2" w:rsidRPr="00AF6B97" w:rsidRDefault="001167B2" w:rsidP="00CF70FD">
      <w:r w:rsidRPr="002E4BA9">
        <w:rPr>
          <w:rFonts w:ascii="Times New Roman" w:hAnsi="Times New Roman" w:cs="Times New Roman"/>
          <w:sz w:val="24"/>
          <w:szCs w:val="24"/>
        </w:rPr>
        <w:t xml:space="preserve">11.3. </w:t>
      </w:r>
      <w:r w:rsidR="006126C1" w:rsidRPr="002E4BA9">
        <w:rPr>
          <w:rFonts w:ascii="Times New Roman" w:hAnsi="Times New Roman" w:cs="Times New Roman"/>
          <w:sz w:val="24"/>
          <w:szCs w:val="24"/>
        </w:rPr>
        <w:t>față de entități din sectorul public;</w:t>
      </w:r>
    </w:p>
    <w:p w14:paraId="48B39622" w14:textId="51C19694" w:rsidR="001167B2" w:rsidRPr="00AF6B97" w:rsidRDefault="001167B2" w:rsidP="00CF70FD">
      <w:r w:rsidRPr="002E4BA9">
        <w:rPr>
          <w:rFonts w:ascii="Times New Roman" w:hAnsi="Times New Roman" w:cs="Times New Roman"/>
          <w:sz w:val="24"/>
          <w:szCs w:val="24"/>
        </w:rPr>
        <w:t xml:space="preserve">11.4. </w:t>
      </w:r>
      <w:r w:rsidR="006126C1" w:rsidRPr="002E4BA9">
        <w:rPr>
          <w:rFonts w:ascii="Times New Roman" w:hAnsi="Times New Roman" w:cs="Times New Roman"/>
          <w:sz w:val="24"/>
          <w:szCs w:val="24"/>
        </w:rPr>
        <w:t xml:space="preserve">față de </w:t>
      </w:r>
      <w:r w:rsidR="004F0FCD" w:rsidRPr="002E4BA9">
        <w:rPr>
          <w:rFonts w:ascii="Times New Roman" w:hAnsi="Times New Roman" w:cs="Times New Roman"/>
          <w:sz w:val="24"/>
          <w:szCs w:val="24"/>
        </w:rPr>
        <w:t>bănci</w:t>
      </w:r>
      <w:r w:rsidR="006126C1" w:rsidRPr="002E4BA9">
        <w:rPr>
          <w:rFonts w:ascii="Times New Roman" w:hAnsi="Times New Roman" w:cs="Times New Roman"/>
          <w:sz w:val="24"/>
          <w:szCs w:val="24"/>
        </w:rPr>
        <w:t>;</w:t>
      </w:r>
    </w:p>
    <w:p w14:paraId="382199BD" w14:textId="0228B416" w:rsidR="001167B2" w:rsidRPr="00AF6B97" w:rsidRDefault="001167B2" w:rsidP="00CF70FD">
      <w:r w:rsidRPr="002E4BA9">
        <w:rPr>
          <w:rFonts w:ascii="Times New Roman" w:hAnsi="Times New Roman" w:cs="Times New Roman"/>
          <w:sz w:val="24"/>
          <w:szCs w:val="24"/>
        </w:rPr>
        <w:t xml:space="preserve">11.5. </w:t>
      </w:r>
      <w:r w:rsidR="006126C1" w:rsidRPr="002E4BA9">
        <w:rPr>
          <w:rFonts w:ascii="Times New Roman" w:hAnsi="Times New Roman" w:cs="Times New Roman"/>
          <w:sz w:val="24"/>
          <w:szCs w:val="24"/>
        </w:rPr>
        <w:t>față de societăți;</w:t>
      </w:r>
    </w:p>
    <w:p w14:paraId="77B20F47" w14:textId="5A8B24FD" w:rsidR="001167B2" w:rsidRPr="00AF6B97" w:rsidRDefault="001167B2" w:rsidP="00CF70FD">
      <w:r w:rsidRPr="002E4BA9">
        <w:rPr>
          <w:rFonts w:ascii="Times New Roman" w:hAnsi="Times New Roman" w:cs="Times New Roman"/>
          <w:sz w:val="24"/>
          <w:szCs w:val="24"/>
        </w:rPr>
        <w:t xml:space="preserve">11.6. </w:t>
      </w:r>
      <w:r w:rsidR="006126C1" w:rsidRPr="002E4BA9">
        <w:rPr>
          <w:rFonts w:ascii="Times New Roman" w:hAnsi="Times New Roman" w:cs="Times New Roman"/>
          <w:sz w:val="24"/>
          <w:szCs w:val="24"/>
        </w:rPr>
        <w:t>expuneri de tip retail.</w:t>
      </w:r>
    </w:p>
    <w:p w14:paraId="2C637B91" w14:textId="15B4A810" w:rsidR="00957F78" w:rsidRPr="00AF6B97" w:rsidRDefault="001167B2" w:rsidP="00CF70FD">
      <w:r w:rsidRPr="002E4BA9">
        <w:rPr>
          <w:rFonts w:ascii="Times New Roman" w:hAnsi="Times New Roman" w:cs="Times New Roman"/>
          <w:sz w:val="24"/>
          <w:szCs w:val="24"/>
        </w:rPr>
        <w:t xml:space="preserve">12. </w:t>
      </w:r>
      <w:r w:rsidR="006126C1" w:rsidRPr="002E4BA9">
        <w:rPr>
          <w:rFonts w:ascii="Times New Roman" w:hAnsi="Times New Roman" w:cs="Times New Roman"/>
          <w:sz w:val="24"/>
          <w:szCs w:val="24"/>
        </w:rPr>
        <w:t xml:space="preserve">Raportarea elementelor memorandum nu aduce atingere calculului cuantumurilor ponderate la risc ale expunerilor din clasele de expuneri menționate la </w:t>
      </w:r>
      <w:r w:rsidR="00AE33D9" w:rsidRPr="002E4BA9">
        <w:rPr>
          <w:rFonts w:ascii="Times New Roman" w:hAnsi="Times New Roman" w:cs="Times New Roman"/>
          <w:sz w:val="24"/>
          <w:szCs w:val="24"/>
        </w:rPr>
        <w:t>punctul 11 subpunctele 1)-3) și 6)-8) din Regulamentul nr. 111/2018</w:t>
      </w:r>
      <w:r w:rsidR="006126C1" w:rsidRPr="002E4BA9">
        <w:rPr>
          <w:rFonts w:ascii="Times New Roman" w:hAnsi="Times New Roman" w:cs="Times New Roman"/>
          <w:sz w:val="24"/>
          <w:szCs w:val="24"/>
        </w:rPr>
        <w:t xml:space="preserve"> sau din clasele de expuneri menționate la </w:t>
      </w:r>
      <w:r w:rsidR="00AE33D9" w:rsidRPr="002E4BA9">
        <w:rPr>
          <w:rFonts w:ascii="Times New Roman" w:hAnsi="Times New Roman" w:cs="Times New Roman"/>
          <w:sz w:val="24"/>
          <w:szCs w:val="24"/>
        </w:rPr>
        <w:t xml:space="preserve">punctul 11 subpunctele 9) și 10) </w:t>
      </w:r>
      <w:r w:rsidR="006126C1" w:rsidRPr="002E4BA9">
        <w:rPr>
          <w:rFonts w:ascii="Times New Roman" w:hAnsi="Times New Roman" w:cs="Times New Roman"/>
          <w:sz w:val="24"/>
          <w:szCs w:val="24"/>
        </w:rPr>
        <w:t>din regulamentul respectiv care sunt raportate în formularul CR SA.</w:t>
      </w:r>
    </w:p>
    <w:p w14:paraId="23D1B69D" w14:textId="74A88456" w:rsidR="00957F78" w:rsidRPr="00AF6B97" w:rsidRDefault="00957F78" w:rsidP="00CF70FD">
      <w:r w:rsidRPr="002E4BA9">
        <w:rPr>
          <w:rFonts w:ascii="Times New Roman" w:hAnsi="Times New Roman" w:cs="Times New Roman"/>
          <w:sz w:val="24"/>
          <w:szCs w:val="24"/>
        </w:rPr>
        <w:t xml:space="preserve">13. </w:t>
      </w:r>
      <w:r w:rsidR="006126C1" w:rsidRPr="002E4BA9">
        <w:rPr>
          <w:rFonts w:ascii="Times New Roman" w:hAnsi="Times New Roman" w:cs="Times New Roman"/>
          <w:sz w:val="24"/>
          <w:szCs w:val="24"/>
        </w:rPr>
        <w:t xml:space="preserve">Rândurile memorandum furnizează informații suplimentare cu privire la structura, în funcție de debitori, a claselor de expuneri </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în stare de nerambursare</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 xml:space="preserve"> sau </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expuneri garantate cu bunuri imobile și expuneri ADC</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 xml:space="preserve">. Expunerile trebuie raportate pe aceste rânduri în cazul în care debitorii ar fi fost raportați în clasele de expuneri </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administrații centrale sau bănci centrale</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 xml:space="preserve">, </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administrații regionale sau autorități locale</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 xml:space="preserve">, </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entități din sectorul public</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 xml:space="preserve">, </w:t>
      </w:r>
      <w:r w:rsidR="00AE33D9" w:rsidRPr="002E4BA9" w:rsidDel="00AE33D9">
        <w:rPr>
          <w:rFonts w:ascii="Times New Roman" w:hAnsi="Times New Roman" w:cs="Times New Roman"/>
          <w:sz w:val="24"/>
          <w:szCs w:val="24"/>
        </w:rPr>
        <w:t xml:space="preserve"> </w:t>
      </w:r>
      <w:r w:rsidR="00AE33D9" w:rsidRPr="002E4BA9">
        <w:rPr>
          <w:rFonts w:ascii="Times New Roman" w:hAnsi="Times New Roman" w:cs="Times New Roman"/>
          <w:sz w:val="24"/>
          <w:szCs w:val="24"/>
        </w:rPr>
        <w:t>„bănci”,</w:t>
      </w:r>
      <w:r w:rsidR="006126C1" w:rsidRPr="002E4BA9">
        <w:rPr>
          <w:rFonts w:ascii="Times New Roman" w:hAnsi="Times New Roman" w:cs="Times New Roman"/>
          <w:sz w:val="24"/>
          <w:szCs w:val="24"/>
        </w:rPr>
        <w:t xml:space="preserve"> </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societăți</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 xml:space="preserve"> și </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retail</w:t>
      </w:r>
      <w:r w:rsidR="002E4BA9">
        <w:rPr>
          <w:rFonts w:ascii="Times New Roman" w:hAnsi="Times New Roman" w:cs="Times New Roman"/>
          <w:sz w:val="24"/>
          <w:szCs w:val="24"/>
        </w:rPr>
        <w:t>”</w:t>
      </w:r>
      <w:r w:rsidR="006126C1" w:rsidRPr="002E4BA9">
        <w:rPr>
          <w:rFonts w:ascii="Times New Roman" w:hAnsi="Times New Roman" w:cs="Times New Roman"/>
          <w:sz w:val="24"/>
          <w:szCs w:val="24"/>
        </w:rPr>
        <w:t xml:space="preserve"> din CR SA, dacă expunerile respective nu s-ar fi încadrat în clasele de expuneri </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în stare de nerambursare</w:t>
      </w:r>
      <w:r w:rsidR="002E4BA9">
        <w:rPr>
          <w:rFonts w:ascii="Times New Roman" w:hAnsi="Times New Roman" w:cs="Times New Roman"/>
          <w:sz w:val="24"/>
          <w:szCs w:val="24"/>
        </w:rPr>
        <w:t>”</w:t>
      </w:r>
      <w:r w:rsidR="006126C1" w:rsidRPr="002E4BA9">
        <w:rPr>
          <w:rFonts w:ascii="Times New Roman" w:hAnsi="Times New Roman" w:cs="Times New Roman"/>
          <w:sz w:val="24"/>
          <w:szCs w:val="24"/>
        </w:rPr>
        <w:t xml:space="preserve"> sau </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expuneri garantate cu bunuri imobile și expuneri ADC</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 xml:space="preserve">. Cu toate acestea, cifrele raportate sunt aceleași ca cele utilizate pentru calcularea cuantumurilor ponderate la risc ale expunerilor pentru clasele de expuneri </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în stare de nerambursare</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 xml:space="preserve"> sau </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expuneri garantate cu bunuri imobile și expuneri ADC</w:t>
      </w:r>
      <w:r w:rsidR="00AE33D9" w:rsidRPr="002E4BA9">
        <w:rPr>
          <w:rFonts w:ascii="Times New Roman" w:hAnsi="Times New Roman" w:cs="Times New Roman"/>
          <w:sz w:val="24"/>
          <w:szCs w:val="24"/>
        </w:rPr>
        <w:t>”</w:t>
      </w:r>
      <w:r w:rsidR="006126C1" w:rsidRPr="002E4BA9">
        <w:rPr>
          <w:rFonts w:ascii="Times New Roman" w:hAnsi="Times New Roman" w:cs="Times New Roman"/>
          <w:sz w:val="24"/>
          <w:szCs w:val="24"/>
        </w:rPr>
        <w:t>.</w:t>
      </w:r>
    </w:p>
    <w:p w14:paraId="3A87EB9B" w14:textId="5B12881F" w:rsidR="00BC1B62" w:rsidRPr="00AF6B97" w:rsidRDefault="00957F78" w:rsidP="00CF70FD">
      <w:r w:rsidRPr="002E4BA9">
        <w:rPr>
          <w:rFonts w:ascii="Times New Roman" w:hAnsi="Times New Roman" w:cs="Times New Roman"/>
          <w:sz w:val="24"/>
          <w:szCs w:val="24"/>
        </w:rPr>
        <w:t xml:space="preserve">14. </w:t>
      </w:r>
      <w:r w:rsidR="006126C1" w:rsidRPr="002E4BA9">
        <w:rPr>
          <w:rFonts w:ascii="Times New Roman" w:hAnsi="Times New Roman" w:cs="Times New Roman"/>
          <w:sz w:val="24"/>
          <w:szCs w:val="24"/>
        </w:rPr>
        <w:t xml:space="preserve">De exemplu, în cazul în care cuantumul expunerii la risc se calculează în conformitate cu </w:t>
      </w:r>
      <w:r w:rsidR="0070090A" w:rsidRPr="002E4BA9">
        <w:rPr>
          <w:rFonts w:ascii="Times New Roman" w:hAnsi="Times New Roman" w:cs="Times New Roman"/>
          <w:sz w:val="24"/>
          <w:szCs w:val="24"/>
        </w:rPr>
        <w:t>capitolul IV, secțiunea a 14-a din Regulamentul nr. 111/2018</w:t>
      </w:r>
      <w:r w:rsidR="006126C1" w:rsidRPr="002E4BA9">
        <w:rPr>
          <w:rFonts w:ascii="Times New Roman" w:hAnsi="Times New Roman" w:cs="Times New Roman"/>
          <w:sz w:val="24"/>
          <w:szCs w:val="24"/>
        </w:rPr>
        <w:t xml:space="preserve"> și ajustările de valoare reprezintă mai puțin de 20 %, atunci aceste informații sunt raportate în CR SA, pe rândul 0320, în total și în clasa de expuneri </w:t>
      </w:r>
      <w:r w:rsidR="001E36A7">
        <w:rPr>
          <w:rFonts w:ascii="Times New Roman" w:hAnsi="Times New Roman" w:cs="Times New Roman"/>
          <w:sz w:val="24"/>
          <w:szCs w:val="24"/>
        </w:rPr>
        <w:t>„</w:t>
      </w:r>
      <w:r w:rsidR="006126C1" w:rsidRPr="002E4BA9">
        <w:rPr>
          <w:rFonts w:ascii="Times New Roman" w:hAnsi="Times New Roman" w:cs="Times New Roman"/>
          <w:sz w:val="24"/>
          <w:szCs w:val="24"/>
        </w:rPr>
        <w:t>în stare de nerambursare</w:t>
      </w:r>
      <w:r w:rsidR="001E36A7">
        <w:rPr>
          <w:rFonts w:ascii="Times New Roman" w:hAnsi="Times New Roman" w:cs="Times New Roman"/>
          <w:sz w:val="24"/>
          <w:szCs w:val="24"/>
        </w:rPr>
        <w:t>”</w:t>
      </w:r>
      <w:r w:rsidR="006126C1" w:rsidRPr="002E4BA9">
        <w:rPr>
          <w:rFonts w:ascii="Times New Roman" w:hAnsi="Times New Roman" w:cs="Times New Roman"/>
          <w:sz w:val="24"/>
          <w:szCs w:val="24"/>
        </w:rPr>
        <w:t xml:space="preserve">. În cazul în care, înainte de a fi în stare de nerambursare, această expunere a fost o expunere față de o instituție, atunci aceste informații trebuie, de asemenea, raportate pe rândul 0320 din clasa de expuneri </w:t>
      </w:r>
      <w:r w:rsidR="00AE33D9" w:rsidRPr="002E4BA9">
        <w:rPr>
          <w:rFonts w:ascii="Times New Roman" w:hAnsi="Times New Roman" w:cs="Times New Roman"/>
          <w:sz w:val="24"/>
          <w:szCs w:val="24"/>
        </w:rPr>
        <w:t>„bănci”</w:t>
      </w:r>
      <w:r w:rsidR="006126C1" w:rsidRPr="002E4BA9">
        <w:rPr>
          <w:rFonts w:ascii="Times New Roman" w:hAnsi="Times New Roman" w:cs="Times New Roman"/>
          <w:sz w:val="24"/>
          <w:szCs w:val="24"/>
        </w:rPr>
        <w:t>.</w:t>
      </w:r>
    </w:p>
    <w:p w14:paraId="761E53A8" w14:textId="05FD66DB" w:rsidR="00BC1B62" w:rsidRPr="00AF6B97" w:rsidRDefault="00BC1B62" w:rsidP="00CF70FD">
      <w:r w:rsidRPr="002E4BA9">
        <w:rPr>
          <w:rFonts w:ascii="Times New Roman" w:hAnsi="Times New Roman" w:cs="Times New Roman"/>
          <w:sz w:val="24"/>
          <w:szCs w:val="24"/>
        </w:rPr>
        <w:t xml:space="preserve">15. </w:t>
      </w:r>
      <w:r w:rsidR="006126C1" w:rsidRPr="002E4BA9">
        <w:rPr>
          <w:rFonts w:ascii="Times New Roman" w:hAnsi="Times New Roman" w:cs="Times New Roman"/>
          <w:sz w:val="24"/>
          <w:szCs w:val="24"/>
        </w:rPr>
        <w:t xml:space="preserve">Pentru a garanta consecvența clasificării expunerilor în diferitele clase de expuneri menționate la </w:t>
      </w:r>
      <w:r w:rsidR="0070090A" w:rsidRPr="002E4BA9">
        <w:rPr>
          <w:rFonts w:ascii="Times New Roman" w:hAnsi="Times New Roman" w:cs="Times New Roman"/>
          <w:sz w:val="24"/>
          <w:szCs w:val="24"/>
        </w:rPr>
        <w:t>punctul 11 din Regulamentul nr. 111/2018</w:t>
      </w:r>
      <w:r w:rsidR="006126C1" w:rsidRPr="002E4BA9">
        <w:rPr>
          <w:rFonts w:ascii="Times New Roman" w:hAnsi="Times New Roman" w:cs="Times New Roman"/>
          <w:sz w:val="24"/>
          <w:szCs w:val="24"/>
        </w:rPr>
        <w:t xml:space="preserve">, se aplică următorul </w:t>
      </w:r>
      <w:r w:rsidR="0070090A" w:rsidRPr="002E4BA9">
        <w:rPr>
          <w:rFonts w:ascii="Times New Roman" w:hAnsi="Times New Roman" w:cs="Times New Roman"/>
          <w:sz w:val="24"/>
          <w:szCs w:val="24"/>
        </w:rPr>
        <w:t xml:space="preserve">proces </w:t>
      </w:r>
      <w:r w:rsidR="006126C1" w:rsidRPr="002E4BA9">
        <w:rPr>
          <w:rFonts w:ascii="Times New Roman" w:hAnsi="Times New Roman" w:cs="Times New Roman"/>
          <w:sz w:val="24"/>
          <w:szCs w:val="24"/>
        </w:rPr>
        <w:t xml:space="preserve">progresiv: </w:t>
      </w:r>
    </w:p>
    <w:p w14:paraId="1EB70D99" w14:textId="75DC4FE1" w:rsidR="00BC1B62" w:rsidRPr="00AF6B97" w:rsidRDefault="00BC1B62" w:rsidP="00CF70FD">
      <w:r w:rsidRPr="002E4BA9">
        <w:rPr>
          <w:rFonts w:ascii="Times New Roman" w:hAnsi="Times New Roman" w:cs="Times New Roman"/>
          <w:sz w:val="24"/>
          <w:szCs w:val="24"/>
        </w:rPr>
        <w:t xml:space="preserve">15.1. </w:t>
      </w:r>
      <w:r w:rsidR="006126C1" w:rsidRPr="002E4BA9">
        <w:rPr>
          <w:rFonts w:ascii="Times New Roman" w:hAnsi="Times New Roman" w:cs="Times New Roman"/>
          <w:sz w:val="24"/>
          <w:szCs w:val="24"/>
        </w:rPr>
        <w:t>într-o primă etapă, expunerea inițială înainte de aplicarea factorilor de conversie trebuie clasificată în clasa de expuneri (inițială) corespunzătoare, fără a aduce atingere tratamentului specific (pondere de risc) pe care fiecare expunere la risc îl primește în cadrul clasei de expuneri alocate;</w:t>
      </w:r>
    </w:p>
    <w:p w14:paraId="1E126EE2" w14:textId="77777777" w:rsidR="00BC1B62" w:rsidRPr="00AF6B97" w:rsidRDefault="00BC1B62" w:rsidP="00CF70FD">
      <w:r w:rsidRPr="002E4BA9">
        <w:rPr>
          <w:rFonts w:ascii="Times New Roman" w:hAnsi="Times New Roman" w:cs="Times New Roman"/>
          <w:sz w:val="24"/>
          <w:szCs w:val="24"/>
        </w:rPr>
        <w:t xml:space="preserve">15.2. </w:t>
      </w:r>
      <w:r w:rsidR="006126C1" w:rsidRPr="002E4BA9">
        <w:rPr>
          <w:rFonts w:ascii="Times New Roman" w:hAnsi="Times New Roman" w:cs="Times New Roman"/>
          <w:sz w:val="24"/>
          <w:szCs w:val="24"/>
        </w:rPr>
        <w:t xml:space="preserve">în a doua etapă, expunerile ar putea fi redistribuite în alte clase de expuneri ca urmare a aplicării tehnicilor de diminuare a riscului de credit cu efect de substituție asupra expunerii (de </w:t>
      </w:r>
      <w:r w:rsidR="006126C1" w:rsidRPr="002E4BA9">
        <w:rPr>
          <w:rFonts w:ascii="Times New Roman" w:hAnsi="Times New Roman" w:cs="Times New Roman"/>
          <w:sz w:val="24"/>
          <w:szCs w:val="24"/>
        </w:rPr>
        <w:lastRenderedPageBreak/>
        <w:t>exemplu, garanțiile, instrumentele financiare derivate de credit, metoda simplă a garanțiilor financiare) prin intrări și ieșiri.</w:t>
      </w:r>
    </w:p>
    <w:p w14:paraId="677A144E" w14:textId="77777777" w:rsidR="00BC1B62" w:rsidRPr="00AF6B97" w:rsidRDefault="00BC1B62" w:rsidP="00CF70FD">
      <w:r w:rsidRPr="002E4BA9">
        <w:rPr>
          <w:rFonts w:ascii="Times New Roman" w:hAnsi="Times New Roman" w:cs="Times New Roman"/>
          <w:sz w:val="24"/>
          <w:szCs w:val="24"/>
        </w:rPr>
        <w:t xml:space="preserve">16. </w:t>
      </w:r>
      <w:r w:rsidR="006126C1" w:rsidRPr="002E4BA9">
        <w:rPr>
          <w:rFonts w:ascii="Times New Roman" w:hAnsi="Times New Roman" w:cs="Times New Roman"/>
          <w:sz w:val="24"/>
          <w:szCs w:val="24"/>
        </w:rPr>
        <w:t>Următoarele criterii se aplică pentru clasificarea expunerii inițiale înainte de aplicarea factorilor de conversie în diferitele clase de expuneri (prima etapă) fără a aduce atingere redistribuirii ulterioare generate de utilizarea tehnicilor de diminuare a riscului de credit cu efect de substituție asupra expunerii sau a tratamentului (ponderea de risc) pe care fiecare expunere la risc îl primește în cadrul clasei de expuneri alocate.</w:t>
      </w:r>
    </w:p>
    <w:p w14:paraId="3D206E79" w14:textId="6FE34A2A" w:rsidR="00BC1B62" w:rsidRPr="00AF6B97" w:rsidRDefault="00BC1B62" w:rsidP="00CF70FD">
      <w:r w:rsidRPr="002E4BA9">
        <w:rPr>
          <w:rFonts w:ascii="Times New Roman" w:hAnsi="Times New Roman" w:cs="Times New Roman"/>
          <w:sz w:val="24"/>
          <w:szCs w:val="24"/>
        </w:rPr>
        <w:t xml:space="preserve">17. </w:t>
      </w:r>
      <w:r w:rsidR="006126C1" w:rsidRPr="002E4BA9">
        <w:rPr>
          <w:rFonts w:ascii="Times New Roman" w:hAnsi="Times New Roman" w:cs="Times New Roman"/>
          <w:sz w:val="24"/>
          <w:szCs w:val="24"/>
        </w:rPr>
        <w:t>În scopul clasificării expunerii inițiale înainte de aplicarea factorilor de conversie în prima etapă, tehnicile de diminuare a riscului de credit aferente expunerii nu trebuie luate în considerare (a se reține faptul că ele trebuie luate în considerare în mod explicit în a doua etapă), cu excepția cazului în care un efect de protecție face parte în mod intrinsec din definiția unei clase de expuneri, astfel cum este cazul clasei de expuneri  garantate cu ipoteci asupra bunurilor imobile și expuneri ADC.</w:t>
      </w:r>
    </w:p>
    <w:p w14:paraId="3607F4CB" w14:textId="2E4E47B3" w:rsidR="00BC1B62" w:rsidRPr="00AF6B97" w:rsidRDefault="00BC1B62" w:rsidP="00CF70FD">
      <w:r w:rsidRPr="002E4BA9">
        <w:rPr>
          <w:rFonts w:ascii="Times New Roman" w:hAnsi="Times New Roman" w:cs="Times New Roman"/>
          <w:sz w:val="24"/>
          <w:szCs w:val="24"/>
        </w:rPr>
        <w:t xml:space="preserve">18. </w:t>
      </w:r>
      <w:r w:rsidR="0070090A" w:rsidRPr="002E4BA9">
        <w:rPr>
          <w:rFonts w:ascii="Times New Roman" w:hAnsi="Times New Roman" w:cs="Times New Roman"/>
          <w:sz w:val="24"/>
          <w:szCs w:val="24"/>
        </w:rPr>
        <w:t>Punctul 11 din Regulamentul nr. 111/2018</w:t>
      </w:r>
      <w:r w:rsidR="00994C65">
        <w:rPr>
          <w:rFonts w:ascii="Times New Roman" w:hAnsi="Times New Roman" w:cs="Times New Roman"/>
          <w:sz w:val="24"/>
          <w:szCs w:val="24"/>
        </w:rPr>
        <w:t xml:space="preserve"> </w:t>
      </w:r>
      <w:r w:rsidR="006126C1" w:rsidRPr="002E4BA9">
        <w:rPr>
          <w:rFonts w:ascii="Times New Roman" w:hAnsi="Times New Roman" w:cs="Times New Roman"/>
          <w:sz w:val="24"/>
          <w:szCs w:val="24"/>
        </w:rPr>
        <w:t xml:space="preserve">nu furnizează criterii pentru disocierea claselor de expuneri. Acest lucru ar putea însemna că o singură expunere ar putea fi clasificată în diferite clase de expuneri dacă nu ar exista nicio ordine a priorităților în ceea ce privește criteriile de evaluare pentru clasificare. Cazul cel mai evident este alegerea </w:t>
      </w:r>
      <w:r w:rsidR="006126C1" w:rsidRPr="002E4BA9">
        <w:rPr>
          <w:rFonts w:ascii="Times New Roman" w:hAnsi="Times New Roman" w:cs="Times New Roman"/>
          <w:spacing w:val="-6"/>
          <w:sz w:val="24"/>
          <w:szCs w:val="24"/>
        </w:rPr>
        <w:t xml:space="preserve">între expunerile față de </w:t>
      </w:r>
      <w:r w:rsidR="0070090A" w:rsidRPr="002E4BA9">
        <w:rPr>
          <w:rFonts w:ascii="Times New Roman" w:hAnsi="Times New Roman" w:cs="Times New Roman"/>
          <w:spacing w:val="-6"/>
          <w:sz w:val="24"/>
          <w:szCs w:val="24"/>
        </w:rPr>
        <w:t xml:space="preserve">bănci </w:t>
      </w:r>
      <w:r w:rsidR="006126C1" w:rsidRPr="002E4BA9">
        <w:rPr>
          <w:rFonts w:ascii="Times New Roman" w:hAnsi="Times New Roman" w:cs="Times New Roman"/>
          <w:spacing w:val="-6"/>
          <w:sz w:val="24"/>
          <w:szCs w:val="24"/>
        </w:rPr>
        <w:t xml:space="preserve">și societăți cu o evaluare de credit pe termen scurt </w:t>
      </w:r>
      <w:r w:rsidR="006126C1" w:rsidRPr="002E4BA9">
        <w:rPr>
          <w:rFonts w:ascii="Times New Roman" w:hAnsi="Times New Roman" w:cs="Times New Roman"/>
          <w:sz w:val="24"/>
          <w:szCs w:val="24"/>
        </w:rPr>
        <w:t xml:space="preserve">și expunerile față de </w:t>
      </w:r>
      <w:r w:rsidR="00863D7E" w:rsidRPr="002E4BA9">
        <w:rPr>
          <w:rFonts w:ascii="Times New Roman" w:hAnsi="Times New Roman" w:cs="Times New Roman"/>
          <w:sz w:val="24"/>
          <w:szCs w:val="24"/>
        </w:rPr>
        <w:t>bănci</w:t>
      </w:r>
      <w:r w:rsidR="00A37913">
        <w:rPr>
          <w:rFonts w:ascii="Times New Roman" w:hAnsi="Times New Roman" w:cs="Times New Roman"/>
          <w:sz w:val="24"/>
          <w:szCs w:val="24"/>
        </w:rPr>
        <w:t xml:space="preserve"> </w:t>
      </w:r>
      <w:r w:rsidR="006126C1" w:rsidRPr="002E4BA9">
        <w:rPr>
          <w:rFonts w:ascii="Times New Roman" w:hAnsi="Times New Roman" w:cs="Times New Roman"/>
          <w:spacing w:val="-4"/>
          <w:sz w:val="24"/>
          <w:szCs w:val="24"/>
        </w:rPr>
        <w:t>sau expunerile față de societăți</w:t>
      </w:r>
      <w:r w:rsidR="006126C1" w:rsidRPr="002E4BA9">
        <w:rPr>
          <w:rFonts w:ascii="Times New Roman" w:hAnsi="Times New Roman" w:cs="Times New Roman"/>
          <w:sz w:val="24"/>
          <w:szCs w:val="24"/>
        </w:rPr>
        <w:t xml:space="preserve">. În acest caz, este evident că există o ordine implicită a priorităților, deoarece trebuie să se evalueze mai întâi dacă o anumită expunere este adecvată pentru a fi încadrată în expunerile pe termen scurt față de </w:t>
      </w:r>
      <w:r w:rsidR="00863D7E" w:rsidRPr="002E4BA9">
        <w:rPr>
          <w:rFonts w:ascii="Times New Roman" w:hAnsi="Times New Roman" w:cs="Times New Roman"/>
          <w:sz w:val="24"/>
          <w:szCs w:val="24"/>
        </w:rPr>
        <w:t xml:space="preserve">bănci </w:t>
      </w:r>
      <w:r w:rsidR="006126C1" w:rsidRPr="002E4BA9">
        <w:rPr>
          <w:rFonts w:ascii="Times New Roman" w:hAnsi="Times New Roman" w:cs="Times New Roman"/>
          <w:sz w:val="24"/>
          <w:szCs w:val="24"/>
        </w:rPr>
        <w:t xml:space="preserve">și societăți, urmând ca doar apoi să se evalueze dacă aceasta poate fi încadrată în expunerile față de </w:t>
      </w:r>
      <w:r w:rsidR="00863D7E" w:rsidRPr="002E4BA9">
        <w:rPr>
          <w:rFonts w:ascii="Times New Roman" w:hAnsi="Times New Roman" w:cs="Times New Roman"/>
          <w:sz w:val="24"/>
          <w:szCs w:val="24"/>
        </w:rPr>
        <w:t xml:space="preserve">bănci </w:t>
      </w:r>
      <w:r w:rsidR="006126C1" w:rsidRPr="002E4BA9">
        <w:rPr>
          <w:rFonts w:ascii="Times New Roman" w:hAnsi="Times New Roman" w:cs="Times New Roman"/>
          <w:sz w:val="24"/>
          <w:szCs w:val="24"/>
        </w:rPr>
        <w:t xml:space="preserve">și expunerile față de societăți. În caz contrar, este evident că nicio expunere nu se va încadra vreodată în clasa de expuneri </w:t>
      </w:r>
      <w:r w:rsidR="00863D7E" w:rsidRPr="002E4BA9">
        <w:rPr>
          <w:rFonts w:ascii="Times New Roman" w:hAnsi="Times New Roman" w:cs="Times New Roman"/>
          <w:spacing w:val="-6"/>
          <w:sz w:val="24"/>
          <w:szCs w:val="24"/>
        </w:rPr>
        <w:t>față de bănci și societăți cu o evaluare de credit pe termen scurt</w:t>
      </w:r>
      <w:r w:rsidR="006126C1" w:rsidRPr="002E4BA9">
        <w:rPr>
          <w:rFonts w:ascii="Times New Roman" w:hAnsi="Times New Roman" w:cs="Times New Roman"/>
          <w:sz w:val="24"/>
          <w:szCs w:val="24"/>
        </w:rPr>
        <w:t>. Exemplul citat este unul dintre cele mai evidente, însă nu este singurul. A se nota faptul că criteriile utilizate pentru stabilirea claselor de expuneri în cadrul abordării standardizate sunt diferite (clasificare instituțională, termenul expunerii, statutul restant etc.), ceea ce constituie principalul motiv pentru nedisocierea grupurilor.</w:t>
      </w:r>
    </w:p>
    <w:p w14:paraId="5635D4AD" w14:textId="78DF54DC" w:rsidR="00BC1B62" w:rsidRPr="00AF6B97" w:rsidRDefault="00BC1B62" w:rsidP="00CF70FD">
      <w:r w:rsidRPr="002E4BA9">
        <w:rPr>
          <w:rFonts w:ascii="Times New Roman" w:hAnsi="Times New Roman" w:cs="Times New Roman"/>
          <w:sz w:val="24"/>
          <w:szCs w:val="24"/>
        </w:rPr>
        <w:t xml:space="preserve">19. </w:t>
      </w:r>
      <w:r w:rsidR="006126C1" w:rsidRPr="002E4BA9">
        <w:rPr>
          <w:rFonts w:ascii="Times New Roman" w:hAnsi="Times New Roman" w:cs="Times New Roman"/>
          <w:sz w:val="24"/>
          <w:szCs w:val="24"/>
        </w:rPr>
        <w:t xml:space="preserve">Pentru o raportare omogenă și comparabilă este necesar să se specifice criteriile de evaluare a ordinii de prioritate pentru încadrarea expunerii inițiale înainte de aplicarea factorilor de conversie pe clase de expuneri, fără a se aduce atingere tratamentului specific (ponderea de risc) pe care fiecare expunere îl primește în cadrul clasei de expuneri alocate. Criteriile de prioritate prezentate mai jos cu ajutorul unei scheme decizionale ramificate se bazează pe evaluarea condițiilor, stabilite în mod explicit în Regulamentul </w:t>
      </w:r>
      <w:r w:rsidR="00597662" w:rsidRPr="002E4BA9">
        <w:rPr>
          <w:rFonts w:ascii="Times New Roman" w:hAnsi="Times New Roman" w:cs="Times New Roman"/>
          <w:sz w:val="24"/>
          <w:szCs w:val="24"/>
        </w:rPr>
        <w:t>nr. 111/2018</w:t>
      </w:r>
      <w:r w:rsidR="006126C1" w:rsidRPr="002E4BA9">
        <w:rPr>
          <w:rFonts w:ascii="Times New Roman" w:hAnsi="Times New Roman" w:cs="Times New Roman"/>
          <w:sz w:val="24"/>
          <w:szCs w:val="24"/>
        </w:rPr>
        <w:t xml:space="preserve">, de încadrare a unei expuneri într-o anumită clasă de expuneri și, dacă este cazul, pe orice decizie a </w:t>
      </w:r>
      <w:r w:rsidR="00597662" w:rsidRPr="002E4BA9">
        <w:rPr>
          <w:rFonts w:ascii="Times New Roman" w:hAnsi="Times New Roman" w:cs="Times New Roman"/>
          <w:sz w:val="24"/>
          <w:szCs w:val="24"/>
        </w:rPr>
        <w:t xml:space="preserve">băncilor </w:t>
      </w:r>
      <w:r w:rsidR="006126C1" w:rsidRPr="002E4BA9">
        <w:rPr>
          <w:rFonts w:ascii="Times New Roman" w:hAnsi="Times New Roman" w:cs="Times New Roman"/>
          <w:sz w:val="24"/>
          <w:szCs w:val="24"/>
        </w:rPr>
        <w:t xml:space="preserve">raportoare sau a supraveghetorului privind aplicabilitatea anumitor clase de expuneri. Prin urmare, rezultatul procesului de încadrare a expunerii în scopuri de raportare trebuie să fie conform cu dispozițiile Regulamentului </w:t>
      </w:r>
      <w:r w:rsidR="00597662" w:rsidRPr="002E4BA9">
        <w:rPr>
          <w:rFonts w:ascii="Times New Roman" w:hAnsi="Times New Roman" w:cs="Times New Roman"/>
          <w:sz w:val="24"/>
          <w:szCs w:val="24"/>
        </w:rPr>
        <w:t>menționat</w:t>
      </w:r>
      <w:r w:rsidR="006126C1" w:rsidRPr="002E4BA9">
        <w:rPr>
          <w:rFonts w:ascii="Times New Roman" w:hAnsi="Times New Roman" w:cs="Times New Roman"/>
          <w:sz w:val="24"/>
          <w:szCs w:val="24"/>
        </w:rPr>
        <w:t xml:space="preserve">. Acest lucru nu împiedică </w:t>
      </w:r>
      <w:r w:rsidR="00597662" w:rsidRPr="002E4BA9">
        <w:rPr>
          <w:rFonts w:ascii="Times New Roman" w:hAnsi="Times New Roman" w:cs="Times New Roman"/>
          <w:sz w:val="24"/>
          <w:szCs w:val="24"/>
        </w:rPr>
        <w:t xml:space="preserve">băncile </w:t>
      </w:r>
      <w:r w:rsidR="006126C1" w:rsidRPr="002E4BA9">
        <w:rPr>
          <w:rFonts w:ascii="Times New Roman" w:hAnsi="Times New Roman" w:cs="Times New Roman"/>
          <w:sz w:val="24"/>
          <w:szCs w:val="24"/>
        </w:rPr>
        <w:t xml:space="preserve">să aplice alte proceduri de încadrare internă care pot fi, de asemenea, conforme cu toate dispozițiile relevante ale Regulamentului </w:t>
      </w:r>
      <w:r w:rsidR="00597662" w:rsidRPr="002E4BA9">
        <w:rPr>
          <w:rFonts w:ascii="Times New Roman" w:hAnsi="Times New Roman" w:cs="Times New Roman"/>
          <w:sz w:val="24"/>
          <w:szCs w:val="24"/>
        </w:rPr>
        <w:t>menționat</w:t>
      </w:r>
      <w:r w:rsidR="006126C1" w:rsidRPr="002E4BA9">
        <w:rPr>
          <w:rFonts w:ascii="Times New Roman" w:hAnsi="Times New Roman" w:cs="Times New Roman"/>
          <w:sz w:val="24"/>
          <w:szCs w:val="24"/>
        </w:rPr>
        <w:t>.</w:t>
      </w:r>
    </w:p>
    <w:p w14:paraId="098A267E" w14:textId="77777777" w:rsidR="00BC1B62" w:rsidRPr="00AF6B97" w:rsidRDefault="00BC1B62" w:rsidP="00CF70FD">
      <w:r w:rsidRPr="002E4BA9">
        <w:rPr>
          <w:rFonts w:ascii="Times New Roman" w:hAnsi="Times New Roman" w:cs="Times New Roman"/>
          <w:sz w:val="24"/>
          <w:szCs w:val="24"/>
        </w:rPr>
        <w:t xml:space="preserve">20. </w:t>
      </w:r>
      <w:r w:rsidR="006126C1" w:rsidRPr="002E4BA9">
        <w:rPr>
          <w:rFonts w:ascii="Times New Roman" w:hAnsi="Times New Roman" w:cs="Times New Roman"/>
          <w:sz w:val="24"/>
          <w:szCs w:val="24"/>
        </w:rPr>
        <w:t>O clasă de expuneri trebuie să fie prioritară față de altele în clasamentul de evaluare din schema decizională ramificată (și anume trebuie mai întâi să se evalueze dacă o expunere poate fi atribuită unei clase de expuneri, fără a se aduce atingere rezultatului acelei evaluări) dacă, în caz contrar, nicio expunere nu ar fi alocată clasei respective. Este vorba despre cazul în care, în absența unor criterii de prioritate, o clasă de expuneri este un subansamblu al altor clase. Prin urmare, criteriile reprezentate grafic în următoarea schemă decizională ramificată ar funcționa în cadrul unui proces progresiv.</w:t>
      </w:r>
    </w:p>
    <w:p w14:paraId="2E4EA704" w14:textId="651E46A2" w:rsidR="006126C1" w:rsidRPr="00AF6B97" w:rsidRDefault="00BC1B62" w:rsidP="00CF70FD">
      <w:r w:rsidRPr="002E4BA9">
        <w:rPr>
          <w:rFonts w:ascii="Times New Roman" w:hAnsi="Times New Roman" w:cs="Times New Roman"/>
          <w:sz w:val="24"/>
          <w:szCs w:val="24"/>
        </w:rPr>
        <w:lastRenderedPageBreak/>
        <w:t xml:space="preserve">21. </w:t>
      </w:r>
      <w:r w:rsidR="006126C1" w:rsidRPr="002E4BA9">
        <w:rPr>
          <w:rFonts w:ascii="Times New Roman" w:hAnsi="Times New Roman" w:cs="Times New Roman"/>
          <w:sz w:val="24"/>
          <w:szCs w:val="24"/>
        </w:rPr>
        <w:t>Astfel, clasamentul de evaluare din schema decizională ramificată de mai jos respectă următoarea ordine:</w:t>
      </w:r>
    </w:p>
    <w:p w14:paraId="1A6A2078" w14:textId="7EC8ED47" w:rsidR="006126C1" w:rsidRPr="00AF6B97" w:rsidRDefault="00BC1B62" w:rsidP="00CF70FD">
      <w:r w:rsidRPr="002E4BA9">
        <w:rPr>
          <w:rFonts w:ascii="Times New Roman" w:hAnsi="Times New Roman" w:cs="Times New Roman"/>
          <w:sz w:val="24"/>
          <w:szCs w:val="24"/>
        </w:rPr>
        <w:t>21.1.</w:t>
      </w:r>
      <w:r w:rsidR="006126C1" w:rsidRPr="002E4BA9">
        <w:rPr>
          <w:rFonts w:ascii="Times New Roman" w:hAnsi="Times New Roman" w:cs="Times New Roman"/>
          <w:sz w:val="24"/>
          <w:szCs w:val="24"/>
        </w:rPr>
        <w:t xml:space="preserve"> poziții din securitizare;</w:t>
      </w:r>
    </w:p>
    <w:p w14:paraId="746C512A" w14:textId="52B9574D" w:rsidR="006126C1" w:rsidRPr="00AF6B97" w:rsidRDefault="00BC1B62" w:rsidP="00CF70FD">
      <w:r w:rsidRPr="002E4BA9">
        <w:rPr>
          <w:rFonts w:ascii="Times New Roman" w:hAnsi="Times New Roman" w:cs="Times New Roman"/>
          <w:sz w:val="24"/>
          <w:szCs w:val="24"/>
        </w:rPr>
        <w:t xml:space="preserve">21.2. </w:t>
      </w:r>
      <w:r w:rsidR="006126C1" w:rsidRPr="002E4BA9">
        <w:rPr>
          <w:rFonts w:ascii="Times New Roman" w:hAnsi="Times New Roman" w:cs="Times New Roman"/>
          <w:sz w:val="24"/>
          <w:szCs w:val="24"/>
        </w:rPr>
        <w:t>expuneri sub formă de unități sau acțiuni deținute în organisme de plasament colectiv (OPC);</w:t>
      </w:r>
    </w:p>
    <w:p w14:paraId="7A72B396" w14:textId="5034EF11" w:rsidR="006126C1" w:rsidRPr="00AF6B97" w:rsidRDefault="00BC1B62" w:rsidP="00CF70FD">
      <w:r w:rsidRPr="002E4BA9">
        <w:rPr>
          <w:rFonts w:ascii="Times New Roman" w:hAnsi="Times New Roman" w:cs="Times New Roman"/>
          <w:sz w:val="24"/>
          <w:szCs w:val="24"/>
        </w:rPr>
        <w:t xml:space="preserve">21.3. </w:t>
      </w:r>
      <w:r w:rsidR="006126C1" w:rsidRPr="002E4BA9">
        <w:rPr>
          <w:rFonts w:ascii="Times New Roman" w:hAnsi="Times New Roman" w:cs="Times New Roman"/>
          <w:sz w:val="24"/>
          <w:szCs w:val="24"/>
        </w:rPr>
        <w:t>expuneri provenind din titluri de capital;</w:t>
      </w:r>
    </w:p>
    <w:p w14:paraId="1D608119" w14:textId="44E8D1B2" w:rsidR="006126C1" w:rsidRPr="00AF6B97" w:rsidRDefault="00BC1B62" w:rsidP="00CF70FD">
      <w:r w:rsidRPr="002E4BA9">
        <w:rPr>
          <w:rFonts w:ascii="Times New Roman" w:hAnsi="Times New Roman" w:cs="Times New Roman"/>
          <w:sz w:val="24"/>
          <w:szCs w:val="24"/>
        </w:rPr>
        <w:t xml:space="preserve">21.4. </w:t>
      </w:r>
      <w:r w:rsidR="006126C1" w:rsidRPr="002E4BA9">
        <w:rPr>
          <w:rFonts w:ascii="Times New Roman" w:hAnsi="Times New Roman" w:cs="Times New Roman"/>
          <w:sz w:val="24"/>
          <w:szCs w:val="24"/>
        </w:rPr>
        <w:t>expuneri în stare de nerambursare;</w:t>
      </w:r>
    </w:p>
    <w:p w14:paraId="1A455C73" w14:textId="0B6B05C8" w:rsidR="006126C1" w:rsidRPr="00AF6B97" w:rsidRDefault="00BC1B62" w:rsidP="00CF70FD">
      <w:r w:rsidRPr="002E4BA9">
        <w:rPr>
          <w:rFonts w:ascii="Times New Roman" w:hAnsi="Times New Roman" w:cs="Times New Roman"/>
          <w:sz w:val="24"/>
          <w:szCs w:val="24"/>
        </w:rPr>
        <w:t xml:space="preserve">21.5. </w:t>
      </w:r>
      <w:r w:rsidR="006126C1" w:rsidRPr="002E4BA9">
        <w:rPr>
          <w:rFonts w:ascii="Times New Roman" w:hAnsi="Times New Roman" w:cs="Times New Roman"/>
          <w:sz w:val="24"/>
          <w:szCs w:val="24"/>
        </w:rPr>
        <w:t>expuneri din datorii subordonate;</w:t>
      </w:r>
    </w:p>
    <w:p w14:paraId="44F508B7" w14:textId="77777777" w:rsidR="00BC1B62" w:rsidRPr="00AF6B97" w:rsidRDefault="00BC1B62" w:rsidP="00CF70FD">
      <w:r w:rsidRPr="002E4BA9">
        <w:rPr>
          <w:rFonts w:ascii="Times New Roman" w:hAnsi="Times New Roman" w:cs="Times New Roman"/>
          <w:sz w:val="24"/>
          <w:szCs w:val="24"/>
        </w:rPr>
        <w:t xml:space="preserve">21.6. </w:t>
      </w:r>
      <w:r w:rsidR="006126C1" w:rsidRPr="002E4BA9">
        <w:rPr>
          <w:rFonts w:ascii="Times New Roman" w:hAnsi="Times New Roman" w:cs="Times New Roman"/>
          <w:sz w:val="24"/>
          <w:szCs w:val="24"/>
        </w:rPr>
        <w:t>expuneri sub formă de obligațiuni garantate (clase de expuneri disociate);</w:t>
      </w:r>
    </w:p>
    <w:p w14:paraId="5FFCBC58" w14:textId="0ECB0EF4" w:rsidR="006126C1" w:rsidRPr="00AF6B97" w:rsidRDefault="00BC1B62" w:rsidP="00CF70FD">
      <w:r w:rsidRPr="002E4BA9">
        <w:rPr>
          <w:rFonts w:ascii="Times New Roman" w:hAnsi="Times New Roman" w:cs="Times New Roman"/>
          <w:sz w:val="24"/>
          <w:szCs w:val="24"/>
        </w:rPr>
        <w:t>21.7.</w:t>
      </w:r>
      <w:r w:rsidR="006126C1" w:rsidRPr="002E4BA9">
        <w:rPr>
          <w:rFonts w:ascii="Times New Roman" w:hAnsi="Times New Roman" w:cs="Times New Roman"/>
          <w:sz w:val="24"/>
          <w:szCs w:val="24"/>
        </w:rPr>
        <w:t xml:space="preserve"> expuneri garantate cu ipoteci asupra bunurilor imobile și expuneri ADC;</w:t>
      </w:r>
    </w:p>
    <w:p w14:paraId="600E98BE" w14:textId="77777777" w:rsidR="00BC1B62" w:rsidRPr="00AF6B97" w:rsidRDefault="00BC1B62" w:rsidP="00CF70FD">
      <w:r w:rsidRPr="002E4BA9">
        <w:rPr>
          <w:rFonts w:ascii="Times New Roman" w:hAnsi="Times New Roman" w:cs="Times New Roman"/>
          <w:sz w:val="24"/>
          <w:szCs w:val="24"/>
        </w:rPr>
        <w:t xml:space="preserve">21.8. </w:t>
      </w:r>
      <w:r w:rsidR="006126C1" w:rsidRPr="002E4BA9">
        <w:rPr>
          <w:rFonts w:ascii="Times New Roman" w:hAnsi="Times New Roman" w:cs="Times New Roman"/>
          <w:sz w:val="24"/>
          <w:szCs w:val="24"/>
        </w:rPr>
        <w:t>alte elemente;</w:t>
      </w:r>
    </w:p>
    <w:p w14:paraId="0B605EC9" w14:textId="30371DF4" w:rsidR="006126C1" w:rsidRPr="00AF6B97" w:rsidRDefault="00BC1B62" w:rsidP="00CF70FD">
      <w:r w:rsidRPr="002E4BA9">
        <w:rPr>
          <w:rFonts w:ascii="Times New Roman" w:hAnsi="Times New Roman" w:cs="Times New Roman"/>
          <w:sz w:val="24"/>
          <w:szCs w:val="24"/>
        </w:rPr>
        <w:t xml:space="preserve">21.9. </w:t>
      </w:r>
      <w:r w:rsidR="006126C1" w:rsidRPr="002E4BA9">
        <w:rPr>
          <w:rFonts w:ascii="Times New Roman" w:hAnsi="Times New Roman" w:cs="Times New Roman"/>
          <w:sz w:val="24"/>
          <w:szCs w:val="24"/>
        </w:rPr>
        <w:t xml:space="preserve">expuneri față de </w:t>
      </w:r>
      <w:r w:rsidR="00F76F60" w:rsidRPr="002E4BA9">
        <w:rPr>
          <w:rFonts w:ascii="Times New Roman" w:hAnsi="Times New Roman" w:cs="Times New Roman"/>
          <w:sz w:val="24"/>
          <w:szCs w:val="24"/>
        </w:rPr>
        <w:t xml:space="preserve">bănci </w:t>
      </w:r>
      <w:r w:rsidR="006126C1" w:rsidRPr="002E4BA9">
        <w:rPr>
          <w:rFonts w:ascii="Times New Roman" w:hAnsi="Times New Roman" w:cs="Times New Roman"/>
          <w:sz w:val="24"/>
          <w:szCs w:val="24"/>
        </w:rPr>
        <w:t>și societăți cu o evaluare de credit pe termen scurt;</w:t>
      </w:r>
    </w:p>
    <w:p w14:paraId="0B20FE32" w14:textId="13A0E180" w:rsidR="006126C1" w:rsidRPr="00AF6B97" w:rsidRDefault="00BC1B62" w:rsidP="00CF70FD">
      <w:r w:rsidRPr="002E4BA9">
        <w:rPr>
          <w:rFonts w:ascii="Times New Roman" w:hAnsi="Times New Roman" w:cs="Times New Roman"/>
          <w:sz w:val="24"/>
          <w:szCs w:val="24"/>
        </w:rPr>
        <w:t>21.</w:t>
      </w:r>
      <w:r w:rsidR="006126C1" w:rsidRPr="002E4BA9">
        <w:rPr>
          <w:rFonts w:ascii="Times New Roman" w:hAnsi="Times New Roman" w:cs="Times New Roman"/>
          <w:sz w:val="24"/>
          <w:szCs w:val="24"/>
        </w:rPr>
        <w:t xml:space="preserve">10. toate celelalte clase de expuneri (clase de expuneri disociate) care includ expuneri față de administrații centrale sau bănci centrale; expuneri față de administrații regionale sau autorități locale; expuneri față de entități din sectorul public; expuneri față de bănci multilaterale de dezvoltare; expuneri față de organizații internaționale; expuneri față de </w:t>
      </w:r>
      <w:r w:rsidR="00F76F60" w:rsidRPr="002E4BA9">
        <w:rPr>
          <w:rFonts w:ascii="Times New Roman" w:hAnsi="Times New Roman" w:cs="Times New Roman"/>
          <w:sz w:val="24"/>
          <w:szCs w:val="24"/>
        </w:rPr>
        <w:t>bănci</w:t>
      </w:r>
      <w:r w:rsidR="006126C1" w:rsidRPr="002E4BA9">
        <w:rPr>
          <w:rFonts w:ascii="Times New Roman" w:hAnsi="Times New Roman" w:cs="Times New Roman"/>
          <w:sz w:val="24"/>
          <w:szCs w:val="24"/>
        </w:rPr>
        <w:t>; expuneri față de societăți și expuneri de tip retail.</w:t>
      </w:r>
    </w:p>
    <w:p w14:paraId="49F02013" w14:textId="10752FF8" w:rsidR="00BC1B62" w:rsidRPr="00AF6B97" w:rsidRDefault="00BC1B62" w:rsidP="00CF70FD">
      <w:r w:rsidRPr="002E4BA9">
        <w:rPr>
          <w:rFonts w:ascii="Times New Roman" w:hAnsi="Times New Roman" w:cs="Times New Roman"/>
          <w:sz w:val="24"/>
          <w:szCs w:val="24"/>
        </w:rPr>
        <w:t xml:space="preserve">22. </w:t>
      </w:r>
      <w:r w:rsidR="006126C1" w:rsidRPr="002E4BA9">
        <w:rPr>
          <w:rFonts w:ascii="Times New Roman" w:hAnsi="Times New Roman" w:cs="Times New Roman"/>
          <w:sz w:val="24"/>
          <w:szCs w:val="24"/>
        </w:rPr>
        <w:t>În cazul expunerilor sub formă de unități sau acțiuni deținute în organisme de plasament colectiv și în cazul în care se utilizează abordarea de tip look-</w:t>
      </w:r>
      <w:proofErr w:type="spellStart"/>
      <w:r w:rsidR="006126C1" w:rsidRPr="002E4BA9">
        <w:rPr>
          <w:rFonts w:ascii="Times New Roman" w:hAnsi="Times New Roman" w:cs="Times New Roman"/>
          <w:sz w:val="24"/>
          <w:szCs w:val="24"/>
        </w:rPr>
        <w:t>through</w:t>
      </w:r>
      <w:proofErr w:type="spellEnd"/>
      <w:r w:rsidR="006126C1" w:rsidRPr="002E4BA9">
        <w:rPr>
          <w:rFonts w:ascii="Times New Roman" w:hAnsi="Times New Roman" w:cs="Times New Roman"/>
          <w:sz w:val="24"/>
          <w:szCs w:val="24"/>
        </w:rPr>
        <w:t xml:space="preserve"> sau abordarea pe bază de mandat </w:t>
      </w:r>
      <w:r w:rsidR="00605B70" w:rsidRPr="002E4BA9">
        <w:rPr>
          <w:rFonts w:ascii="Times New Roman" w:hAnsi="Times New Roman" w:cs="Times New Roman"/>
          <w:sz w:val="24"/>
          <w:szCs w:val="24"/>
        </w:rPr>
        <w:t>(punctele 82</w:t>
      </w:r>
      <w:r w:rsidR="00605B70" w:rsidRPr="002E4BA9">
        <w:rPr>
          <w:rFonts w:ascii="Times New Roman" w:hAnsi="Times New Roman" w:cs="Times New Roman"/>
          <w:sz w:val="24"/>
          <w:szCs w:val="24"/>
          <w:vertAlign w:val="superscript"/>
        </w:rPr>
        <w:t>14</w:t>
      </w:r>
      <w:r w:rsidR="00605B70" w:rsidRPr="002E4BA9">
        <w:rPr>
          <w:rFonts w:ascii="Times New Roman" w:hAnsi="Times New Roman" w:cs="Times New Roman"/>
          <w:sz w:val="24"/>
          <w:szCs w:val="24"/>
        </w:rPr>
        <w:t>-82</w:t>
      </w:r>
      <w:r w:rsidR="00605B70" w:rsidRPr="002E4BA9">
        <w:rPr>
          <w:rFonts w:ascii="Times New Roman" w:hAnsi="Times New Roman" w:cs="Times New Roman"/>
          <w:sz w:val="24"/>
          <w:szCs w:val="24"/>
          <w:vertAlign w:val="superscript"/>
        </w:rPr>
        <w:t>17</w:t>
      </w:r>
      <w:r w:rsidR="00605B70" w:rsidRPr="002E4BA9">
        <w:rPr>
          <w:rFonts w:ascii="Times New Roman" w:hAnsi="Times New Roman" w:cs="Times New Roman"/>
          <w:sz w:val="24"/>
          <w:szCs w:val="24"/>
        </w:rPr>
        <w:t xml:space="preserve"> din regulamentul nr. 111/2018)</w:t>
      </w:r>
      <w:r w:rsidR="006126C1" w:rsidRPr="002E4BA9">
        <w:rPr>
          <w:rFonts w:ascii="Times New Roman" w:hAnsi="Times New Roman" w:cs="Times New Roman"/>
          <w:sz w:val="24"/>
          <w:szCs w:val="24"/>
        </w:rPr>
        <w:t>, expunerile-suport individuale (în cazul abordării de tip look-</w:t>
      </w:r>
      <w:proofErr w:type="spellStart"/>
      <w:r w:rsidR="006126C1" w:rsidRPr="002E4BA9">
        <w:rPr>
          <w:rFonts w:ascii="Times New Roman" w:hAnsi="Times New Roman" w:cs="Times New Roman"/>
          <w:sz w:val="24"/>
          <w:szCs w:val="24"/>
        </w:rPr>
        <w:t>through</w:t>
      </w:r>
      <w:proofErr w:type="spellEnd"/>
      <w:r w:rsidR="006126C1" w:rsidRPr="002E4BA9">
        <w:rPr>
          <w:rFonts w:ascii="Times New Roman" w:hAnsi="Times New Roman" w:cs="Times New Roman"/>
          <w:sz w:val="24"/>
          <w:szCs w:val="24"/>
        </w:rPr>
        <w:t xml:space="preserve">) și grupul individual de expuneri-suport (în cazul abordării pe bază de mandat) sunt luate în considerare și clasificate pe rândul corespunzător al ponderii de risc în funcție de tratamentul acestora, având în vedere că arborele decizional (fără numărul 2) este relevant pentru atribuirea ponderii de risc corespunzătoare. Cu toate acestea, toate expunerile individuale trebuie clasificate în clasa de expuneri </w:t>
      </w:r>
      <w:r w:rsidR="00605B70" w:rsidRPr="002E4BA9">
        <w:rPr>
          <w:rFonts w:ascii="Times New Roman" w:hAnsi="Times New Roman" w:cs="Times New Roman"/>
          <w:sz w:val="24"/>
          <w:szCs w:val="24"/>
        </w:rPr>
        <w:t>„</w:t>
      </w:r>
      <w:r w:rsidR="006126C1" w:rsidRPr="002E4BA9">
        <w:rPr>
          <w:rFonts w:ascii="Times New Roman" w:hAnsi="Times New Roman" w:cs="Times New Roman"/>
          <w:sz w:val="24"/>
          <w:szCs w:val="24"/>
        </w:rPr>
        <w:t>Expuneri sub formă de unități sau acțiuni deținute în organisme de plasament colectiv (OPC)</w:t>
      </w:r>
      <w:r w:rsidR="00605B70" w:rsidRPr="002E4BA9">
        <w:rPr>
          <w:rFonts w:ascii="Times New Roman" w:hAnsi="Times New Roman" w:cs="Times New Roman"/>
          <w:sz w:val="24"/>
          <w:szCs w:val="24"/>
        </w:rPr>
        <w:t>”</w:t>
      </w:r>
      <w:r w:rsidR="006126C1" w:rsidRPr="002E4BA9">
        <w:rPr>
          <w:rFonts w:ascii="Times New Roman" w:hAnsi="Times New Roman" w:cs="Times New Roman"/>
          <w:sz w:val="24"/>
          <w:szCs w:val="24"/>
        </w:rPr>
        <w:t>.</w:t>
      </w:r>
    </w:p>
    <w:p w14:paraId="08D5DB48" w14:textId="7D2724F2" w:rsidR="006126C1" w:rsidRPr="00AF6B97" w:rsidRDefault="00BC1B62" w:rsidP="00CF70FD">
      <w:r w:rsidRPr="002E4BA9">
        <w:rPr>
          <w:rFonts w:ascii="Times New Roman" w:hAnsi="Times New Roman" w:cs="Times New Roman"/>
          <w:sz w:val="24"/>
          <w:szCs w:val="24"/>
        </w:rPr>
        <w:t>23.</w:t>
      </w:r>
      <w:r w:rsidR="006126C1" w:rsidRPr="002E4BA9">
        <w:rPr>
          <w:rFonts w:ascii="Times New Roman" w:hAnsi="Times New Roman" w:cs="Times New Roman"/>
          <w:sz w:val="24"/>
          <w:szCs w:val="24"/>
        </w:rPr>
        <w:t xml:space="preserve"> Instrumentele financiare derivate de credit de tipul </w:t>
      </w:r>
      <w:r w:rsidR="00F76F60" w:rsidRPr="002E4BA9">
        <w:rPr>
          <w:rFonts w:ascii="Times New Roman" w:hAnsi="Times New Roman" w:cs="Times New Roman"/>
          <w:sz w:val="24"/>
          <w:szCs w:val="24"/>
        </w:rPr>
        <w:t>„al n-lea caz de nerambursare”</w:t>
      </w:r>
      <w:r w:rsidR="002E4BA9">
        <w:rPr>
          <w:rFonts w:ascii="Times New Roman" w:hAnsi="Times New Roman" w:cs="Times New Roman"/>
          <w:sz w:val="24"/>
          <w:szCs w:val="24"/>
        </w:rPr>
        <w:t xml:space="preserve"> </w:t>
      </w:r>
      <w:r w:rsidR="00F76F60" w:rsidRPr="002E4BA9">
        <w:rPr>
          <w:rFonts w:ascii="Times New Roman" w:hAnsi="Times New Roman" w:cs="Times New Roman"/>
          <w:sz w:val="24"/>
          <w:szCs w:val="24"/>
        </w:rPr>
        <w:t>(</w:t>
      </w:r>
      <w:r w:rsidR="006126C1" w:rsidRPr="002E4BA9">
        <w:rPr>
          <w:rFonts w:ascii="Times New Roman" w:hAnsi="Times New Roman" w:cs="Times New Roman"/>
          <w:sz w:val="24"/>
          <w:szCs w:val="24"/>
        </w:rPr>
        <w:t>n-</w:t>
      </w:r>
      <w:proofErr w:type="spellStart"/>
      <w:r w:rsidR="006126C1" w:rsidRPr="002E4BA9">
        <w:rPr>
          <w:rFonts w:ascii="Times New Roman" w:hAnsi="Times New Roman" w:cs="Times New Roman"/>
          <w:sz w:val="24"/>
          <w:szCs w:val="24"/>
        </w:rPr>
        <w:t>th</w:t>
      </w:r>
      <w:proofErr w:type="spellEnd"/>
      <w:r w:rsidR="006126C1" w:rsidRPr="002E4BA9">
        <w:rPr>
          <w:rFonts w:ascii="Times New Roman" w:hAnsi="Times New Roman" w:cs="Times New Roman"/>
          <w:sz w:val="24"/>
          <w:szCs w:val="24"/>
        </w:rPr>
        <w:t>-</w:t>
      </w:r>
      <w:proofErr w:type="spellStart"/>
      <w:r w:rsidR="006126C1" w:rsidRPr="002E4BA9">
        <w:rPr>
          <w:rFonts w:ascii="Times New Roman" w:hAnsi="Times New Roman" w:cs="Times New Roman"/>
          <w:sz w:val="24"/>
          <w:szCs w:val="24"/>
        </w:rPr>
        <w:t>to-default</w:t>
      </w:r>
      <w:proofErr w:type="spellEnd"/>
      <w:r w:rsidR="00F76F60" w:rsidRPr="002E4BA9">
        <w:rPr>
          <w:rFonts w:ascii="Times New Roman" w:hAnsi="Times New Roman" w:cs="Times New Roman"/>
          <w:sz w:val="24"/>
          <w:szCs w:val="24"/>
        </w:rPr>
        <w:t>)</w:t>
      </w:r>
      <w:r w:rsidR="006126C1" w:rsidRPr="002E4BA9">
        <w:rPr>
          <w:rFonts w:ascii="Times New Roman" w:hAnsi="Times New Roman" w:cs="Times New Roman"/>
          <w:sz w:val="24"/>
          <w:szCs w:val="24"/>
        </w:rPr>
        <w:t xml:space="preserve"> menționate la </w:t>
      </w:r>
      <w:r w:rsidR="001B6DEA" w:rsidRPr="002E4BA9">
        <w:rPr>
          <w:rFonts w:ascii="Times New Roman" w:hAnsi="Times New Roman" w:cs="Times New Roman"/>
          <w:sz w:val="24"/>
          <w:szCs w:val="24"/>
        </w:rPr>
        <w:t xml:space="preserve">punctul </w:t>
      </w:r>
      <w:r w:rsidR="00994C65">
        <w:rPr>
          <w:rFonts w:ascii="Times New Roman" w:hAnsi="Times New Roman" w:cs="Times New Roman"/>
          <w:sz w:val="24"/>
          <w:szCs w:val="24"/>
        </w:rPr>
        <w:t>93</w:t>
      </w:r>
      <w:r w:rsidR="001B6DEA" w:rsidRPr="002E4BA9">
        <w:rPr>
          <w:rFonts w:ascii="Times New Roman" w:hAnsi="Times New Roman" w:cs="Times New Roman"/>
          <w:sz w:val="24"/>
          <w:szCs w:val="24"/>
        </w:rPr>
        <w:t xml:space="preserve"> din Regulamentul nr. 111/2018</w:t>
      </w:r>
      <w:r w:rsidR="002E4BA9">
        <w:rPr>
          <w:rFonts w:ascii="Times New Roman" w:hAnsi="Times New Roman" w:cs="Times New Roman"/>
          <w:sz w:val="24"/>
          <w:szCs w:val="24"/>
        </w:rPr>
        <w:t xml:space="preserve"> </w:t>
      </w:r>
      <w:r w:rsidR="006126C1" w:rsidRPr="002E4BA9">
        <w:rPr>
          <w:rFonts w:ascii="Times New Roman" w:hAnsi="Times New Roman" w:cs="Times New Roman"/>
          <w:sz w:val="24"/>
          <w:szCs w:val="24"/>
        </w:rPr>
        <w:t xml:space="preserve">care beneficiază de rating trebuie clasificate ca poziții din securitizare. În cazul în care nu beneficiază de rating, acestea trebuie încadrate în clasa de expuneri </w:t>
      </w:r>
      <w:r w:rsidR="001B6DEA" w:rsidRPr="002E4BA9">
        <w:rPr>
          <w:rFonts w:ascii="Times New Roman" w:hAnsi="Times New Roman" w:cs="Times New Roman"/>
          <w:sz w:val="24"/>
          <w:szCs w:val="24"/>
        </w:rPr>
        <w:t>„</w:t>
      </w:r>
      <w:r w:rsidR="006126C1" w:rsidRPr="002E4BA9">
        <w:rPr>
          <w:rFonts w:ascii="Times New Roman" w:hAnsi="Times New Roman" w:cs="Times New Roman"/>
          <w:sz w:val="24"/>
          <w:szCs w:val="24"/>
        </w:rPr>
        <w:t>Alte elemente</w:t>
      </w:r>
      <w:r w:rsidR="001B6DEA" w:rsidRPr="002E4BA9">
        <w:rPr>
          <w:rFonts w:ascii="Times New Roman" w:hAnsi="Times New Roman" w:cs="Times New Roman"/>
          <w:sz w:val="24"/>
          <w:szCs w:val="24"/>
        </w:rPr>
        <w:t>”</w:t>
      </w:r>
      <w:r w:rsidR="006126C1" w:rsidRPr="002E4BA9">
        <w:rPr>
          <w:rFonts w:ascii="Times New Roman" w:hAnsi="Times New Roman" w:cs="Times New Roman"/>
          <w:sz w:val="24"/>
          <w:szCs w:val="24"/>
        </w:rPr>
        <w:t xml:space="preserve">. În acest din urmă caz, valoarea nominală a contractului se raportează ca expunere inițială înainte de aplicarea factorilor de conversie pe rândul </w:t>
      </w:r>
      <w:r w:rsidR="001B6DEA" w:rsidRPr="002E4BA9">
        <w:rPr>
          <w:rFonts w:ascii="Times New Roman" w:hAnsi="Times New Roman" w:cs="Times New Roman"/>
          <w:sz w:val="24"/>
          <w:szCs w:val="24"/>
        </w:rPr>
        <w:t>„</w:t>
      </w:r>
      <w:r w:rsidR="006126C1" w:rsidRPr="002E4BA9">
        <w:rPr>
          <w:rFonts w:ascii="Times New Roman" w:hAnsi="Times New Roman" w:cs="Times New Roman"/>
          <w:sz w:val="24"/>
          <w:szCs w:val="24"/>
        </w:rPr>
        <w:t>Alte ponderi de risc</w:t>
      </w:r>
      <w:r w:rsidR="001B6DEA" w:rsidRPr="002E4BA9">
        <w:rPr>
          <w:rFonts w:ascii="Times New Roman" w:hAnsi="Times New Roman" w:cs="Times New Roman"/>
          <w:sz w:val="24"/>
          <w:szCs w:val="24"/>
        </w:rPr>
        <w:t>”</w:t>
      </w:r>
      <w:r w:rsidR="006126C1" w:rsidRPr="002E4BA9">
        <w:rPr>
          <w:rFonts w:ascii="Times New Roman" w:hAnsi="Times New Roman" w:cs="Times New Roman"/>
          <w:sz w:val="24"/>
          <w:szCs w:val="24"/>
        </w:rPr>
        <w:t xml:space="preserve">. </w:t>
      </w:r>
    </w:p>
    <w:p w14:paraId="054D11FB" w14:textId="77777777" w:rsidR="000E1749" w:rsidRDefault="00BC1B62" w:rsidP="00CF70FD">
      <w:pPr>
        <w:rPr>
          <w:rFonts w:ascii="Times New Roman" w:hAnsi="Times New Roman" w:cs="Times New Roman"/>
          <w:sz w:val="24"/>
          <w:szCs w:val="24"/>
        </w:rPr>
      </w:pPr>
      <w:r w:rsidRPr="002E4BA9">
        <w:rPr>
          <w:rFonts w:ascii="Times New Roman" w:hAnsi="Times New Roman" w:cs="Times New Roman"/>
          <w:sz w:val="24"/>
          <w:szCs w:val="24"/>
        </w:rPr>
        <w:t xml:space="preserve">24. </w:t>
      </w:r>
      <w:r w:rsidR="006126C1" w:rsidRPr="002E4BA9">
        <w:rPr>
          <w:rFonts w:ascii="Times New Roman" w:hAnsi="Times New Roman" w:cs="Times New Roman"/>
          <w:sz w:val="24"/>
          <w:szCs w:val="24"/>
        </w:rPr>
        <w:t>Într-o a doua etapă, ca urmare a aplicării tehnicilor de diminuare a riscului de credit cu efect de substituție, expunerile trebuie să fie realocate în clasa de expuneri a furnizorului de protecție.</w:t>
      </w:r>
    </w:p>
    <w:p w14:paraId="318217E5" w14:textId="77777777" w:rsidR="000E1749" w:rsidRDefault="000E1749" w:rsidP="00CF70FD">
      <w:pPr>
        <w:rPr>
          <w:rFonts w:ascii="Times New Roman" w:hAnsi="Times New Roman" w:cs="Times New Roman"/>
          <w:sz w:val="24"/>
          <w:szCs w:val="24"/>
        </w:rPr>
      </w:pPr>
    </w:p>
    <w:p w14:paraId="295A376D" w14:textId="78B777F6" w:rsidR="006126C1" w:rsidRPr="002E4BA9" w:rsidRDefault="006126C1" w:rsidP="00CF70FD">
      <w:pPr>
        <w:rPr>
          <w:sz w:val="24"/>
          <w:szCs w:val="24"/>
        </w:rPr>
      </w:pPr>
      <w:r w:rsidRPr="002E4BA9">
        <w:rPr>
          <w:rFonts w:ascii="Times New Roman" w:hAnsi="Times New Roman" w:cs="Times New Roman"/>
          <w:sz w:val="24"/>
          <w:szCs w:val="24"/>
        </w:rPr>
        <w:t xml:space="preserve">SCHEMĂ DECIZIONALĂ RAMIFICATĂ PRIVIND MODUL DE ALOCARE A EXPUNERII INIȚIALE ÎNAINTE DE APLICAREA FACTORILOR DE CONVERSIE ÎN CLASELE DE EXPUNERI ALE ABORDĂRII STANDARDIZATE </w:t>
      </w:r>
    </w:p>
    <w:p w14:paraId="050D2379" w14:textId="77777777" w:rsidR="006126C1" w:rsidRPr="00AF6B97" w:rsidRDefault="006126C1" w:rsidP="00A84D2B">
      <w:pPr>
        <w:pStyle w:val="InstructionsText"/>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390"/>
        <w:gridCol w:w="3942"/>
      </w:tblGrid>
      <w:tr w:rsidR="006126C1" w:rsidRPr="001D5512" w14:paraId="29B8C6D2" w14:textId="77777777" w:rsidTr="00D442AC">
        <w:tc>
          <w:tcPr>
            <w:tcW w:w="3651" w:type="dxa"/>
          </w:tcPr>
          <w:p w14:paraId="64168863" w14:textId="77777777" w:rsidR="006126C1" w:rsidRPr="001D5512" w:rsidRDefault="006126C1" w:rsidP="00D442AC">
            <w:pPr>
              <w:spacing w:after="0"/>
              <w:rPr>
                <w:rFonts w:ascii="Times New Roman" w:eastAsia="Times New Roman" w:hAnsi="Times New Roman" w:cs="Times New Roman"/>
                <w:kern w:val="0"/>
                <w:sz w:val="24"/>
                <w:szCs w:val="24"/>
                <w:lang w:val="ro-RO" w:eastAsia="de-DE"/>
                <w14:ligatures w14:val="none"/>
              </w:rPr>
            </w:pPr>
            <w:r w:rsidRPr="001D5512">
              <w:rPr>
                <w:rFonts w:ascii="Times New Roman" w:eastAsia="Times New Roman" w:hAnsi="Times New Roman" w:cs="Times New Roman"/>
                <w:kern w:val="0"/>
                <w:sz w:val="24"/>
                <w:szCs w:val="24"/>
                <w:lang w:val="ro-RO" w:eastAsia="de-DE"/>
                <w14:ligatures w14:val="none"/>
              </w:rPr>
              <w:t>Expunerea inițială înainte de aplicarea factorilor de conversie</w:t>
            </w:r>
          </w:p>
        </w:tc>
        <w:tc>
          <w:tcPr>
            <w:tcW w:w="1390" w:type="dxa"/>
          </w:tcPr>
          <w:p w14:paraId="4F7B16FB" w14:textId="77777777" w:rsidR="006126C1" w:rsidRPr="001D5512" w:rsidRDefault="006126C1" w:rsidP="00A84D2B">
            <w:pPr>
              <w:pStyle w:val="InstructionsText"/>
            </w:pPr>
          </w:p>
        </w:tc>
        <w:tc>
          <w:tcPr>
            <w:tcW w:w="3942" w:type="dxa"/>
          </w:tcPr>
          <w:p w14:paraId="402D6CEE" w14:textId="77777777" w:rsidR="006126C1" w:rsidRPr="001D5512" w:rsidRDefault="006126C1" w:rsidP="00A84D2B">
            <w:pPr>
              <w:pStyle w:val="InstructionsText"/>
            </w:pPr>
          </w:p>
        </w:tc>
      </w:tr>
      <w:tr w:rsidR="006126C1" w:rsidRPr="001D5512" w14:paraId="06B82506" w14:textId="77777777" w:rsidTr="00D442AC">
        <w:tc>
          <w:tcPr>
            <w:tcW w:w="3651" w:type="dxa"/>
          </w:tcPr>
          <w:p w14:paraId="30B03065" w14:textId="2F6A6C95" w:rsidR="006126C1" w:rsidRPr="001D5512" w:rsidRDefault="006126C1" w:rsidP="00A84D2B">
            <w:pPr>
              <w:pStyle w:val="InstructionsText"/>
            </w:pPr>
            <w:r w:rsidRPr="001D5512">
              <w:lastRenderedPageBreak/>
              <w:t xml:space="preserve">Se poate încadra în clasa de expuneri de la </w:t>
            </w:r>
            <w:r w:rsidR="00E70900">
              <w:t>p</w:t>
            </w:r>
            <w:r w:rsidR="00E70900" w:rsidRPr="00ED2BC4">
              <w:t xml:space="preserve">unctul 11 </w:t>
            </w:r>
            <w:r w:rsidR="00E70900">
              <w:t xml:space="preserve">subpunctul 12) </w:t>
            </w:r>
            <w:r w:rsidR="00E70900" w:rsidRPr="00ED2BC4">
              <w:t>din Regulamentul nr. 111/2018</w:t>
            </w:r>
            <w:r w:rsidRPr="001D5512">
              <w:t>?</w:t>
            </w:r>
          </w:p>
        </w:tc>
        <w:tc>
          <w:tcPr>
            <w:tcW w:w="1390" w:type="dxa"/>
          </w:tcPr>
          <w:p w14:paraId="723D5ED1" w14:textId="2356F6A2" w:rsidR="006126C1" w:rsidRPr="001D5512" w:rsidRDefault="006126C1" w:rsidP="00A84D2B">
            <w:pPr>
              <w:pStyle w:val="InstructionsText"/>
            </w:pPr>
            <w:r w:rsidRPr="001D5512">
              <w:t xml:space="preserve">DA </w:t>
            </w:r>
            <w:r w:rsidRPr="001D5512">
              <w:rPr>
                <w:noProof/>
              </w:rPr>
              <w:drawing>
                <wp:inline distT="0" distB="0" distL="0" distR="0" wp14:anchorId="3E83429D" wp14:editId="4C9F5C5F">
                  <wp:extent cx="371475" cy="276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376B66BF" w14:textId="77777777" w:rsidR="006126C1" w:rsidRPr="001D5512" w:rsidRDefault="006126C1" w:rsidP="00A84D2B">
            <w:pPr>
              <w:pStyle w:val="InstructionsText"/>
            </w:pPr>
          </w:p>
        </w:tc>
        <w:tc>
          <w:tcPr>
            <w:tcW w:w="3942" w:type="dxa"/>
          </w:tcPr>
          <w:p w14:paraId="2E5179BD" w14:textId="77777777" w:rsidR="006126C1" w:rsidRPr="001D5512" w:rsidRDefault="006126C1" w:rsidP="00A84D2B">
            <w:pPr>
              <w:pStyle w:val="InstructionsText"/>
            </w:pPr>
            <w:r w:rsidRPr="001D5512">
              <w:t>Poziții din securitizare</w:t>
            </w:r>
          </w:p>
        </w:tc>
      </w:tr>
      <w:tr w:rsidR="006126C1" w:rsidRPr="001D5512" w14:paraId="5E33411B" w14:textId="77777777" w:rsidTr="00D442AC">
        <w:tc>
          <w:tcPr>
            <w:tcW w:w="3651" w:type="dxa"/>
          </w:tcPr>
          <w:p w14:paraId="61711718" w14:textId="0022B02B" w:rsidR="006126C1" w:rsidRPr="001D5512" w:rsidRDefault="006126C1" w:rsidP="00A84D2B">
            <w:pPr>
              <w:pStyle w:val="InstructionsText"/>
            </w:pPr>
            <w:r w:rsidRPr="001D5512">
              <w:t xml:space="preserve">NU </w:t>
            </w:r>
            <w:r w:rsidRPr="001D5512">
              <w:rPr>
                <w:noProof/>
              </w:rPr>
              <w:drawing>
                <wp:inline distT="0" distB="0" distL="0" distR="0" wp14:anchorId="18A79277" wp14:editId="6FAA8C8F">
                  <wp:extent cx="819150" cy="352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4A8FCB3C" w14:textId="77777777" w:rsidR="006126C1" w:rsidRPr="001D5512" w:rsidRDefault="006126C1" w:rsidP="00A84D2B">
            <w:pPr>
              <w:pStyle w:val="InstructionsText"/>
            </w:pPr>
          </w:p>
        </w:tc>
        <w:tc>
          <w:tcPr>
            <w:tcW w:w="1390" w:type="dxa"/>
          </w:tcPr>
          <w:p w14:paraId="09749CA2" w14:textId="77777777" w:rsidR="006126C1" w:rsidRPr="001D5512" w:rsidRDefault="006126C1" w:rsidP="00A84D2B">
            <w:pPr>
              <w:pStyle w:val="InstructionsText"/>
            </w:pPr>
          </w:p>
        </w:tc>
        <w:tc>
          <w:tcPr>
            <w:tcW w:w="3942" w:type="dxa"/>
          </w:tcPr>
          <w:p w14:paraId="59A9B28A" w14:textId="77777777" w:rsidR="006126C1" w:rsidRPr="001D5512" w:rsidRDefault="006126C1" w:rsidP="00A84D2B">
            <w:pPr>
              <w:pStyle w:val="InstructionsText"/>
            </w:pPr>
          </w:p>
        </w:tc>
      </w:tr>
      <w:tr w:rsidR="006126C1" w:rsidRPr="001D5512" w14:paraId="7B762909" w14:textId="77777777" w:rsidTr="00D442AC">
        <w:tc>
          <w:tcPr>
            <w:tcW w:w="3651" w:type="dxa"/>
            <w:tcBorders>
              <w:top w:val="single" w:sz="4" w:space="0" w:color="auto"/>
              <w:left w:val="single" w:sz="4" w:space="0" w:color="auto"/>
              <w:bottom w:val="single" w:sz="4" w:space="0" w:color="auto"/>
              <w:right w:val="single" w:sz="4" w:space="0" w:color="auto"/>
            </w:tcBorders>
          </w:tcPr>
          <w:p w14:paraId="6F559501" w14:textId="3B236CAF" w:rsidR="006126C1" w:rsidRPr="001D5512" w:rsidRDefault="006126C1" w:rsidP="00A84D2B">
            <w:pPr>
              <w:pStyle w:val="InstructionsText"/>
            </w:pPr>
            <w:r w:rsidRPr="001D5512">
              <w:t xml:space="preserve">Se poate încadra în clasele de expuneri de la </w:t>
            </w:r>
            <w:r w:rsidR="00E70900">
              <w:t>p</w:t>
            </w:r>
            <w:r w:rsidR="00E70900" w:rsidRPr="008F3C57">
              <w:t xml:space="preserve">unctul 11 </w:t>
            </w:r>
            <w:r w:rsidR="00E70900">
              <w:t>subpunctul 1</w:t>
            </w:r>
            <w:r w:rsidR="007B6F7D">
              <w:t>4</w:t>
            </w:r>
            <w:r w:rsidR="00E70900">
              <w:t xml:space="preserve">) </w:t>
            </w:r>
            <w:r w:rsidR="00E70900" w:rsidRPr="008F3C57">
              <w:t>din Regulamentul nr. 111/2018</w:t>
            </w:r>
            <w:r w:rsidRPr="001D5512">
              <w:t>?</w:t>
            </w:r>
          </w:p>
        </w:tc>
        <w:tc>
          <w:tcPr>
            <w:tcW w:w="1390" w:type="dxa"/>
            <w:tcBorders>
              <w:top w:val="single" w:sz="4" w:space="0" w:color="auto"/>
              <w:left w:val="single" w:sz="4" w:space="0" w:color="auto"/>
              <w:bottom w:val="single" w:sz="4" w:space="0" w:color="auto"/>
              <w:right w:val="single" w:sz="4" w:space="0" w:color="auto"/>
            </w:tcBorders>
          </w:tcPr>
          <w:p w14:paraId="41422C4B" w14:textId="658B102F" w:rsidR="006126C1" w:rsidRPr="001D5512" w:rsidRDefault="006126C1" w:rsidP="00A84D2B">
            <w:pPr>
              <w:pStyle w:val="InstructionsText"/>
            </w:pPr>
            <w:r w:rsidRPr="001D5512">
              <w:t xml:space="preserve">DA </w:t>
            </w:r>
            <w:r w:rsidRPr="001D5512">
              <w:rPr>
                <w:noProof/>
              </w:rPr>
              <w:drawing>
                <wp:inline distT="0" distB="0" distL="0" distR="0" wp14:anchorId="7CDF4607" wp14:editId="1C8E72F5">
                  <wp:extent cx="371475" cy="276225"/>
                  <wp:effectExtent l="0" t="0" r="9525" b="9525"/>
                  <wp:docPr id="1421772819" name="Picture 142177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22AA0680" w14:textId="77777777" w:rsidR="006126C1" w:rsidRPr="001D5512" w:rsidRDefault="006126C1" w:rsidP="00A84D2B">
            <w:pPr>
              <w:pStyle w:val="InstructionsText"/>
            </w:pPr>
          </w:p>
        </w:tc>
        <w:tc>
          <w:tcPr>
            <w:tcW w:w="3942" w:type="dxa"/>
            <w:tcBorders>
              <w:top w:val="single" w:sz="4" w:space="0" w:color="auto"/>
              <w:left w:val="single" w:sz="4" w:space="0" w:color="auto"/>
              <w:bottom w:val="single" w:sz="4" w:space="0" w:color="auto"/>
              <w:right w:val="single" w:sz="4" w:space="0" w:color="auto"/>
            </w:tcBorders>
          </w:tcPr>
          <w:p w14:paraId="6FC81A63" w14:textId="77777777" w:rsidR="006126C1" w:rsidRPr="001D5512" w:rsidRDefault="006126C1" w:rsidP="00A84D2B">
            <w:pPr>
              <w:pStyle w:val="InstructionsText"/>
            </w:pPr>
            <w:r w:rsidRPr="001D5512">
              <w:t>Expuneri sub formă de unități sau acțiuni deținute în organisme de plasament colectiv (OPC)</w:t>
            </w:r>
          </w:p>
          <w:p w14:paraId="6AA94983" w14:textId="77777777" w:rsidR="006126C1" w:rsidRPr="001D5512" w:rsidRDefault="006126C1" w:rsidP="00A84D2B">
            <w:pPr>
              <w:pStyle w:val="InstructionsText"/>
            </w:pPr>
          </w:p>
        </w:tc>
      </w:tr>
      <w:tr w:rsidR="006126C1" w:rsidRPr="001D5512" w14:paraId="4177342C" w14:textId="77777777" w:rsidTr="00D442AC">
        <w:tc>
          <w:tcPr>
            <w:tcW w:w="3651" w:type="dxa"/>
            <w:tcBorders>
              <w:top w:val="single" w:sz="4" w:space="0" w:color="auto"/>
              <w:left w:val="single" w:sz="4" w:space="0" w:color="auto"/>
              <w:bottom w:val="single" w:sz="4" w:space="0" w:color="auto"/>
              <w:right w:val="single" w:sz="4" w:space="0" w:color="auto"/>
            </w:tcBorders>
          </w:tcPr>
          <w:p w14:paraId="7F114789" w14:textId="396E399C" w:rsidR="006126C1" w:rsidRPr="001D5512" w:rsidRDefault="006126C1" w:rsidP="00A84D2B">
            <w:pPr>
              <w:pStyle w:val="InstructionsText"/>
            </w:pPr>
            <w:r w:rsidRPr="001D5512">
              <w:t xml:space="preserve">NU </w:t>
            </w:r>
            <w:r w:rsidRPr="001D5512">
              <w:rPr>
                <w:noProof/>
              </w:rPr>
              <w:drawing>
                <wp:inline distT="0" distB="0" distL="0" distR="0" wp14:anchorId="1FDCD096" wp14:editId="753ACB14">
                  <wp:extent cx="819150" cy="352425"/>
                  <wp:effectExtent l="0" t="0" r="0" b="9525"/>
                  <wp:docPr id="1936100747" name="Picture 193610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54F249FB" w14:textId="77777777" w:rsidR="006126C1" w:rsidRPr="001D5512" w:rsidRDefault="006126C1" w:rsidP="00A84D2B">
            <w:pPr>
              <w:pStyle w:val="InstructionsText"/>
            </w:pPr>
          </w:p>
        </w:tc>
        <w:tc>
          <w:tcPr>
            <w:tcW w:w="1390" w:type="dxa"/>
            <w:tcBorders>
              <w:top w:val="single" w:sz="4" w:space="0" w:color="auto"/>
              <w:left w:val="single" w:sz="4" w:space="0" w:color="auto"/>
              <w:bottom w:val="single" w:sz="4" w:space="0" w:color="auto"/>
              <w:right w:val="single" w:sz="4" w:space="0" w:color="auto"/>
            </w:tcBorders>
          </w:tcPr>
          <w:p w14:paraId="6E0CFBB8" w14:textId="77777777" w:rsidR="006126C1" w:rsidRPr="001D5512" w:rsidRDefault="006126C1" w:rsidP="00A84D2B">
            <w:pPr>
              <w:pStyle w:val="InstructionsText"/>
            </w:pPr>
          </w:p>
        </w:tc>
        <w:tc>
          <w:tcPr>
            <w:tcW w:w="3942" w:type="dxa"/>
            <w:tcBorders>
              <w:top w:val="single" w:sz="4" w:space="0" w:color="auto"/>
              <w:left w:val="single" w:sz="4" w:space="0" w:color="auto"/>
              <w:bottom w:val="single" w:sz="4" w:space="0" w:color="auto"/>
              <w:right w:val="single" w:sz="4" w:space="0" w:color="auto"/>
            </w:tcBorders>
          </w:tcPr>
          <w:p w14:paraId="0321C45F" w14:textId="77777777" w:rsidR="006126C1" w:rsidRPr="001D5512" w:rsidRDefault="006126C1" w:rsidP="00A84D2B">
            <w:pPr>
              <w:pStyle w:val="InstructionsText"/>
            </w:pPr>
          </w:p>
        </w:tc>
      </w:tr>
      <w:tr w:rsidR="006126C1" w:rsidRPr="001D5512" w14:paraId="34D8B445" w14:textId="77777777" w:rsidTr="00D442AC">
        <w:tc>
          <w:tcPr>
            <w:tcW w:w="3651" w:type="dxa"/>
          </w:tcPr>
          <w:p w14:paraId="151956A7" w14:textId="35953E2D" w:rsidR="006126C1" w:rsidRPr="001D5512" w:rsidRDefault="006126C1" w:rsidP="00A84D2B">
            <w:pPr>
              <w:pStyle w:val="InstructionsText"/>
            </w:pPr>
            <w:r w:rsidRPr="001D5512">
              <w:t xml:space="preserve">Se poate încadra în clasa de expuneri de la </w:t>
            </w:r>
            <w:r w:rsidR="007B6F7D">
              <w:t>p</w:t>
            </w:r>
            <w:r w:rsidR="007B6F7D" w:rsidRPr="008F3C57">
              <w:t xml:space="preserve">unctul 11 </w:t>
            </w:r>
            <w:r w:rsidR="007B6F7D">
              <w:t xml:space="preserve">subpunctul 15) </w:t>
            </w:r>
            <w:r w:rsidR="007B6F7D" w:rsidRPr="008F3C57">
              <w:t>din Regulamentul nr. 111/2018</w:t>
            </w:r>
            <w:r w:rsidRPr="001D5512">
              <w:t>?</w:t>
            </w:r>
          </w:p>
        </w:tc>
        <w:tc>
          <w:tcPr>
            <w:tcW w:w="1390" w:type="dxa"/>
          </w:tcPr>
          <w:p w14:paraId="081E06E9" w14:textId="6C66030B" w:rsidR="006126C1" w:rsidRPr="001D5512" w:rsidRDefault="006126C1" w:rsidP="00A84D2B">
            <w:pPr>
              <w:pStyle w:val="InstructionsText"/>
            </w:pPr>
            <w:r w:rsidRPr="001D5512">
              <w:t xml:space="preserve">DA </w:t>
            </w:r>
            <w:r w:rsidRPr="001D5512">
              <w:rPr>
                <w:noProof/>
              </w:rPr>
              <w:drawing>
                <wp:inline distT="0" distB="0" distL="0" distR="0" wp14:anchorId="6B8DAE22" wp14:editId="355E2F89">
                  <wp:extent cx="371475" cy="276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02FBBBA4" w14:textId="77777777" w:rsidR="006126C1" w:rsidRPr="001D5512" w:rsidRDefault="006126C1" w:rsidP="00A84D2B">
            <w:pPr>
              <w:pStyle w:val="InstructionsText"/>
            </w:pPr>
          </w:p>
        </w:tc>
        <w:tc>
          <w:tcPr>
            <w:tcW w:w="3942" w:type="dxa"/>
          </w:tcPr>
          <w:p w14:paraId="0E5A2F63" w14:textId="64BD343D" w:rsidR="006126C1" w:rsidRPr="001D5512" w:rsidRDefault="006126C1" w:rsidP="00A84D2B">
            <w:pPr>
              <w:pStyle w:val="InstructionsText"/>
            </w:pPr>
            <w:r w:rsidRPr="001D5512">
              <w:t xml:space="preserve">Expuneri provenind din titluri de capital </w:t>
            </w:r>
          </w:p>
        </w:tc>
      </w:tr>
      <w:tr w:rsidR="006126C1" w:rsidRPr="001D5512" w14:paraId="210BFBEE" w14:textId="77777777" w:rsidTr="00D442AC">
        <w:tc>
          <w:tcPr>
            <w:tcW w:w="3651" w:type="dxa"/>
          </w:tcPr>
          <w:p w14:paraId="78889A99" w14:textId="67D9194A" w:rsidR="006126C1" w:rsidRPr="001D5512" w:rsidRDefault="006126C1" w:rsidP="00A84D2B">
            <w:pPr>
              <w:pStyle w:val="InstructionsText"/>
            </w:pPr>
            <w:r w:rsidRPr="001D5512">
              <w:t xml:space="preserve">NU </w:t>
            </w:r>
            <w:r w:rsidRPr="001D5512">
              <w:rPr>
                <w:noProof/>
              </w:rPr>
              <w:drawing>
                <wp:inline distT="0" distB="0" distL="0" distR="0" wp14:anchorId="795264DF" wp14:editId="68F4B180">
                  <wp:extent cx="819150" cy="352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2B9FD020" w14:textId="77777777" w:rsidR="006126C1" w:rsidRPr="001D5512" w:rsidRDefault="006126C1" w:rsidP="00A84D2B">
            <w:pPr>
              <w:pStyle w:val="InstructionsText"/>
            </w:pPr>
          </w:p>
        </w:tc>
        <w:tc>
          <w:tcPr>
            <w:tcW w:w="1390" w:type="dxa"/>
          </w:tcPr>
          <w:p w14:paraId="2D002EDF" w14:textId="77777777" w:rsidR="006126C1" w:rsidRPr="001D5512" w:rsidRDefault="006126C1" w:rsidP="00A84D2B">
            <w:pPr>
              <w:pStyle w:val="InstructionsText"/>
            </w:pPr>
          </w:p>
        </w:tc>
        <w:tc>
          <w:tcPr>
            <w:tcW w:w="3942" w:type="dxa"/>
          </w:tcPr>
          <w:p w14:paraId="7B12F348" w14:textId="77777777" w:rsidR="006126C1" w:rsidRPr="001D5512" w:rsidRDefault="006126C1" w:rsidP="00A84D2B">
            <w:pPr>
              <w:pStyle w:val="InstructionsText"/>
            </w:pPr>
          </w:p>
        </w:tc>
      </w:tr>
      <w:tr w:rsidR="006126C1" w:rsidRPr="001D5512" w14:paraId="1F31AF4E" w14:textId="77777777" w:rsidTr="00D442AC">
        <w:tc>
          <w:tcPr>
            <w:tcW w:w="3651" w:type="dxa"/>
          </w:tcPr>
          <w:p w14:paraId="63CCAD27" w14:textId="6EFEAB73" w:rsidR="006126C1" w:rsidRPr="001D5512" w:rsidRDefault="006126C1" w:rsidP="00A84D2B">
            <w:pPr>
              <w:pStyle w:val="InstructionsText"/>
            </w:pPr>
            <w:r w:rsidRPr="001D5512">
              <w:t xml:space="preserve">Se poate încadra în clasa de expuneri de la </w:t>
            </w:r>
            <w:r w:rsidR="007B6F7D">
              <w:t>p</w:t>
            </w:r>
            <w:r w:rsidR="007B6F7D" w:rsidRPr="008F3C57">
              <w:t xml:space="preserve">unctul 11 </w:t>
            </w:r>
            <w:r w:rsidR="007B6F7D">
              <w:t xml:space="preserve">subpunctul 10) </w:t>
            </w:r>
            <w:r w:rsidR="007B6F7D" w:rsidRPr="008F3C57">
              <w:t>din Regulamentul nr. 111/2018</w:t>
            </w:r>
            <w:r w:rsidRPr="001D5512">
              <w:t>?</w:t>
            </w:r>
          </w:p>
        </w:tc>
        <w:tc>
          <w:tcPr>
            <w:tcW w:w="1390" w:type="dxa"/>
          </w:tcPr>
          <w:p w14:paraId="3E1BAD40" w14:textId="6D476A9A" w:rsidR="006126C1" w:rsidRPr="001D5512" w:rsidRDefault="006126C1" w:rsidP="00A84D2B">
            <w:pPr>
              <w:pStyle w:val="InstructionsText"/>
            </w:pPr>
            <w:r w:rsidRPr="001D5512">
              <w:t xml:space="preserve">DA </w:t>
            </w:r>
            <w:r w:rsidRPr="001D5512">
              <w:rPr>
                <w:noProof/>
              </w:rPr>
              <w:drawing>
                <wp:inline distT="0" distB="0" distL="0" distR="0" wp14:anchorId="0E4A6A53" wp14:editId="57DD9811">
                  <wp:extent cx="371475" cy="276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46D2424C" w14:textId="77777777" w:rsidR="006126C1" w:rsidRPr="001D5512" w:rsidRDefault="006126C1" w:rsidP="00A84D2B">
            <w:pPr>
              <w:pStyle w:val="InstructionsText"/>
            </w:pPr>
          </w:p>
        </w:tc>
        <w:tc>
          <w:tcPr>
            <w:tcW w:w="3942" w:type="dxa"/>
          </w:tcPr>
          <w:p w14:paraId="0B46337B" w14:textId="77777777" w:rsidR="006126C1" w:rsidRPr="001D5512" w:rsidRDefault="006126C1" w:rsidP="00A84D2B">
            <w:pPr>
              <w:pStyle w:val="InstructionsText"/>
            </w:pPr>
            <w:r w:rsidRPr="001D5512">
              <w:t>Expuneri în stare de nerambursare</w:t>
            </w:r>
          </w:p>
        </w:tc>
      </w:tr>
      <w:tr w:rsidR="006126C1" w:rsidRPr="001D5512" w14:paraId="4A2F1A4A" w14:textId="77777777" w:rsidTr="00D442AC">
        <w:tc>
          <w:tcPr>
            <w:tcW w:w="3651" w:type="dxa"/>
          </w:tcPr>
          <w:p w14:paraId="501F10F6" w14:textId="31371804" w:rsidR="006126C1" w:rsidRPr="001D5512" w:rsidRDefault="006126C1" w:rsidP="00A84D2B">
            <w:pPr>
              <w:pStyle w:val="InstructionsText"/>
            </w:pPr>
            <w:r w:rsidRPr="001D5512">
              <w:t xml:space="preserve">NU </w:t>
            </w:r>
            <w:r w:rsidRPr="001D5512">
              <w:rPr>
                <w:noProof/>
              </w:rPr>
              <w:drawing>
                <wp:inline distT="0" distB="0" distL="0" distR="0" wp14:anchorId="6B1F9A91" wp14:editId="36799713">
                  <wp:extent cx="819150" cy="3524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52DA8E19" w14:textId="77777777" w:rsidR="006126C1" w:rsidRPr="001D5512" w:rsidRDefault="006126C1" w:rsidP="00A84D2B">
            <w:pPr>
              <w:pStyle w:val="InstructionsText"/>
            </w:pPr>
          </w:p>
        </w:tc>
        <w:tc>
          <w:tcPr>
            <w:tcW w:w="1390" w:type="dxa"/>
          </w:tcPr>
          <w:p w14:paraId="258A4208" w14:textId="77777777" w:rsidR="006126C1" w:rsidRPr="001D5512" w:rsidRDefault="006126C1" w:rsidP="00A84D2B">
            <w:pPr>
              <w:pStyle w:val="InstructionsText"/>
            </w:pPr>
          </w:p>
        </w:tc>
        <w:tc>
          <w:tcPr>
            <w:tcW w:w="3942" w:type="dxa"/>
          </w:tcPr>
          <w:p w14:paraId="4413E46E" w14:textId="77777777" w:rsidR="006126C1" w:rsidRPr="001D5512" w:rsidRDefault="006126C1" w:rsidP="00A84D2B">
            <w:pPr>
              <w:pStyle w:val="InstructionsText"/>
            </w:pPr>
          </w:p>
        </w:tc>
      </w:tr>
      <w:tr w:rsidR="006126C1" w:rsidRPr="001D5512" w14:paraId="3864B72F" w14:textId="77777777" w:rsidTr="00D442AC">
        <w:tc>
          <w:tcPr>
            <w:tcW w:w="3651" w:type="dxa"/>
          </w:tcPr>
          <w:p w14:paraId="0C1069EB" w14:textId="634697A9" w:rsidR="006126C1" w:rsidRPr="001D5512" w:rsidRDefault="006126C1" w:rsidP="00A84D2B">
            <w:pPr>
              <w:pStyle w:val="InstructionsText"/>
            </w:pPr>
            <w:r w:rsidRPr="001D5512">
              <w:t xml:space="preserve">Se poate încadra în clasa de expuneri de la </w:t>
            </w:r>
            <w:r w:rsidR="007B6F7D">
              <w:t>p</w:t>
            </w:r>
            <w:r w:rsidR="007B6F7D" w:rsidRPr="008F3C57">
              <w:t xml:space="preserve">unctul 11 </w:t>
            </w:r>
            <w:r w:rsidR="007B6F7D">
              <w:t>subpunctul 11</w:t>
            </w:r>
            <w:r w:rsidR="00DC7E7F" w:rsidRPr="00EA59DC">
              <w:rPr>
                <w:vertAlign w:val="superscript"/>
              </w:rPr>
              <w:t>1</w:t>
            </w:r>
            <w:r w:rsidR="007B6F7D">
              <w:t xml:space="preserve">) </w:t>
            </w:r>
            <w:r w:rsidR="007B6F7D" w:rsidRPr="008F3C57">
              <w:t>din Regulamentul nr. 111/2018</w:t>
            </w:r>
            <w:r w:rsidRPr="001D5512">
              <w:t>?</w:t>
            </w:r>
          </w:p>
        </w:tc>
        <w:tc>
          <w:tcPr>
            <w:tcW w:w="1390" w:type="dxa"/>
          </w:tcPr>
          <w:p w14:paraId="6CBC1876" w14:textId="63D89CFF" w:rsidR="006126C1" w:rsidRPr="001D5512" w:rsidRDefault="006126C1" w:rsidP="00A84D2B">
            <w:pPr>
              <w:pStyle w:val="InstructionsText"/>
            </w:pPr>
            <w:r w:rsidRPr="001D5512">
              <w:t xml:space="preserve">DA </w:t>
            </w:r>
            <w:r w:rsidRPr="001D5512">
              <w:rPr>
                <w:noProof/>
              </w:rPr>
              <w:drawing>
                <wp:inline distT="0" distB="0" distL="0" distR="0" wp14:anchorId="71A58B0B" wp14:editId="76D40859">
                  <wp:extent cx="371475" cy="276225"/>
                  <wp:effectExtent l="0" t="0" r="9525" b="9525"/>
                  <wp:docPr id="674480425" name="Picture 67448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07035AA3" w14:textId="77777777" w:rsidR="006126C1" w:rsidRPr="001D5512" w:rsidRDefault="006126C1" w:rsidP="00A84D2B">
            <w:pPr>
              <w:pStyle w:val="InstructionsText"/>
            </w:pPr>
          </w:p>
          <w:p w14:paraId="26B8C4C1" w14:textId="77777777" w:rsidR="006126C1" w:rsidRPr="001D5512" w:rsidRDefault="006126C1" w:rsidP="00A84D2B">
            <w:pPr>
              <w:pStyle w:val="InstructionsText"/>
            </w:pPr>
          </w:p>
        </w:tc>
        <w:tc>
          <w:tcPr>
            <w:tcW w:w="3942" w:type="dxa"/>
          </w:tcPr>
          <w:p w14:paraId="1960FA08" w14:textId="77777777" w:rsidR="006126C1" w:rsidRPr="001D5512" w:rsidRDefault="006126C1" w:rsidP="00A84D2B">
            <w:pPr>
              <w:pStyle w:val="InstructionsText"/>
            </w:pPr>
            <w:r w:rsidRPr="001D5512">
              <w:t>Expuneri din datorii subordonate</w:t>
            </w:r>
          </w:p>
        </w:tc>
      </w:tr>
      <w:tr w:rsidR="006126C1" w:rsidRPr="001D5512" w14:paraId="383A714E" w14:textId="77777777" w:rsidTr="00D442AC">
        <w:tc>
          <w:tcPr>
            <w:tcW w:w="3651" w:type="dxa"/>
          </w:tcPr>
          <w:p w14:paraId="0AD45B59" w14:textId="2E69C477" w:rsidR="006126C1" w:rsidRPr="001D5512" w:rsidRDefault="006126C1" w:rsidP="00A84D2B">
            <w:pPr>
              <w:pStyle w:val="InstructionsText"/>
            </w:pPr>
            <w:r w:rsidRPr="001D5512">
              <w:t xml:space="preserve">NU </w:t>
            </w:r>
            <w:r w:rsidRPr="001D5512">
              <w:rPr>
                <w:noProof/>
              </w:rPr>
              <w:drawing>
                <wp:inline distT="0" distB="0" distL="0" distR="0" wp14:anchorId="3F513924" wp14:editId="2A09E8D4">
                  <wp:extent cx="819150" cy="352425"/>
                  <wp:effectExtent l="0" t="0" r="0" b="9525"/>
                  <wp:docPr id="2129117301" name="Picture 212911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0FC10D92" w14:textId="77777777" w:rsidR="006126C1" w:rsidRPr="001D5512" w:rsidRDefault="006126C1" w:rsidP="00A84D2B">
            <w:pPr>
              <w:pStyle w:val="InstructionsText"/>
            </w:pPr>
          </w:p>
        </w:tc>
        <w:tc>
          <w:tcPr>
            <w:tcW w:w="1390" w:type="dxa"/>
          </w:tcPr>
          <w:p w14:paraId="7C326244" w14:textId="77777777" w:rsidR="006126C1" w:rsidRPr="001D5512" w:rsidRDefault="006126C1" w:rsidP="00A84D2B">
            <w:pPr>
              <w:pStyle w:val="InstructionsText"/>
            </w:pPr>
          </w:p>
        </w:tc>
        <w:tc>
          <w:tcPr>
            <w:tcW w:w="3942" w:type="dxa"/>
          </w:tcPr>
          <w:p w14:paraId="33F0CECE" w14:textId="77777777" w:rsidR="006126C1" w:rsidRPr="001D5512" w:rsidRDefault="006126C1" w:rsidP="00A84D2B">
            <w:pPr>
              <w:pStyle w:val="InstructionsText"/>
            </w:pPr>
          </w:p>
        </w:tc>
      </w:tr>
      <w:tr w:rsidR="006126C1" w:rsidRPr="001D5512" w14:paraId="7658A3D6" w14:textId="77777777" w:rsidTr="00D442AC">
        <w:tc>
          <w:tcPr>
            <w:tcW w:w="3651" w:type="dxa"/>
            <w:tcBorders>
              <w:top w:val="single" w:sz="4" w:space="0" w:color="auto"/>
              <w:left w:val="single" w:sz="4" w:space="0" w:color="auto"/>
              <w:bottom w:val="single" w:sz="4" w:space="0" w:color="auto"/>
              <w:right w:val="single" w:sz="4" w:space="0" w:color="auto"/>
            </w:tcBorders>
          </w:tcPr>
          <w:p w14:paraId="35198737" w14:textId="418F2D0D" w:rsidR="006126C1" w:rsidRPr="001D5512" w:rsidRDefault="006126C1" w:rsidP="00A84D2B">
            <w:pPr>
              <w:pStyle w:val="InstructionsText"/>
            </w:pPr>
            <w:r w:rsidRPr="001D5512">
              <w:t xml:space="preserve">Se poate încadra în clasele de expuneri de la </w:t>
            </w:r>
            <w:r w:rsidR="007B6F7D">
              <w:t>p</w:t>
            </w:r>
            <w:r w:rsidR="007B6F7D" w:rsidRPr="008F3C57">
              <w:t xml:space="preserve">unctul 11 </w:t>
            </w:r>
            <w:r w:rsidR="007B6F7D">
              <w:t>subpunctul 11</w:t>
            </w:r>
            <w:r w:rsidR="00DC7E7F">
              <w:rPr>
                <w:vertAlign w:val="superscript"/>
              </w:rPr>
              <w:t>2</w:t>
            </w:r>
            <w:r w:rsidR="007B6F7D">
              <w:t xml:space="preserve">) </w:t>
            </w:r>
            <w:r w:rsidR="007B6F7D" w:rsidRPr="008F3C57">
              <w:t>din Regulamentul nr. 111/2018</w:t>
            </w:r>
            <w:r w:rsidRPr="001D5512">
              <w:t>?</w:t>
            </w:r>
          </w:p>
        </w:tc>
        <w:tc>
          <w:tcPr>
            <w:tcW w:w="1390" w:type="dxa"/>
            <w:tcBorders>
              <w:top w:val="single" w:sz="4" w:space="0" w:color="auto"/>
              <w:left w:val="single" w:sz="4" w:space="0" w:color="auto"/>
              <w:bottom w:val="single" w:sz="4" w:space="0" w:color="auto"/>
              <w:right w:val="single" w:sz="4" w:space="0" w:color="auto"/>
            </w:tcBorders>
          </w:tcPr>
          <w:p w14:paraId="2F652691" w14:textId="5E1D2B5B" w:rsidR="006126C1" w:rsidRPr="001D5512" w:rsidRDefault="006126C1" w:rsidP="00A84D2B">
            <w:pPr>
              <w:pStyle w:val="InstructionsText"/>
            </w:pPr>
            <w:r w:rsidRPr="001D5512">
              <w:t xml:space="preserve">DA </w:t>
            </w:r>
            <w:r w:rsidRPr="001D5512">
              <w:rPr>
                <w:noProof/>
              </w:rPr>
              <w:drawing>
                <wp:inline distT="0" distB="0" distL="0" distR="0" wp14:anchorId="5935E32F" wp14:editId="03595792">
                  <wp:extent cx="371475" cy="276225"/>
                  <wp:effectExtent l="0" t="0" r="9525" b="9525"/>
                  <wp:docPr id="17" name="Picture 142177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56855D7E" w14:textId="77777777" w:rsidR="006126C1" w:rsidRPr="001D5512" w:rsidRDefault="006126C1" w:rsidP="00A84D2B">
            <w:pPr>
              <w:pStyle w:val="InstructionsText"/>
            </w:pPr>
          </w:p>
        </w:tc>
        <w:tc>
          <w:tcPr>
            <w:tcW w:w="3942" w:type="dxa"/>
            <w:tcBorders>
              <w:top w:val="single" w:sz="4" w:space="0" w:color="auto"/>
              <w:left w:val="single" w:sz="4" w:space="0" w:color="auto"/>
              <w:bottom w:val="single" w:sz="4" w:space="0" w:color="auto"/>
              <w:right w:val="single" w:sz="4" w:space="0" w:color="auto"/>
            </w:tcBorders>
          </w:tcPr>
          <w:p w14:paraId="55609C4A" w14:textId="13AA2C05" w:rsidR="006126C1" w:rsidRPr="001D5512" w:rsidRDefault="006126C1" w:rsidP="00A84D2B">
            <w:pPr>
              <w:pStyle w:val="InstructionsText"/>
            </w:pPr>
            <w:r w:rsidRPr="001D5512">
              <w:t xml:space="preserve">Expuneri sub formă de obligațiuni garantate </w:t>
            </w:r>
          </w:p>
        </w:tc>
      </w:tr>
      <w:tr w:rsidR="006126C1" w:rsidRPr="001D5512" w14:paraId="607A0CA9" w14:textId="77777777" w:rsidTr="00D442AC">
        <w:tc>
          <w:tcPr>
            <w:tcW w:w="3651" w:type="dxa"/>
            <w:tcBorders>
              <w:top w:val="single" w:sz="4" w:space="0" w:color="auto"/>
              <w:left w:val="single" w:sz="4" w:space="0" w:color="auto"/>
              <w:bottom w:val="single" w:sz="4" w:space="0" w:color="auto"/>
              <w:right w:val="single" w:sz="4" w:space="0" w:color="auto"/>
            </w:tcBorders>
          </w:tcPr>
          <w:p w14:paraId="41924A98" w14:textId="2D136768" w:rsidR="006126C1" w:rsidRPr="001D5512" w:rsidRDefault="006126C1" w:rsidP="00A84D2B">
            <w:pPr>
              <w:pStyle w:val="InstructionsText"/>
            </w:pPr>
            <w:r w:rsidRPr="001D5512">
              <w:t xml:space="preserve">NU </w:t>
            </w:r>
            <w:r w:rsidRPr="001D5512">
              <w:rPr>
                <w:noProof/>
              </w:rPr>
              <w:drawing>
                <wp:inline distT="0" distB="0" distL="0" distR="0" wp14:anchorId="1581392F" wp14:editId="197B7BF2">
                  <wp:extent cx="819150" cy="352425"/>
                  <wp:effectExtent l="0" t="0" r="0" b="9525"/>
                  <wp:docPr id="1468957834" name="Picture 1468957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24447AD1" w14:textId="77777777" w:rsidR="006126C1" w:rsidRPr="001D5512" w:rsidRDefault="006126C1" w:rsidP="00A84D2B">
            <w:pPr>
              <w:pStyle w:val="InstructionsText"/>
            </w:pPr>
          </w:p>
        </w:tc>
        <w:tc>
          <w:tcPr>
            <w:tcW w:w="1390" w:type="dxa"/>
            <w:tcBorders>
              <w:top w:val="single" w:sz="4" w:space="0" w:color="auto"/>
              <w:left w:val="single" w:sz="4" w:space="0" w:color="auto"/>
              <w:bottom w:val="single" w:sz="4" w:space="0" w:color="auto"/>
              <w:right w:val="single" w:sz="4" w:space="0" w:color="auto"/>
            </w:tcBorders>
          </w:tcPr>
          <w:p w14:paraId="72287658" w14:textId="77777777" w:rsidR="006126C1" w:rsidRPr="001D5512" w:rsidRDefault="006126C1" w:rsidP="00A84D2B">
            <w:pPr>
              <w:pStyle w:val="InstructionsText"/>
            </w:pPr>
          </w:p>
        </w:tc>
        <w:tc>
          <w:tcPr>
            <w:tcW w:w="3942" w:type="dxa"/>
            <w:tcBorders>
              <w:top w:val="single" w:sz="4" w:space="0" w:color="auto"/>
              <w:left w:val="single" w:sz="4" w:space="0" w:color="auto"/>
              <w:bottom w:val="single" w:sz="4" w:space="0" w:color="auto"/>
              <w:right w:val="single" w:sz="4" w:space="0" w:color="auto"/>
            </w:tcBorders>
          </w:tcPr>
          <w:p w14:paraId="155106AE" w14:textId="77777777" w:rsidR="006126C1" w:rsidRPr="001D5512" w:rsidRDefault="006126C1" w:rsidP="00A84D2B">
            <w:pPr>
              <w:pStyle w:val="InstructionsText"/>
            </w:pPr>
          </w:p>
        </w:tc>
      </w:tr>
      <w:tr w:rsidR="006126C1" w:rsidRPr="001D5512" w14:paraId="3D685E01" w14:textId="77777777" w:rsidTr="00D442AC">
        <w:tc>
          <w:tcPr>
            <w:tcW w:w="3651" w:type="dxa"/>
          </w:tcPr>
          <w:p w14:paraId="4544AC3A" w14:textId="3B62A10E" w:rsidR="006126C1" w:rsidRPr="001D5512" w:rsidRDefault="006126C1" w:rsidP="00A84D2B">
            <w:pPr>
              <w:pStyle w:val="InstructionsText"/>
            </w:pPr>
            <w:r w:rsidRPr="001D5512">
              <w:t xml:space="preserve">Se poate încadra în clasa de expuneri de la </w:t>
            </w:r>
            <w:r w:rsidR="007B6F7D">
              <w:t>p</w:t>
            </w:r>
            <w:r w:rsidR="007B6F7D" w:rsidRPr="008F3C57">
              <w:t xml:space="preserve">unctul 11 </w:t>
            </w:r>
            <w:r w:rsidR="007B6F7D">
              <w:t xml:space="preserve">subpunctul 9) </w:t>
            </w:r>
            <w:r w:rsidR="007B6F7D" w:rsidRPr="008F3C57">
              <w:t>din Regulamentul nr. 111/2018</w:t>
            </w:r>
            <w:r w:rsidRPr="001D5512">
              <w:t>?</w:t>
            </w:r>
          </w:p>
        </w:tc>
        <w:tc>
          <w:tcPr>
            <w:tcW w:w="1390" w:type="dxa"/>
          </w:tcPr>
          <w:p w14:paraId="768FF812" w14:textId="57B062AF" w:rsidR="006126C1" w:rsidRPr="001D5512" w:rsidRDefault="006126C1" w:rsidP="00A84D2B">
            <w:pPr>
              <w:pStyle w:val="InstructionsText"/>
            </w:pPr>
            <w:r w:rsidRPr="001D5512">
              <w:t xml:space="preserve">DA </w:t>
            </w:r>
            <w:r w:rsidRPr="001D5512">
              <w:rPr>
                <w:noProof/>
              </w:rPr>
              <w:drawing>
                <wp:inline distT="0" distB="0" distL="0" distR="0" wp14:anchorId="314EAB69" wp14:editId="3212B356">
                  <wp:extent cx="3714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0C2CC3ED" w14:textId="77777777" w:rsidR="006126C1" w:rsidRPr="001D5512" w:rsidRDefault="006126C1" w:rsidP="00A84D2B">
            <w:pPr>
              <w:pStyle w:val="InstructionsText"/>
            </w:pPr>
          </w:p>
        </w:tc>
        <w:tc>
          <w:tcPr>
            <w:tcW w:w="3942" w:type="dxa"/>
          </w:tcPr>
          <w:p w14:paraId="2C651877" w14:textId="09561FDE" w:rsidR="006126C1" w:rsidRPr="001D5512" w:rsidRDefault="006126C1" w:rsidP="00A84D2B">
            <w:pPr>
              <w:pStyle w:val="InstructionsText"/>
            </w:pPr>
            <w:r w:rsidRPr="001D5512">
              <w:t xml:space="preserve">Expuneri garantate cu ipoteci asupra bunurilor imobile și expuneri ADC </w:t>
            </w:r>
          </w:p>
        </w:tc>
      </w:tr>
      <w:tr w:rsidR="006126C1" w:rsidRPr="001D5512" w14:paraId="4A9AF8FD" w14:textId="77777777" w:rsidTr="00D442AC">
        <w:tc>
          <w:tcPr>
            <w:tcW w:w="3651" w:type="dxa"/>
          </w:tcPr>
          <w:p w14:paraId="67EB1EDB" w14:textId="7D69EEB3" w:rsidR="006126C1" w:rsidRPr="001D5512" w:rsidRDefault="006126C1" w:rsidP="00A84D2B">
            <w:pPr>
              <w:pStyle w:val="InstructionsText"/>
            </w:pPr>
            <w:r w:rsidRPr="001D5512">
              <w:t xml:space="preserve">NU </w:t>
            </w:r>
            <w:r w:rsidRPr="001D5512">
              <w:rPr>
                <w:noProof/>
              </w:rPr>
              <w:drawing>
                <wp:inline distT="0" distB="0" distL="0" distR="0" wp14:anchorId="1276BC11" wp14:editId="70199923">
                  <wp:extent cx="819150" cy="3524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420BB73D" w14:textId="77777777" w:rsidR="006126C1" w:rsidRPr="001D5512" w:rsidRDefault="006126C1" w:rsidP="00A84D2B">
            <w:pPr>
              <w:pStyle w:val="InstructionsText"/>
            </w:pPr>
          </w:p>
        </w:tc>
        <w:tc>
          <w:tcPr>
            <w:tcW w:w="1390" w:type="dxa"/>
          </w:tcPr>
          <w:p w14:paraId="5681666A" w14:textId="77777777" w:rsidR="006126C1" w:rsidRPr="001D5512" w:rsidRDefault="006126C1" w:rsidP="00A84D2B">
            <w:pPr>
              <w:pStyle w:val="InstructionsText"/>
            </w:pPr>
          </w:p>
        </w:tc>
        <w:tc>
          <w:tcPr>
            <w:tcW w:w="3942" w:type="dxa"/>
          </w:tcPr>
          <w:p w14:paraId="3D42E6BF" w14:textId="77777777" w:rsidR="006126C1" w:rsidRPr="001D5512" w:rsidRDefault="006126C1" w:rsidP="00A84D2B">
            <w:pPr>
              <w:pStyle w:val="InstructionsText"/>
            </w:pPr>
          </w:p>
        </w:tc>
      </w:tr>
      <w:tr w:rsidR="006126C1" w:rsidRPr="001D5512" w14:paraId="2FB6957A" w14:textId="77777777" w:rsidTr="00D442AC">
        <w:tc>
          <w:tcPr>
            <w:tcW w:w="3651" w:type="dxa"/>
          </w:tcPr>
          <w:p w14:paraId="364EE651" w14:textId="55160230" w:rsidR="006126C1" w:rsidRPr="001D5512" w:rsidRDefault="006126C1" w:rsidP="00A84D2B">
            <w:pPr>
              <w:pStyle w:val="InstructionsText"/>
            </w:pPr>
            <w:r w:rsidRPr="001D5512">
              <w:t xml:space="preserve">Se poate încadra în clasa de expuneri de la </w:t>
            </w:r>
            <w:r w:rsidR="007B6F7D">
              <w:t>p</w:t>
            </w:r>
            <w:r w:rsidR="007B6F7D" w:rsidRPr="008F3C57">
              <w:t xml:space="preserve">unctul 11 </w:t>
            </w:r>
            <w:r w:rsidR="007B6F7D">
              <w:t xml:space="preserve">subpunctul 16) </w:t>
            </w:r>
            <w:r w:rsidR="007B6F7D" w:rsidRPr="008F3C57">
              <w:t>din Regulamentul nr. 111/2018</w:t>
            </w:r>
            <w:r w:rsidRPr="001D5512">
              <w:t>?</w:t>
            </w:r>
          </w:p>
        </w:tc>
        <w:tc>
          <w:tcPr>
            <w:tcW w:w="1390" w:type="dxa"/>
          </w:tcPr>
          <w:p w14:paraId="0BE67431" w14:textId="7D7CED47" w:rsidR="006126C1" w:rsidRPr="001D5512" w:rsidRDefault="006126C1" w:rsidP="00A84D2B">
            <w:pPr>
              <w:pStyle w:val="InstructionsText"/>
            </w:pPr>
            <w:r w:rsidRPr="001D5512">
              <w:t xml:space="preserve">DA </w:t>
            </w:r>
            <w:r w:rsidRPr="001D5512">
              <w:rPr>
                <w:noProof/>
              </w:rPr>
              <w:drawing>
                <wp:inline distT="0" distB="0" distL="0" distR="0" wp14:anchorId="2114C010" wp14:editId="3418F277">
                  <wp:extent cx="3714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23042936" w14:textId="77777777" w:rsidR="006126C1" w:rsidRPr="001D5512" w:rsidRDefault="006126C1" w:rsidP="00A84D2B">
            <w:pPr>
              <w:pStyle w:val="InstructionsText"/>
            </w:pPr>
          </w:p>
        </w:tc>
        <w:tc>
          <w:tcPr>
            <w:tcW w:w="3942" w:type="dxa"/>
          </w:tcPr>
          <w:p w14:paraId="71ADB2F0" w14:textId="77777777" w:rsidR="006126C1" w:rsidRPr="001D5512" w:rsidRDefault="006126C1" w:rsidP="00A84D2B">
            <w:pPr>
              <w:pStyle w:val="InstructionsText"/>
            </w:pPr>
            <w:r w:rsidRPr="001D5512">
              <w:t>Alte elemente</w:t>
            </w:r>
          </w:p>
        </w:tc>
      </w:tr>
      <w:tr w:rsidR="006126C1" w:rsidRPr="001D5512" w14:paraId="46694BF6" w14:textId="77777777" w:rsidTr="00D442AC">
        <w:tc>
          <w:tcPr>
            <w:tcW w:w="3651" w:type="dxa"/>
          </w:tcPr>
          <w:p w14:paraId="0A913F91" w14:textId="291E8ECF" w:rsidR="006126C1" w:rsidRPr="001D5512" w:rsidRDefault="006126C1" w:rsidP="00A84D2B">
            <w:pPr>
              <w:pStyle w:val="InstructionsText"/>
            </w:pPr>
            <w:r w:rsidRPr="001D5512">
              <w:t xml:space="preserve">NU </w:t>
            </w:r>
            <w:r w:rsidRPr="001D5512">
              <w:rPr>
                <w:noProof/>
              </w:rPr>
              <w:drawing>
                <wp:inline distT="0" distB="0" distL="0" distR="0" wp14:anchorId="3C1A921A" wp14:editId="6263C53D">
                  <wp:extent cx="819150" cy="3524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014053C7" w14:textId="77777777" w:rsidR="006126C1" w:rsidRPr="001D5512" w:rsidRDefault="006126C1" w:rsidP="00A84D2B">
            <w:pPr>
              <w:pStyle w:val="InstructionsText"/>
            </w:pPr>
          </w:p>
        </w:tc>
        <w:tc>
          <w:tcPr>
            <w:tcW w:w="1390" w:type="dxa"/>
          </w:tcPr>
          <w:p w14:paraId="1BDAB251" w14:textId="77777777" w:rsidR="006126C1" w:rsidRPr="001D5512" w:rsidRDefault="006126C1" w:rsidP="00A84D2B">
            <w:pPr>
              <w:pStyle w:val="InstructionsText"/>
            </w:pPr>
          </w:p>
        </w:tc>
        <w:tc>
          <w:tcPr>
            <w:tcW w:w="3942" w:type="dxa"/>
          </w:tcPr>
          <w:p w14:paraId="2FF789AC" w14:textId="77777777" w:rsidR="006126C1" w:rsidRPr="001D5512" w:rsidRDefault="006126C1" w:rsidP="00A84D2B">
            <w:pPr>
              <w:pStyle w:val="InstructionsText"/>
            </w:pPr>
          </w:p>
        </w:tc>
      </w:tr>
      <w:tr w:rsidR="006126C1" w:rsidRPr="001D5512" w14:paraId="67E416E9" w14:textId="77777777" w:rsidTr="00D442AC">
        <w:tc>
          <w:tcPr>
            <w:tcW w:w="3651" w:type="dxa"/>
          </w:tcPr>
          <w:p w14:paraId="5093EE9A" w14:textId="2B3C13A8" w:rsidR="006126C1" w:rsidRPr="001D5512" w:rsidRDefault="006126C1" w:rsidP="00A84D2B">
            <w:pPr>
              <w:pStyle w:val="InstructionsText"/>
            </w:pPr>
            <w:r w:rsidRPr="001D5512">
              <w:lastRenderedPageBreak/>
              <w:t xml:space="preserve">Se poate încadra în clasa de expuneri de la </w:t>
            </w:r>
            <w:r w:rsidR="007B6F7D">
              <w:t>p</w:t>
            </w:r>
            <w:r w:rsidR="007B6F7D" w:rsidRPr="008F3C57">
              <w:t xml:space="preserve">unctul 11 </w:t>
            </w:r>
            <w:r w:rsidR="007B6F7D">
              <w:t xml:space="preserve">subpunctul 13) </w:t>
            </w:r>
            <w:r w:rsidR="007B6F7D" w:rsidRPr="008F3C57">
              <w:t>din Regulamentul nr. 111/2018</w:t>
            </w:r>
            <w:r w:rsidRPr="001D5512">
              <w:t>?</w:t>
            </w:r>
          </w:p>
        </w:tc>
        <w:tc>
          <w:tcPr>
            <w:tcW w:w="1390" w:type="dxa"/>
          </w:tcPr>
          <w:p w14:paraId="56355E04" w14:textId="564D7EE0" w:rsidR="006126C1" w:rsidRPr="001D5512" w:rsidRDefault="006126C1" w:rsidP="00A84D2B">
            <w:pPr>
              <w:pStyle w:val="InstructionsText"/>
            </w:pPr>
            <w:r w:rsidRPr="001D5512">
              <w:t xml:space="preserve">DA </w:t>
            </w:r>
            <w:r w:rsidRPr="001D5512">
              <w:rPr>
                <w:noProof/>
              </w:rPr>
              <w:drawing>
                <wp:inline distT="0" distB="0" distL="0" distR="0" wp14:anchorId="28928E2D" wp14:editId="19652619">
                  <wp:extent cx="3714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586491A6" w14:textId="77777777" w:rsidR="006126C1" w:rsidRPr="001D5512" w:rsidRDefault="006126C1" w:rsidP="00A84D2B">
            <w:pPr>
              <w:pStyle w:val="InstructionsText"/>
            </w:pPr>
          </w:p>
        </w:tc>
        <w:tc>
          <w:tcPr>
            <w:tcW w:w="3942" w:type="dxa"/>
          </w:tcPr>
          <w:p w14:paraId="2534711C" w14:textId="3081BC4D" w:rsidR="006126C1" w:rsidRPr="001D5512" w:rsidRDefault="006126C1" w:rsidP="00A84D2B">
            <w:pPr>
              <w:pStyle w:val="InstructionsText"/>
            </w:pPr>
            <w:r w:rsidRPr="001D5512">
              <w:t xml:space="preserve">Expuneri față de </w:t>
            </w:r>
            <w:r w:rsidR="004A3D11">
              <w:t>bănci</w:t>
            </w:r>
            <w:r w:rsidR="004A3D11" w:rsidRPr="001D5512">
              <w:t xml:space="preserve"> </w:t>
            </w:r>
            <w:r w:rsidRPr="001D5512">
              <w:t>și societăți cu o evaluare de credit pe termen scurt</w:t>
            </w:r>
          </w:p>
        </w:tc>
      </w:tr>
      <w:tr w:rsidR="006126C1" w:rsidRPr="001D5512" w14:paraId="65BFFF79" w14:textId="77777777" w:rsidTr="00D442AC">
        <w:tc>
          <w:tcPr>
            <w:tcW w:w="3651" w:type="dxa"/>
          </w:tcPr>
          <w:p w14:paraId="344FDD62" w14:textId="1D87DB63" w:rsidR="006126C1" w:rsidRPr="001D5512" w:rsidRDefault="006126C1" w:rsidP="00A84D2B">
            <w:pPr>
              <w:pStyle w:val="InstructionsText"/>
            </w:pPr>
            <w:r w:rsidRPr="001D5512">
              <w:t xml:space="preserve">NU </w:t>
            </w:r>
            <w:r w:rsidRPr="001D5512">
              <w:rPr>
                <w:noProof/>
              </w:rPr>
              <w:drawing>
                <wp:inline distT="0" distB="0" distL="0" distR="0" wp14:anchorId="58734713" wp14:editId="597A945E">
                  <wp:extent cx="819150" cy="3524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76ECD24A" w14:textId="77777777" w:rsidR="006126C1" w:rsidRPr="001D5512" w:rsidRDefault="006126C1" w:rsidP="00A84D2B">
            <w:pPr>
              <w:pStyle w:val="InstructionsText"/>
            </w:pPr>
          </w:p>
        </w:tc>
        <w:tc>
          <w:tcPr>
            <w:tcW w:w="1390" w:type="dxa"/>
          </w:tcPr>
          <w:p w14:paraId="764C4AFA" w14:textId="77777777" w:rsidR="006126C1" w:rsidRPr="001D5512" w:rsidRDefault="006126C1" w:rsidP="00A84D2B">
            <w:pPr>
              <w:pStyle w:val="InstructionsText"/>
            </w:pPr>
          </w:p>
        </w:tc>
        <w:tc>
          <w:tcPr>
            <w:tcW w:w="3942" w:type="dxa"/>
          </w:tcPr>
          <w:p w14:paraId="67E560D0" w14:textId="77777777" w:rsidR="006126C1" w:rsidRPr="001D5512" w:rsidRDefault="006126C1" w:rsidP="00A84D2B">
            <w:pPr>
              <w:pStyle w:val="InstructionsText"/>
            </w:pPr>
          </w:p>
        </w:tc>
      </w:tr>
      <w:tr w:rsidR="006126C1" w:rsidRPr="001D5512" w14:paraId="6F9C2428" w14:textId="77777777" w:rsidTr="00D442AC">
        <w:tc>
          <w:tcPr>
            <w:tcW w:w="8983" w:type="dxa"/>
            <w:gridSpan w:val="3"/>
          </w:tcPr>
          <w:p w14:paraId="11B8C516" w14:textId="77777777" w:rsidR="006126C1" w:rsidRPr="001D5512" w:rsidRDefault="006126C1" w:rsidP="00A84D2B">
            <w:pPr>
              <w:pStyle w:val="InstructionsText"/>
            </w:pPr>
            <w:r w:rsidRPr="001D5512">
              <w:t>Clasele de expuneri de mai jos sunt disociate între ele. Prin urmare, încadrarea într-una dintre aceste clase este simplă.</w:t>
            </w:r>
          </w:p>
          <w:p w14:paraId="786DA7B1" w14:textId="77777777" w:rsidR="006126C1" w:rsidRPr="001D5512" w:rsidRDefault="006126C1" w:rsidP="00A84D2B">
            <w:pPr>
              <w:pStyle w:val="InstructionsText"/>
            </w:pPr>
            <w:r w:rsidRPr="001D5512">
              <w:t>Expuneri față de administrații centrale sau bănci centrale</w:t>
            </w:r>
          </w:p>
          <w:p w14:paraId="21C7352D" w14:textId="77777777" w:rsidR="006126C1" w:rsidRPr="001D5512" w:rsidRDefault="006126C1" w:rsidP="00A84D2B">
            <w:pPr>
              <w:pStyle w:val="InstructionsText"/>
            </w:pPr>
            <w:r w:rsidRPr="001D5512">
              <w:t>Expuneri față de administrații regionale sau autorități locale</w:t>
            </w:r>
          </w:p>
          <w:p w14:paraId="724FCD32" w14:textId="77777777" w:rsidR="006126C1" w:rsidRPr="001D5512" w:rsidRDefault="006126C1" w:rsidP="00A84D2B">
            <w:pPr>
              <w:pStyle w:val="InstructionsText"/>
            </w:pPr>
            <w:r w:rsidRPr="001D5512">
              <w:t>Expuneri față de entități din sectorul public</w:t>
            </w:r>
          </w:p>
          <w:p w14:paraId="7A7FECCC" w14:textId="77777777" w:rsidR="006126C1" w:rsidRPr="001D5512" w:rsidRDefault="006126C1" w:rsidP="00A84D2B">
            <w:pPr>
              <w:pStyle w:val="InstructionsText"/>
            </w:pPr>
            <w:r w:rsidRPr="001D5512">
              <w:t>Expuneri față de bănci multilaterale de dezvoltare</w:t>
            </w:r>
          </w:p>
          <w:p w14:paraId="18AC5535" w14:textId="77777777" w:rsidR="006126C1" w:rsidRPr="001D5512" w:rsidRDefault="006126C1" w:rsidP="00A84D2B">
            <w:pPr>
              <w:pStyle w:val="InstructionsText"/>
            </w:pPr>
            <w:r w:rsidRPr="001D5512">
              <w:t>Expuneri față de organizații internaționale</w:t>
            </w:r>
          </w:p>
          <w:p w14:paraId="264D98EA" w14:textId="5F71B2F7" w:rsidR="006126C1" w:rsidRPr="001D5512" w:rsidRDefault="006126C1" w:rsidP="00A84D2B">
            <w:pPr>
              <w:pStyle w:val="InstructionsText"/>
            </w:pPr>
            <w:r w:rsidRPr="001D5512">
              <w:t xml:space="preserve">Expuneri față de </w:t>
            </w:r>
            <w:r w:rsidR="007B6F7D">
              <w:t>bănci</w:t>
            </w:r>
          </w:p>
          <w:p w14:paraId="22CE1EB7" w14:textId="77777777" w:rsidR="004A3D11" w:rsidRDefault="006126C1" w:rsidP="00A84D2B">
            <w:pPr>
              <w:pStyle w:val="InstructionsText"/>
            </w:pPr>
            <w:r w:rsidRPr="001D5512">
              <w:t xml:space="preserve">Expunerile față de societăți </w:t>
            </w:r>
          </w:p>
          <w:p w14:paraId="585C7FB5" w14:textId="080E2C82" w:rsidR="006126C1" w:rsidRPr="001D5512" w:rsidRDefault="006126C1" w:rsidP="00A84D2B">
            <w:pPr>
              <w:pStyle w:val="InstructionsText"/>
            </w:pPr>
            <w:r w:rsidRPr="001D5512">
              <w:t>Expuneri de tip retail</w:t>
            </w:r>
          </w:p>
        </w:tc>
      </w:tr>
    </w:tbl>
    <w:p w14:paraId="542417D4" w14:textId="46B5EAA7" w:rsidR="006126C1" w:rsidRPr="002A677E" w:rsidRDefault="006126C1" w:rsidP="006126C1">
      <w:pPr>
        <w:spacing w:after="0"/>
        <w:rPr>
          <w:rFonts w:ascii="Times New Roman" w:hAnsi="Times New Roman"/>
          <w:bCs/>
          <w:sz w:val="24"/>
        </w:rPr>
      </w:pPr>
    </w:p>
    <w:p w14:paraId="07B2FF41" w14:textId="77777777" w:rsidR="006126C1" w:rsidRPr="002A677E" w:rsidRDefault="006126C1" w:rsidP="00A84D2B">
      <w:pPr>
        <w:pStyle w:val="InstructionsText"/>
      </w:pPr>
    </w:p>
    <w:p w14:paraId="78F70EEA" w14:textId="46B720FF" w:rsidR="006126C1" w:rsidRPr="00731036" w:rsidRDefault="00A37913" w:rsidP="00A37913">
      <w:pPr>
        <w:ind w:firstLine="708"/>
        <w:rPr>
          <w:rFonts w:ascii="Times New Roman" w:hAnsi="Times New Roman" w:cs="Times New Roman"/>
          <w:sz w:val="24"/>
        </w:rPr>
      </w:pPr>
      <w:bookmarkStart w:id="50" w:name="_Toc262568031"/>
      <w:bookmarkStart w:id="51" w:name="_Toc264038429"/>
      <w:bookmarkStart w:id="52" w:name="_Toc292456208"/>
      <w:bookmarkStart w:id="53" w:name="_Toc295829859"/>
      <w:bookmarkStart w:id="54" w:name="_Toc310415023"/>
      <w:bookmarkStart w:id="55" w:name="_Toc360188352"/>
      <w:bookmarkStart w:id="56" w:name="_Toc473560901"/>
      <w:bookmarkStart w:id="57" w:name="_Toc151714389"/>
      <w:r w:rsidRPr="00A37913">
        <w:rPr>
          <w:rFonts w:ascii="Times New Roman" w:hAnsi="Times New Roman" w:cs="Times New Roman"/>
          <w:b/>
          <w:bCs/>
          <w:sz w:val="24"/>
          <w:szCs w:val="24"/>
        </w:rPr>
        <w:t xml:space="preserve">III. </w:t>
      </w:r>
      <w:r w:rsidR="002E4BA9" w:rsidRPr="00A37913">
        <w:rPr>
          <w:rFonts w:ascii="Times New Roman" w:hAnsi="Times New Roman" w:cs="Times New Roman"/>
          <w:b/>
          <w:bCs/>
          <w:sz w:val="24"/>
          <w:szCs w:val="24"/>
        </w:rPr>
        <w:t xml:space="preserve"> </w:t>
      </w:r>
      <w:r w:rsidR="006126C1" w:rsidRPr="00A37913">
        <w:rPr>
          <w:rFonts w:ascii="Times New Roman" w:hAnsi="Times New Roman" w:cs="Times New Roman"/>
          <w:b/>
          <w:bCs/>
          <w:sz w:val="24"/>
          <w:szCs w:val="24"/>
        </w:rPr>
        <w:t xml:space="preserve">Clarificări privind domeniul de aplicare al anumitor clase de expuneri menționate la </w:t>
      </w:r>
      <w:bookmarkEnd w:id="50"/>
      <w:bookmarkEnd w:id="51"/>
      <w:bookmarkEnd w:id="52"/>
      <w:bookmarkEnd w:id="53"/>
      <w:bookmarkEnd w:id="54"/>
      <w:bookmarkEnd w:id="55"/>
      <w:bookmarkEnd w:id="56"/>
      <w:bookmarkEnd w:id="57"/>
      <w:r w:rsidR="00310D09" w:rsidRPr="00A37913">
        <w:rPr>
          <w:rFonts w:ascii="Times New Roman" w:hAnsi="Times New Roman" w:cs="Times New Roman"/>
          <w:b/>
          <w:bCs/>
          <w:sz w:val="24"/>
          <w:szCs w:val="24"/>
        </w:rPr>
        <w:t>punctul 11 din Regulamentul nr. 111/2018</w:t>
      </w:r>
    </w:p>
    <w:p w14:paraId="24B034BB" w14:textId="0B5AC11C" w:rsidR="00A62C49" w:rsidRDefault="002E4BA9" w:rsidP="002E4BA9">
      <w:pPr>
        <w:rPr>
          <w:rFonts w:ascii="Times New Roman" w:hAnsi="Times New Roman" w:cs="Times New Roman"/>
          <w:sz w:val="24"/>
        </w:rPr>
      </w:pPr>
      <w:bookmarkStart w:id="58" w:name="_Toc360188355"/>
      <w:bookmarkStart w:id="59" w:name="_Toc473560904"/>
      <w:bookmarkStart w:id="60" w:name="_Toc151714392"/>
      <w:r>
        <w:rPr>
          <w:rFonts w:ascii="Times New Roman" w:hAnsi="Times New Roman" w:cs="Times New Roman"/>
          <w:sz w:val="24"/>
          <w:szCs w:val="24"/>
        </w:rPr>
        <w:t>2</w:t>
      </w:r>
      <w:r w:rsidR="00A37913">
        <w:rPr>
          <w:rFonts w:ascii="Times New Roman" w:hAnsi="Times New Roman" w:cs="Times New Roman"/>
          <w:sz w:val="24"/>
          <w:szCs w:val="24"/>
        </w:rPr>
        <w:t>5</w:t>
      </w:r>
      <w:r>
        <w:rPr>
          <w:rFonts w:ascii="Times New Roman" w:hAnsi="Times New Roman" w:cs="Times New Roman"/>
          <w:sz w:val="24"/>
          <w:szCs w:val="24"/>
        </w:rPr>
        <w:t xml:space="preserve">. </w:t>
      </w:r>
      <w:r w:rsidR="006126C1" w:rsidRPr="002E4BA9">
        <w:rPr>
          <w:rFonts w:ascii="Times New Roman" w:hAnsi="Times New Roman" w:cs="Times New Roman"/>
          <w:sz w:val="24"/>
          <w:szCs w:val="24"/>
        </w:rPr>
        <w:t xml:space="preserve">Clasa de expuneri </w:t>
      </w:r>
      <w:r w:rsidR="00D526E4">
        <w:rPr>
          <w:rFonts w:ascii="Times New Roman" w:hAnsi="Times New Roman" w:cs="Times New Roman"/>
          <w:sz w:val="24"/>
          <w:szCs w:val="24"/>
        </w:rPr>
        <w:t>„</w:t>
      </w:r>
      <w:bookmarkEnd w:id="58"/>
      <w:bookmarkEnd w:id="59"/>
      <w:bookmarkEnd w:id="60"/>
      <w:r w:rsidR="002479DD">
        <w:rPr>
          <w:rFonts w:ascii="Times New Roman" w:hAnsi="Times New Roman" w:cs="Times New Roman"/>
          <w:sz w:val="24"/>
          <w:szCs w:val="24"/>
        </w:rPr>
        <w:t>OPC</w:t>
      </w:r>
      <w:r w:rsidR="00D526E4">
        <w:rPr>
          <w:rFonts w:ascii="Times New Roman" w:hAnsi="Times New Roman" w:cs="Times New Roman"/>
          <w:sz w:val="24"/>
          <w:szCs w:val="24"/>
        </w:rPr>
        <w:t>”</w:t>
      </w:r>
    </w:p>
    <w:p w14:paraId="27603366" w14:textId="507EE20D" w:rsidR="006126C1" w:rsidRPr="00A62C49" w:rsidRDefault="006126C1" w:rsidP="002E4BA9">
      <w:pPr>
        <w:rPr>
          <w:rFonts w:ascii="Times New Roman" w:hAnsi="Times New Roman" w:cs="Times New Roman"/>
          <w:sz w:val="24"/>
        </w:rPr>
      </w:pPr>
      <w:r w:rsidRPr="00A37913">
        <w:rPr>
          <w:rFonts w:ascii="Times New Roman" w:hAnsi="Times New Roman" w:cs="Times New Roman"/>
          <w:sz w:val="24"/>
          <w:szCs w:val="24"/>
        </w:rPr>
        <w:t xml:space="preserve">În cazul în care se recurge la opțiunea menționată la </w:t>
      </w:r>
      <w:r w:rsidR="00D526E4" w:rsidRPr="00A37913">
        <w:rPr>
          <w:rFonts w:ascii="Times New Roman" w:hAnsi="Times New Roman" w:cs="Times New Roman"/>
          <w:sz w:val="24"/>
          <w:szCs w:val="24"/>
        </w:rPr>
        <w:t>punct</w:t>
      </w:r>
      <w:r w:rsidR="006A2428">
        <w:rPr>
          <w:rFonts w:ascii="Times New Roman" w:hAnsi="Times New Roman" w:cs="Times New Roman"/>
          <w:sz w:val="24"/>
          <w:szCs w:val="24"/>
        </w:rPr>
        <w:t>ele</w:t>
      </w:r>
      <w:r w:rsidR="00D526E4" w:rsidRPr="00A37913">
        <w:rPr>
          <w:rFonts w:ascii="Times New Roman" w:hAnsi="Times New Roman" w:cs="Times New Roman"/>
          <w:sz w:val="24"/>
          <w:szCs w:val="24"/>
        </w:rPr>
        <w:t xml:space="preserve"> 82</w:t>
      </w:r>
      <w:r w:rsidR="00D526E4" w:rsidRPr="00A37913">
        <w:rPr>
          <w:rFonts w:ascii="Times New Roman" w:hAnsi="Times New Roman" w:cs="Times New Roman"/>
          <w:sz w:val="24"/>
          <w:szCs w:val="24"/>
          <w:vertAlign w:val="superscript"/>
        </w:rPr>
        <w:t>15</w:t>
      </w:r>
      <w:r w:rsidR="00D526E4" w:rsidRPr="00A37913">
        <w:rPr>
          <w:rFonts w:ascii="Times New Roman" w:hAnsi="Times New Roman" w:cs="Times New Roman"/>
          <w:sz w:val="24"/>
          <w:szCs w:val="24"/>
        </w:rPr>
        <w:t xml:space="preserve"> </w:t>
      </w:r>
      <w:r w:rsidR="006A2428">
        <w:rPr>
          <w:rFonts w:ascii="Times New Roman" w:hAnsi="Times New Roman" w:cs="Times New Roman"/>
          <w:sz w:val="24"/>
          <w:szCs w:val="24"/>
        </w:rPr>
        <w:t>- 82</w:t>
      </w:r>
      <w:r w:rsidR="006A2428" w:rsidRPr="00EA59DC">
        <w:rPr>
          <w:rFonts w:ascii="Times New Roman" w:hAnsi="Times New Roman" w:cs="Times New Roman"/>
          <w:sz w:val="24"/>
          <w:szCs w:val="24"/>
          <w:vertAlign w:val="superscript"/>
        </w:rPr>
        <w:t>17</w:t>
      </w:r>
      <w:r w:rsidR="006A2428" w:rsidRPr="00EA59DC">
        <w:rPr>
          <w:rFonts w:ascii="Times New Roman" w:hAnsi="Times New Roman" w:cs="Times New Roman"/>
          <w:sz w:val="24"/>
          <w:szCs w:val="24"/>
        </w:rPr>
        <w:t xml:space="preserve"> </w:t>
      </w:r>
      <w:r w:rsidR="00D526E4" w:rsidRPr="00A37913">
        <w:rPr>
          <w:rFonts w:ascii="Times New Roman" w:hAnsi="Times New Roman" w:cs="Times New Roman"/>
          <w:sz w:val="24"/>
          <w:szCs w:val="24"/>
        </w:rPr>
        <w:t>din Regulamentul nr.</w:t>
      </w:r>
      <w:r w:rsidR="00D526E4">
        <w:rPr>
          <w:rFonts w:ascii="Times New Roman" w:hAnsi="Times New Roman" w:cs="Times New Roman"/>
          <w:sz w:val="24"/>
          <w:szCs w:val="24"/>
        </w:rPr>
        <w:t xml:space="preserve"> 111/2018</w:t>
      </w:r>
      <w:r w:rsidRPr="002E4BA9">
        <w:rPr>
          <w:rFonts w:ascii="Times New Roman" w:hAnsi="Times New Roman" w:cs="Times New Roman"/>
          <w:sz w:val="24"/>
          <w:szCs w:val="24"/>
        </w:rPr>
        <w:t xml:space="preserve">, expunerile sub formă de unități sau acțiuni deținute în OPC se raportează ca elemente bilanțiere, în conformitate cu </w:t>
      </w:r>
      <w:r w:rsidR="00310CB7">
        <w:rPr>
          <w:rFonts w:ascii="Times New Roman" w:hAnsi="Times New Roman" w:cs="Times New Roman"/>
          <w:sz w:val="24"/>
          <w:szCs w:val="24"/>
        </w:rPr>
        <w:t>punctul 5 a regulamentului menționat</w:t>
      </w:r>
      <w:r w:rsidRPr="002E4BA9">
        <w:rPr>
          <w:rFonts w:ascii="Times New Roman" w:hAnsi="Times New Roman" w:cs="Times New Roman"/>
          <w:sz w:val="24"/>
          <w:szCs w:val="24"/>
        </w:rPr>
        <w:t xml:space="preserve">. </w:t>
      </w:r>
    </w:p>
    <w:p w14:paraId="0A91FB1E" w14:textId="77777777" w:rsidR="00A62C49" w:rsidRDefault="00A62C49" w:rsidP="002E4BA9">
      <w:pPr>
        <w:rPr>
          <w:rFonts w:eastAsia="Arial"/>
        </w:rPr>
      </w:pPr>
      <w:r>
        <w:rPr>
          <w:rFonts w:ascii="Times New Roman" w:hAnsi="Times New Roman" w:cs="Times New Roman"/>
          <w:sz w:val="24"/>
          <w:szCs w:val="24"/>
        </w:rPr>
        <w:t>26.</w:t>
      </w:r>
      <w:r w:rsidR="006126C1" w:rsidRPr="002E4BA9">
        <w:rPr>
          <w:rFonts w:ascii="Times New Roman" w:hAnsi="Times New Roman" w:cs="Times New Roman"/>
          <w:sz w:val="24"/>
          <w:szCs w:val="24"/>
        </w:rPr>
        <w:t xml:space="preserve"> Clasa de expuneri </w:t>
      </w:r>
      <w:r w:rsidR="00690454">
        <w:rPr>
          <w:rFonts w:ascii="Times New Roman" w:hAnsi="Times New Roman" w:cs="Times New Roman"/>
          <w:sz w:val="24"/>
          <w:szCs w:val="24"/>
        </w:rPr>
        <w:t>„</w:t>
      </w:r>
      <w:r w:rsidR="006126C1" w:rsidRPr="002E4BA9">
        <w:rPr>
          <w:rFonts w:ascii="Times New Roman" w:hAnsi="Times New Roman" w:cs="Times New Roman"/>
          <w:sz w:val="24"/>
          <w:szCs w:val="24"/>
        </w:rPr>
        <w:t>Expuneri garantate cu ipoteci asupra bunurilor imobile și expuneri ADC</w:t>
      </w:r>
      <w:r w:rsidR="00690454">
        <w:rPr>
          <w:rFonts w:ascii="Times New Roman" w:hAnsi="Times New Roman" w:cs="Times New Roman"/>
          <w:sz w:val="24"/>
          <w:szCs w:val="24"/>
        </w:rPr>
        <w:t>”</w:t>
      </w:r>
    </w:p>
    <w:p w14:paraId="19A3616A" w14:textId="677B91B7" w:rsidR="006126C1" w:rsidRPr="00A62C49" w:rsidRDefault="006126C1" w:rsidP="002E4BA9">
      <w:pPr>
        <w:rPr>
          <w:rFonts w:eastAsia="Arial"/>
        </w:rPr>
      </w:pPr>
      <w:r w:rsidRPr="002E4BA9">
        <w:rPr>
          <w:rFonts w:ascii="Times New Roman" w:hAnsi="Times New Roman" w:cs="Times New Roman"/>
          <w:sz w:val="24"/>
          <w:szCs w:val="24"/>
        </w:rPr>
        <w:t xml:space="preserve">În scopul raportării, clasa de expuneri menționată la </w:t>
      </w:r>
      <w:r w:rsidR="00310CB7">
        <w:rPr>
          <w:rFonts w:ascii="Times New Roman" w:hAnsi="Times New Roman" w:cs="Times New Roman"/>
          <w:sz w:val="24"/>
          <w:szCs w:val="24"/>
        </w:rPr>
        <w:t xml:space="preserve">punctul 11 subpunctul 9) din Regulamentul nr. 111/2018 </w:t>
      </w:r>
      <w:r w:rsidRPr="002E4BA9">
        <w:rPr>
          <w:rFonts w:ascii="Times New Roman" w:hAnsi="Times New Roman" w:cs="Times New Roman"/>
          <w:sz w:val="24"/>
          <w:szCs w:val="24"/>
        </w:rPr>
        <w:t>este defalcată în clase de subexpuneri:</w:t>
      </w:r>
    </w:p>
    <w:p w14:paraId="2BDCF155" w14:textId="717C37F8" w:rsidR="006126C1" w:rsidRPr="00AD4440" w:rsidRDefault="00A62C49" w:rsidP="002E4BA9">
      <w:pPr>
        <w:rPr>
          <w:rFonts w:eastAsia="Arial"/>
        </w:rPr>
      </w:pPr>
      <w:r>
        <w:rPr>
          <w:rFonts w:ascii="Times New Roman" w:hAnsi="Times New Roman" w:cs="Times New Roman"/>
          <w:sz w:val="24"/>
          <w:szCs w:val="24"/>
        </w:rPr>
        <w:t>26.1.</w:t>
      </w:r>
      <w:r w:rsidR="006126C1" w:rsidRPr="002E4BA9">
        <w:rPr>
          <w:rFonts w:ascii="Times New Roman" w:hAnsi="Times New Roman" w:cs="Times New Roman"/>
          <w:sz w:val="24"/>
          <w:szCs w:val="24"/>
        </w:rPr>
        <w:t xml:space="preserve"> expuneri garantate cu ipoteci asupra bunurilor imobile locative – non-IPRE</w:t>
      </w:r>
      <w:r w:rsidR="00814E0D">
        <w:rPr>
          <w:rFonts w:ascii="Times New Roman" w:hAnsi="Times New Roman" w:cs="Times New Roman"/>
          <w:sz w:val="24"/>
          <w:szCs w:val="24"/>
        </w:rPr>
        <w:t xml:space="preserve"> (bunuri imobile care nu generează venituri)</w:t>
      </w:r>
      <w:r w:rsidR="006126C1" w:rsidRPr="002E4BA9">
        <w:rPr>
          <w:rFonts w:ascii="Times New Roman" w:hAnsi="Times New Roman" w:cs="Times New Roman"/>
          <w:sz w:val="24"/>
          <w:szCs w:val="24"/>
        </w:rPr>
        <w:t xml:space="preserve"> (garantate):</w:t>
      </w:r>
    </w:p>
    <w:p w14:paraId="56230AD7" w14:textId="5C0F724C" w:rsidR="006126C1" w:rsidRPr="00731036" w:rsidRDefault="006126C1" w:rsidP="002E4BA9">
      <w:pPr>
        <w:rPr>
          <w:rStyle w:val="ui-provider"/>
          <w:rFonts w:ascii="Times New Roman" w:hAnsi="Times New Roman" w:cs="Times New Roman"/>
          <w:sz w:val="24"/>
          <w:szCs w:val="24"/>
        </w:rPr>
      </w:pPr>
      <w:r w:rsidRPr="002E4BA9">
        <w:rPr>
          <w:rFonts w:ascii="Times New Roman" w:hAnsi="Times New Roman" w:cs="Times New Roman"/>
          <w:sz w:val="24"/>
          <w:szCs w:val="24"/>
        </w:rPr>
        <w:t xml:space="preserve">expuneri non-IPRE tratate în conformitate cu </w:t>
      </w:r>
      <w:r w:rsidR="00310CB7">
        <w:rPr>
          <w:rFonts w:ascii="Times New Roman" w:hAnsi="Times New Roman" w:cs="Times New Roman"/>
          <w:sz w:val="24"/>
          <w:szCs w:val="24"/>
        </w:rPr>
        <w:t>punctele 69</w:t>
      </w:r>
      <w:r w:rsidR="00310CB7" w:rsidRPr="0068245D">
        <w:rPr>
          <w:rFonts w:ascii="Times New Roman" w:hAnsi="Times New Roman" w:cs="Times New Roman"/>
          <w:sz w:val="24"/>
          <w:szCs w:val="24"/>
        </w:rPr>
        <w:t>-69</w:t>
      </w:r>
      <w:r w:rsidR="00310CB7" w:rsidRPr="0068245D">
        <w:rPr>
          <w:rFonts w:ascii="Times New Roman" w:hAnsi="Times New Roman" w:cs="Times New Roman"/>
          <w:sz w:val="24"/>
          <w:szCs w:val="24"/>
          <w:vertAlign w:val="superscript"/>
        </w:rPr>
        <w:t>2</w:t>
      </w:r>
      <w:r w:rsidR="00310CB7" w:rsidRPr="00310CB7">
        <w:rPr>
          <w:rFonts w:ascii="Times New Roman" w:hAnsi="Times New Roman" w:cs="Times New Roman"/>
          <w:sz w:val="24"/>
          <w:szCs w:val="24"/>
        </w:rPr>
        <w:t xml:space="preserve"> </w:t>
      </w:r>
      <w:r w:rsidR="00310CB7">
        <w:rPr>
          <w:rFonts w:ascii="Times New Roman" w:hAnsi="Times New Roman" w:cs="Times New Roman"/>
          <w:sz w:val="24"/>
          <w:szCs w:val="24"/>
        </w:rPr>
        <w:t>din Regulamentul nr. 111/2018</w:t>
      </w:r>
      <w:r w:rsidRPr="002E4BA9">
        <w:rPr>
          <w:rFonts w:ascii="Times New Roman" w:hAnsi="Times New Roman" w:cs="Times New Roman"/>
          <w:sz w:val="24"/>
          <w:szCs w:val="24"/>
        </w:rPr>
        <w:t>;</w:t>
      </w:r>
    </w:p>
    <w:p w14:paraId="23C11CA5" w14:textId="693F37F4" w:rsidR="006126C1" w:rsidRPr="00AD4440" w:rsidRDefault="00A62C49" w:rsidP="002E4BA9">
      <w:pPr>
        <w:rPr>
          <w:rFonts w:eastAsia="Arial"/>
        </w:rPr>
      </w:pPr>
      <w:r>
        <w:rPr>
          <w:rFonts w:ascii="Times New Roman" w:hAnsi="Times New Roman" w:cs="Times New Roman"/>
          <w:sz w:val="24"/>
          <w:szCs w:val="24"/>
        </w:rPr>
        <w:t xml:space="preserve">26.2. </w:t>
      </w:r>
      <w:r w:rsidR="006126C1" w:rsidRPr="002E4BA9">
        <w:rPr>
          <w:rFonts w:ascii="Times New Roman" w:hAnsi="Times New Roman" w:cs="Times New Roman"/>
          <w:sz w:val="24"/>
          <w:szCs w:val="24"/>
        </w:rPr>
        <w:t xml:space="preserve">expuneri garantate cu ipoteci asupra bunurilor imobile locative – non-IPRE (negarantate): </w:t>
      </w:r>
    </w:p>
    <w:p w14:paraId="31EA48E2" w14:textId="77777777" w:rsidR="00A62C49" w:rsidRDefault="00310CB7" w:rsidP="002E4BA9">
      <w:pPr>
        <w:rPr>
          <w:rFonts w:ascii="Times New Roman" w:hAnsi="Times New Roman" w:cs="Times New Roman"/>
          <w:sz w:val="24"/>
          <w:szCs w:val="24"/>
        </w:rPr>
      </w:pPr>
      <w:r>
        <w:rPr>
          <w:rFonts w:ascii="Times New Roman" w:hAnsi="Times New Roman" w:cs="Times New Roman"/>
          <w:sz w:val="24"/>
          <w:szCs w:val="24"/>
        </w:rPr>
        <w:t xml:space="preserve">punctul </w:t>
      </w:r>
      <w:r w:rsidRPr="0068245D">
        <w:rPr>
          <w:rFonts w:ascii="Times New Roman" w:hAnsi="Times New Roman" w:cs="Times New Roman"/>
          <w:sz w:val="24"/>
          <w:szCs w:val="24"/>
        </w:rPr>
        <w:t>69</w:t>
      </w:r>
      <w:r w:rsidRPr="0068245D">
        <w:rPr>
          <w:rFonts w:ascii="Times New Roman" w:hAnsi="Times New Roman" w:cs="Times New Roman"/>
          <w:sz w:val="24"/>
          <w:szCs w:val="24"/>
          <w:vertAlign w:val="superscript"/>
        </w:rPr>
        <w:t>3</w:t>
      </w:r>
      <w:r>
        <w:rPr>
          <w:rFonts w:ascii="Times New Roman" w:hAnsi="Times New Roman" w:cs="Times New Roman"/>
          <w:sz w:val="24"/>
          <w:szCs w:val="24"/>
        </w:rPr>
        <w:t xml:space="preserve"> din Regulamentul nr. 111/2018</w:t>
      </w:r>
      <w:r w:rsidR="00A62C49">
        <w:rPr>
          <w:rFonts w:ascii="Times New Roman" w:hAnsi="Times New Roman" w:cs="Times New Roman"/>
          <w:sz w:val="24"/>
          <w:szCs w:val="24"/>
        </w:rPr>
        <w:t>;</w:t>
      </w:r>
    </w:p>
    <w:p w14:paraId="0490616A" w14:textId="59105FF7" w:rsidR="006126C1" w:rsidRPr="00AD4440" w:rsidRDefault="00A62C49" w:rsidP="002E4BA9">
      <w:pPr>
        <w:rPr>
          <w:rFonts w:eastAsia="Arial"/>
        </w:rPr>
      </w:pPr>
      <w:r>
        <w:rPr>
          <w:rFonts w:ascii="Times New Roman" w:hAnsi="Times New Roman" w:cs="Times New Roman"/>
          <w:sz w:val="24"/>
          <w:szCs w:val="24"/>
        </w:rPr>
        <w:t>26.3.</w:t>
      </w:r>
      <w:r w:rsidR="006126C1" w:rsidRPr="002E4BA9">
        <w:rPr>
          <w:rFonts w:ascii="Times New Roman" w:hAnsi="Times New Roman" w:cs="Times New Roman"/>
          <w:sz w:val="24"/>
          <w:szCs w:val="24"/>
        </w:rPr>
        <w:t xml:space="preserve"> expuneri garantate cu ipoteci asupra bunurilor imobile locative – altele – non-IPRE</w:t>
      </w:r>
      <w:r>
        <w:rPr>
          <w:rFonts w:ascii="Times New Roman" w:hAnsi="Times New Roman" w:cs="Times New Roman"/>
          <w:sz w:val="24"/>
          <w:szCs w:val="24"/>
        </w:rPr>
        <w:t>:</w:t>
      </w:r>
    </w:p>
    <w:p w14:paraId="31F5D1F0" w14:textId="087BF182" w:rsidR="006126C1" w:rsidRPr="002E4BA9" w:rsidRDefault="006126C1" w:rsidP="002E4BA9">
      <w:pPr>
        <w:rPr>
          <w:rFonts w:ascii="Times New Roman" w:hAnsi="Times New Roman" w:cs="Times New Roman"/>
          <w:sz w:val="24"/>
          <w:szCs w:val="24"/>
        </w:rPr>
      </w:pPr>
      <w:r w:rsidRPr="002E4BA9">
        <w:rPr>
          <w:rFonts w:ascii="Times New Roman" w:hAnsi="Times New Roman" w:cs="Times New Roman"/>
          <w:sz w:val="24"/>
          <w:szCs w:val="24"/>
        </w:rPr>
        <w:t>expuneri care nu îndeplinesc condițiile de</w:t>
      </w:r>
      <w:r w:rsidR="00173390">
        <w:rPr>
          <w:rFonts w:ascii="Times New Roman" w:hAnsi="Times New Roman" w:cs="Times New Roman"/>
          <w:sz w:val="24"/>
          <w:szCs w:val="24"/>
        </w:rPr>
        <w:t xml:space="preserve"> la</w:t>
      </w:r>
      <w:r w:rsidRPr="002E4BA9">
        <w:rPr>
          <w:rFonts w:ascii="Times New Roman" w:hAnsi="Times New Roman" w:cs="Times New Roman"/>
          <w:sz w:val="24"/>
          <w:szCs w:val="24"/>
        </w:rPr>
        <w:t xml:space="preserve"> </w:t>
      </w:r>
      <w:r w:rsidR="00310CB7">
        <w:rPr>
          <w:rFonts w:ascii="Times New Roman" w:hAnsi="Times New Roman" w:cs="Times New Roman"/>
          <w:sz w:val="24"/>
          <w:szCs w:val="24"/>
        </w:rPr>
        <w:t>punct</w:t>
      </w:r>
      <w:r w:rsidR="008C4FF7">
        <w:rPr>
          <w:rFonts w:ascii="Times New Roman" w:hAnsi="Times New Roman" w:cs="Times New Roman"/>
          <w:sz w:val="24"/>
          <w:szCs w:val="24"/>
        </w:rPr>
        <w:t>ele</w:t>
      </w:r>
      <w:r w:rsidR="00310CB7">
        <w:rPr>
          <w:rFonts w:ascii="Times New Roman" w:hAnsi="Times New Roman" w:cs="Times New Roman"/>
          <w:sz w:val="24"/>
          <w:szCs w:val="24"/>
        </w:rPr>
        <w:t xml:space="preserve"> </w:t>
      </w:r>
      <w:r w:rsidR="00173390">
        <w:rPr>
          <w:rFonts w:ascii="Times New Roman" w:hAnsi="Times New Roman" w:cs="Times New Roman"/>
          <w:sz w:val="24"/>
          <w:szCs w:val="24"/>
        </w:rPr>
        <w:t>67</w:t>
      </w:r>
      <w:r w:rsidR="008C4FF7">
        <w:rPr>
          <w:rFonts w:ascii="Times New Roman" w:hAnsi="Times New Roman" w:cs="Times New Roman"/>
          <w:sz w:val="24"/>
          <w:szCs w:val="24"/>
        </w:rPr>
        <w:t xml:space="preserve"> - 67</w:t>
      </w:r>
      <w:r w:rsidR="008C4FF7" w:rsidRPr="00EA59DC">
        <w:rPr>
          <w:rFonts w:ascii="Times New Roman" w:hAnsi="Times New Roman" w:cs="Times New Roman"/>
          <w:sz w:val="24"/>
          <w:szCs w:val="24"/>
          <w:vertAlign w:val="superscript"/>
        </w:rPr>
        <w:t>2</w:t>
      </w:r>
      <w:r w:rsidR="00173390">
        <w:rPr>
          <w:rFonts w:ascii="Times New Roman" w:hAnsi="Times New Roman" w:cs="Times New Roman"/>
          <w:sz w:val="24"/>
          <w:szCs w:val="24"/>
        </w:rPr>
        <w:t xml:space="preserve"> </w:t>
      </w:r>
      <w:r w:rsidR="00310CB7">
        <w:rPr>
          <w:rFonts w:ascii="Times New Roman" w:hAnsi="Times New Roman" w:cs="Times New Roman"/>
          <w:sz w:val="24"/>
          <w:szCs w:val="24"/>
        </w:rPr>
        <w:t xml:space="preserve">din Regulamentul nr. 111/2018 </w:t>
      </w:r>
      <w:r w:rsidRPr="002E4BA9">
        <w:rPr>
          <w:rFonts w:ascii="Times New Roman" w:hAnsi="Times New Roman" w:cs="Times New Roman"/>
          <w:sz w:val="24"/>
          <w:szCs w:val="24"/>
        </w:rPr>
        <w:t xml:space="preserve">sau orice parte a unei expuneri non-ADC care depășește valoarea nominală a dreptului de ipotecă asupra bunului imobil, astfel cum se menționează la </w:t>
      </w:r>
      <w:r w:rsidR="009E5041">
        <w:rPr>
          <w:rFonts w:ascii="Times New Roman" w:hAnsi="Times New Roman" w:cs="Times New Roman"/>
          <w:sz w:val="24"/>
          <w:szCs w:val="24"/>
        </w:rPr>
        <w:t>punctul 65 subpunctul 1) din Regulamentul nr. 111/2018</w:t>
      </w:r>
      <w:r w:rsidRPr="002E4BA9">
        <w:rPr>
          <w:rFonts w:ascii="Times New Roman" w:hAnsi="Times New Roman" w:cs="Times New Roman"/>
          <w:sz w:val="24"/>
          <w:szCs w:val="24"/>
        </w:rPr>
        <w:t>;</w:t>
      </w:r>
    </w:p>
    <w:p w14:paraId="3E83A108" w14:textId="61FA7027" w:rsidR="006126C1" w:rsidRPr="00AD4440" w:rsidRDefault="00A62C49" w:rsidP="002E4BA9">
      <w:pPr>
        <w:rPr>
          <w:rFonts w:eastAsia="Arial"/>
        </w:rPr>
      </w:pPr>
      <w:r>
        <w:rPr>
          <w:rFonts w:ascii="Times New Roman" w:hAnsi="Times New Roman" w:cs="Times New Roman"/>
          <w:sz w:val="24"/>
          <w:szCs w:val="24"/>
        </w:rPr>
        <w:t>26.4.</w:t>
      </w:r>
      <w:r w:rsidR="006126C1" w:rsidRPr="002E4BA9">
        <w:rPr>
          <w:rFonts w:ascii="Times New Roman" w:hAnsi="Times New Roman" w:cs="Times New Roman"/>
          <w:sz w:val="24"/>
          <w:szCs w:val="24"/>
        </w:rPr>
        <w:t xml:space="preserve"> expuneri garantate cu ipoteci asupra bunurilor imobile locative – IPRE</w:t>
      </w:r>
      <w:r w:rsidR="00814E0D">
        <w:rPr>
          <w:rFonts w:ascii="Times New Roman" w:hAnsi="Times New Roman" w:cs="Times New Roman"/>
          <w:sz w:val="24"/>
          <w:szCs w:val="24"/>
        </w:rPr>
        <w:t xml:space="preserve"> (bunuri imobile care generează venituri )</w:t>
      </w:r>
      <w:r w:rsidR="006126C1" w:rsidRPr="002E4BA9">
        <w:rPr>
          <w:rFonts w:ascii="Times New Roman" w:hAnsi="Times New Roman" w:cs="Times New Roman"/>
          <w:sz w:val="24"/>
          <w:szCs w:val="24"/>
        </w:rPr>
        <w:t xml:space="preserve">: </w:t>
      </w:r>
    </w:p>
    <w:p w14:paraId="4ACF1335" w14:textId="77777777" w:rsidR="00A62C49" w:rsidRDefault="00A62C49" w:rsidP="00A62C49">
      <w:pPr>
        <w:ind w:firstLine="360"/>
        <w:rPr>
          <w:rFonts w:ascii="Times New Roman" w:hAnsi="Times New Roman" w:cs="Times New Roman"/>
          <w:sz w:val="24"/>
          <w:szCs w:val="24"/>
        </w:rPr>
      </w:pPr>
      <w:r>
        <w:rPr>
          <w:rFonts w:ascii="Times New Roman" w:hAnsi="Times New Roman" w:cs="Times New Roman"/>
          <w:sz w:val="24"/>
          <w:szCs w:val="24"/>
        </w:rPr>
        <w:t xml:space="preserve">a) </w:t>
      </w:r>
      <w:r w:rsidR="009E5041">
        <w:rPr>
          <w:rFonts w:ascii="Times New Roman" w:hAnsi="Times New Roman" w:cs="Times New Roman"/>
          <w:sz w:val="24"/>
          <w:szCs w:val="24"/>
        </w:rPr>
        <w:t>punctele 70-70</w:t>
      </w:r>
      <w:r w:rsidR="009E5041" w:rsidRPr="00E13C25">
        <w:rPr>
          <w:rFonts w:ascii="Times New Roman" w:hAnsi="Times New Roman" w:cs="Times New Roman"/>
          <w:sz w:val="24"/>
          <w:szCs w:val="24"/>
          <w:vertAlign w:val="superscript"/>
        </w:rPr>
        <w:t>2</w:t>
      </w:r>
      <w:r w:rsidR="009E5041" w:rsidRPr="00310CB7">
        <w:rPr>
          <w:rFonts w:ascii="Times New Roman" w:hAnsi="Times New Roman" w:cs="Times New Roman"/>
          <w:sz w:val="24"/>
          <w:szCs w:val="24"/>
        </w:rPr>
        <w:t xml:space="preserve"> </w:t>
      </w:r>
      <w:r w:rsidR="009E5041">
        <w:rPr>
          <w:rFonts w:ascii="Times New Roman" w:hAnsi="Times New Roman" w:cs="Times New Roman"/>
          <w:sz w:val="24"/>
          <w:szCs w:val="24"/>
        </w:rPr>
        <w:t>din Regulamentul nr. 111/2018</w:t>
      </w:r>
    </w:p>
    <w:p w14:paraId="4D66E9F2" w14:textId="77777777" w:rsidR="00A62C49" w:rsidRDefault="00A62C49" w:rsidP="00A62C49">
      <w:pPr>
        <w:ind w:firstLine="360"/>
        <w:rPr>
          <w:rStyle w:val="ui-provider"/>
          <w:rFonts w:ascii="Times New Roman" w:hAnsi="Times New Roman" w:cs="Times New Roman"/>
          <w:sz w:val="24"/>
          <w:szCs w:val="24"/>
        </w:rPr>
      </w:pPr>
      <w:r>
        <w:rPr>
          <w:rFonts w:ascii="Times New Roman" w:hAnsi="Times New Roman" w:cs="Times New Roman"/>
          <w:sz w:val="24"/>
          <w:szCs w:val="24"/>
        </w:rPr>
        <w:t xml:space="preserve">b) </w:t>
      </w:r>
      <w:r w:rsidR="006126C1" w:rsidRPr="00A62C49">
        <w:rPr>
          <w:rFonts w:ascii="Times New Roman" w:hAnsi="Times New Roman" w:cs="Times New Roman"/>
          <w:sz w:val="24"/>
          <w:szCs w:val="24"/>
        </w:rPr>
        <w:t xml:space="preserve">expuneri IPRE care îndeplinesc oricare dintre condițiile prevăzute la </w:t>
      </w:r>
      <w:r w:rsidR="009E5041" w:rsidRPr="00A62C49">
        <w:rPr>
          <w:rFonts w:ascii="Times New Roman" w:hAnsi="Times New Roman" w:cs="Times New Roman"/>
          <w:sz w:val="24"/>
          <w:szCs w:val="24"/>
        </w:rPr>
        <w:t>punctul 66 subpunctul 1) litera b) din Regulamentul nr. 111/2018</w:t>
      </w:r>
      <w:r w:rsidR="006126C1" w:rsidRPr="00A62C49">
        <w:rPr>
          <w:rStyle w:val="ui-provider"/>
          <w:rFonts w:ascii="Times New Roman" w:hAnsi="Times New Roman" w:cs="Times New Roman"/>
          <w:sz w:val="24"/>
          <w:szCs w:val="24"/>
        </w:rPr>
        <w:t>;</w:t>
      </w:r>
    </w:p>
    <w:p w14:paraId="1504DD58" w14:textId="77777777" w:rsidR="00A62C49" w:rsidRDefault="00A62C49" w:rsidP="00A62C49">
      <w:pPr>
        <w:ind w:firstLine="360"/>
        <w:rPr>
          <w:rFonts w:eastAsia="Arial"/>
        </w:rPr>
      </w:pPr>
      <w:r>
        <w:rPr>
          <w:rStyle w:val="ui-provider"/>
          <w:rFonts w:ascii="Times New Roman" w:hAnsi="Times New Roman" w:cs="Times New Roman"/>
          <w:sz w:val="24"/>
          <w:szCs w:val="24"/>
        </w:rPr>
        <w:lastRenderedPageBreak/>
        <w:t xml:space="preserve">c) </w:t>
      </w:r>
      <w:r w:rsidR="006126C1" w:rsidRPr="00731036">
        <w:rPr>
          <w:rStyle w:val="ui-provider"/>
          <w:rFonts w:ascii="Times New Roman" w:hAnsi="Times New Roman" w:cs="Times New Roman"/>
          <w:sz w:val="24"/>
          <w:szCs w:val="24"/>
        </w:rPr>
        <w:t xml:space="preserve">expuneri IPRE în cazul cărora se aplică derogarea prevăzută la </w:t>
      </w:r>
      <w:r w:rsidR="009E5041">
        <w:rPr>
          <w:rFonts w:ascii="Times New Roman" w:hAnsi="Times New Roman" w:cs="Times New Roman"/>
          <w:sz w:val="24"/>
          <w:szCs w:val="24"/>
        </w:rPr>
        <w:t>punctul 70</w:t>
      </w:r>
      <w:r w:rsidR="009E5041" w:rsidRPr="00E13C25">
        <w:rPr>
          <w:rFonts w:ascii="Times New Roman" w:hAnsi="Times New Roman" w:cs="Times New Roman"/>
          <w:sz w:val="24"/>
          <w:szCs w:val="24"/>
          <w:vertAlign w:val="superscript"/>
        </w:rPr>
        <w:t>2</w:t>
      </w:r>
      <w:r w:rsidR="009E5041" w:rsidRPr="00310CB7">
        <w:rPr>
          <w:rFonts w:ascii="Times New Roman" w:hAnsi="Times New Roman" w:cs="Times New Roman"/>
          <w:sz w:val="24"/>
          <w:szCs w:val="24"/>
        </w:rPr>
        <w:t xml:space="preserve"> </w:t>
      </w:r>
      <w:r w:rsidR="009E5041">
        <w:rPr>
          <w:rFonts w:ascii="Times New Roman" w:hAnsi="Times New Roman" w:cs="Times New Roman"/>
          <w:sz w:val="24"/>
          <w:szCs w:val="24"/>
        </w:rPr>
        <w:t>din Regulamentul nr. 111/2018</w:t>
      </w:r>
    </w:p>
    <w:p w14:paraId="7A0AE0B0" w14:textId="3C016713" w:rsidR="006126C1" w:rsidRPr="00AD4440" w:rsidRDefault="00A62C49" w:rsidP="00A62C49">
      <w:pPr>
        <w:rPr>
          <w:rFonts w:eastAsia="Arial"/>
        </w:rPr>
      </w:pPr>
      <w:r w:rsidRPr="00A62C49">
        <w:rPr>
          <w:rFonts w:ascii="Times New Roman" w:hAnsi="Times New Roman" w:cs="Times New Roman"/>
          <w:sz w:val="24"/>
          <w:szCs w:val="24"/>
        </w:rPr>
        <w:t>26.5.</w:t>
      </w:r>
      <w:r w:rsidR="006126C1" w:rsidRPr="002E4BA9">
        <w:rPr>
          <w:rFonts w:ascii="Times New Roman" w:hAnsi="Times New Roman" w:cs="Times New Roman"/>
          <w:sz w:val="24"/>
          <w:szCs w:val="24"/>
        </w:rPr>
        <w:t xml:space="preserve"> expuneri garantate cu ipoteci asupra bunurilor imobile locative – altele – IPRE</w:t>
      </w:r>
      <w:r>
        <w:rPr>
          <w:rFonts w:ascii="Times New Roman" w:hAnsi="Times New Roman" w:cs="Times New Roman"/>
          <w:sz w:val="24"/>
          <w:szCs w:val="24"/>
        </w:rPr>
        <w:t>:</w:t>
      </w:r>
    </w:p>
    <w:p w14:paraId="4C3083E3" w14:textId="3B3D2E4B" w:rsidR="006126C1" w:rsidRPr="00731036" w:rsidRDefault="006126C1" w:rsidP="002E4BA9">
      <w:pPr>
        <w:rPr>
          <w:rStyle w:val="ui-provider"/>
          <w:rFonts w:ascii="Times New Roman" w:hAnsi="Times New Roman" w:cs="Times New Roman"/>
          <w:sz w:val="24"/>
          <w:szCs w:val="24"/>
        </w:rPr>
      </w:pPr>
      <w:r w:rsidRPr="00731036">
        <w:rPr>
          <w:rStyle w:val="ui-provider"/>
          <w:rFonts w:ascii="Times New Roman" w:hAnsi="Times New Roman" w:cs="Times New Roman"/>
          <w:sz w:val="24"/>
          <w:szCs w:val="24"/>
        </w:rPr>
        <w:t xml:space="preserve">expuneri care nu îndeplinesc condițiile de la </w:t>
      </w:r>
      <w:r w:rsidR="009E5041">
        <w:rPr>
          <w:rFonts w:ascii="Times New Roman" w:hAnsi="Times New Roman" w:cs="Times New Roman"/>
          <w:sz w:val="24"/>
          <w:szCs w:val="24"/>
        </w:rPr>
        <w:t>punctele 67-67</w:t>
      </w:r>
      <w:r w:rsidR="009E5041" w:rsidRPr="002E4BA9">
        <w:rPr>
          <w:rFonts w:ascii="Times New Roman" w:hAnsi="Times New Roman" w:cs="Times New Roman"/>
          <w:sz w:val="24"/>
          <w:szCs w:val="24"/>
          <w:vertAlign w:val="superscript"/>
        </w:rPr>
        <w:t>2</w:t>
      </w:r>
      <w:r w:rsidR="009E5041">
        <w:rPr>
          <w:rFonts w:ascii="Times New Roman" w:hAnsi="Times New Roman" w:cs="Times New Roman"/>
          <w:sz w:val="24"/>
          <w:szCs w:val="24"/>
        </w:rPr>
        <w:t xml:space="preserve"> din Regulamentul nr. 111/2018</w:t>
      </w:r>
      <w:r w:rsidRPr="00731036">
        <w:rPr>
          <w:rStyle w:val="ui-provider"/>
          <w:rFonts w:ascii="Times New Roman" w:hAnsi="Times New Roman" w:cs="Times New Roman"/>
          <w:sz w:val="24"/>
          <w:szCs w:val="24"/>
        </w:rPr>
        <w:t xml:space="preserve">sau orice parte a unei expuneri non-ADC care depășește valoarea nominală a dreptului de ipotecă asupra bunului imobil, astfel cum se menționează la </w:t>
      </w:r>
      <w:r w:rsidR="009E5041">
        <w:rPr>
          <w:rFonts w:ascii="Times New Roman" w:hAnsi="Times New Roman" w:cs="Times New Roman"/>
          <w:sz w:val="24"/>
          <w:szCs w:val="24"/>
        </w:rPr>
        <w:t xml:space="preserve">punctul 65 subpunctul </w:t>
      </w:r>
      <w:r w:rsidR="006A2428">
        <w:rPr>
          <w:rFonts w:ascii="Times New Roman" w:hAnsi="Times New Roman" w:cs="Times New Roman"/>
          <w:sz w:val="24"/>
          <w:szCs w:val="24"/>
        </w:rPr>
        <w:t>1</w:t>
      </w:r>
      <w:r w:rsidR="009E5041">
        <w:rPr>
          <w:rFonts w:ascii="Times New Roman" w:hAnsi="Times New Roman" w:cs="Times New Roman"/>
          <w:sz w:val="24"/>
          <w:szCs w:val="24"/>
        </w:rPr>
        <w:t>) din Regulamentul nr. 111/2018</w:t>
      </w:r>
      <w:r w:rsidRPr="00731036">
        <w:rPr>
          <w:rStyle w:val="ui-provider"/>
          <w:rFonts w:ascii="Times New Roman" w:hAnsi="Times New Roman" w:cs="Times New Roman"/>
          <w:sz w:val="24"/>
          <w:szCs w:val="24"/>
        </w:rPr>
        <w:t>;</w:t>
      </w:r>
    </w:p>
    <w:p w14:paraId="7C408ACE" w14:textId="6260B746" w:rsidR="006126C1" w:rsidRPr="00AD4440" w:rsidRDefault="00A62C49" w:rsidP="002E4BA9">
      <w:pPr>
        <w:rPr>
          <w:rFonts w:eastAsia="Arial"/>
        </w:rPr>
      </w:pPr>
      <w:r>
        <w:rPr>
          <w:rFonts w:ascii="Times New Roman" w:hAnsi="Times New Roman" w:cs="Times New Roman"/>
          <w:sz w:val="24"/>
          <w:szCs w:val="24"/>
        </w:rPr>
        <w:t xml:space="preserve">26.6. </w:t>
      </w:r>
      <w:r w:rsidR="006126C1" w:rsidRPr="002E4BA9">
        <w:rPr>
          <w:rFonts w:ascii="Times New Roman" w:hAnsi="Times New Roman" w:cs="Times New Roman"/>
          <w:sz w:val="24"/>
          <w:szCs w:val="24"/>
        </w:rPr>
        <w:t>expuneri garantate cu ipoteci asupra bunurilor imobile comerciale – non-IPRE (garantate)</w:t>
      </w:r>
      <w:r>
        <w:rPr>
          <w:rFonts w:ascii="Times New Roman" w:hAnsi="Times New Roman" w:cs="Times New Roman"/>
          <w:sz w:val="24"/>
          <w:szCs w:val="24"/>
        </w:rPr>
        <w:t>:</w:t>
      </w:r>
    </w:p>
    <w:p w14:paraId="5319FDE4" w14:textId="3ABE057C" w:rsidR="006126C1" w:rsidRPr="00731036" w:rsidRDefault="006126C1" w:rsidP="002E4BA9">
      <w:pPr>
        <w:rPr>
          <w:rStyle w:val="ui-provider"/>
          <w:rFonts w:ascii="Times New Roman" w:hAnsi="Times New Roman" w:cs="Times New Roman"/>
          <w:sz w:val="24"/>
          <w:szCs w:val="24"/>
        </w:rPr>
      </w:pPr>
      <w:r w:rsidRPr="002E4BA9">
        <w:rPr>
          <w:rFonts w:ascii="Times New Roman" w:hAnsi="Times New Roman" w:cs="Times New Roman"/>
          <w:sz w:val="24"/>
          <w:szCs w:val="24"/>
        </w:rPr>
        <w:t xml:space="preserve">expuneri non-IPRE tratate în conformitate cu </w:t>
      </w:r>
      <w:r w:rsidR="00A74F15">
        <w:rPr>
          <w:rFonts w:ascii="Times New Roman" w:hAnsi="Times New Roman" w:cs="Times New Roman"/>
          <w:sz w:val="24"/>
          <w:szCs w:val="24"/>
        </w:rPr>
        <w:t>punctele 71-71</w:t>
      </w:r>
      <w:r w:rsidR="00A74F15">
        <w:rPr>
          <w:rFonts w:ascii="Times New Roman" w:hAnsi="Times New Roman" w:cs="Times New Roman"/>
          <w:sz w:val="24"/>
          <w:szCs w:val="24"/>
          <w:vertAlign w:val="superscript"/>
        </w:rPr>
        <w:t>2</w:t>
      </w:r>
      <w:r w:rsidR="00A74F15">
        <w:rPr>
          <w:rFonts w:ascii="Times New Roman" w:hAnsi="Times New Roman" w:cs="Times New Roman"/>
          <w:sz w:val="24"/>
          <w:szCs w:val="24"/>
        </w:rPr>
        <w:t xml:space="preserve"> din Regulamentul nr. 111/2018</w:t>
      </w:r>
      <w:r w:rsidRPr="002E4BA9">
        <w:rPr>
          <w:rFonts w:ascii="Times New Roman" w:hAnsi="Times New Roman" w:cs="Times New Roman"/>
          <w:sz w:val="24"/>
          <w:szCs w:val="24"/>
        </w:rPr>
        <w:t>;</w:t>
      </w:r>
    </w:p>
    <w:p w14:paraId="28EF4031" w14:textId="2A618C7C" w:rsidR="006126C1" w:rsidRPr="00AD4440" w:rsidRDefault="00A62C49" w:rsidP="002E4BA9">
      <w:pPr>
        <w:rPr>
          <w:noProof/>
        </w:rPr>
      </w:pPr>
      <w:r>
        <w:rPr>
          <w:rFonts w:ascii="Times New Roman" w:hAnsi="Times New Roman" w:cs="Times New Roman"/>
          <w:sz w:val="24"/>
          <w:szCs w:val="24"/>
        </w:rPr>
        <w:t>26.7</w:t>
      </w:r>
      <w:r w:rsidR="006126C1" w:rsidRPr="002E4BA9">
        <w:rPr>
          <w:rFonts w:ascii="Times New Roman" w:hAnsi="Times New Roman" w:cs="Times New Roman"/>
          <w:sz w:val="24"/>
          <w:szCs w:val="24"/>
        </w:rPr>
        <w:t xml:space="preserve">. expuneri garantate cu ipoteci asupra bunurilor imobile comerciale – non-IPRE (negarantate): </w:t>
      </w:r>
    </w:p>
    <w:p w14:paraId="7D7E522B" w14:textId="72140416" w:rsidR="006126C1" w:rsidRPr="00731036" w:rsidRDefault="00A74F15" w:rsidP="002E4BA9">
      <w:pPr>
        <w:rPr>
          <w:rStyle w:val="ui-provider"/>
          <w:rFonts w:ascii="Times New Roman" w:hAnsi="Times New Roman" w:cs="Times New Roman"/>
          <w:sz w:val="24"/>
          <w:szCs w:val="24"/>
        </w:rPr>
      </w:pPr>
      <w:r>
        <w:rPr>
          <w:rFonts w:ascii="Times New Roman" w:hAnsi="Times New Roman" w:cs="Times New Roman"/>
          <w:sz w:val="24"/>
          <w:szCs w:val="24"/>
        </w:rPr>
        <w:t>punctul 71</w:t>
      </w:r>
      <w:r>
        <w:rPr>
          <w:rFonts w:ascii="Times New Roman" w:hAnsi="Times New Roman" w:cs="Times New Roman"/>
          <w:sz w:val="24"/>
          <w:szCs w:val="24"/>
          <w:vertAlign w:val="superscript"/>
        </w:rPr>
        <w:t>3</w:t>
      </w:r>
      <w:r>
        <w:rPr>
          <w:rFonts w:ascii="Times New Roman" w:hAnsi="Times New Roman" w:cs="Times New Roman"/>
          <w:sz w:val="24"/>
          <w:szCs w:val="24"/>
        </w:rPr>
        <w:t xml:space="preserve"> din Regulamentul nr. 111/2018</w:t>
      </w:r>
      <w:r w:rsidR="006126C1" w:rsidRPr="00731036">
        <w:rPr>
          <w:rStyle w:val="ui-provider"/>
          <w:rFonts w:ascii="Times New Roman" w:hAnsi="Times New Roman" w:cs="Times New Roman"/>
          <w:sz w:val="24"/>
          <w:szCs w:val="24"/>
        </w:rPr>
        <w:t>.</w:t>
      </w:r>
    </w:p>
    <w:p w14:paraId="49D820B6" w14:textId="1DF21383" w:rsidR="006126C1" w:rsidRPr="00AD4440" w:rsidRDefault="00A62C49" w:rsidP="002E4BA9">
      <w:pPr>
        <w:rPr>
          <w:noProof/>
        </w:rPr>
      </w:pPr>
      <w:r>
        <w:rPr>
          <w:rFonts w:ascii="Times New Roman" w:hAnsi="Times New Roman" w:cs="Times New Roman"/>
          <w:sz w:val="24"/>
          <w:szCs w:val="24"/>
        </w:rPr>
        <w:t>26.8</w:t>
      </w:r>
      <w:r w:rsidR="006126C1" w:rsidRPr="002E4BA9">
        <w:rPr>
          <w:rFonts w:ascii="Times New Roman" w:hAnsi="Times New Roman" w:cs="Times New Roman"/>
          <w:sz w:val="24"/>
          <w:szCs w:val="24"/>
        </w:rPr>
        <w:t xml:space="preserve">. expuneri garantate cu ipoteci asupra bunurilor imobile comerciale – altele – non-IPRE: </w:t>
      </w:r>
    </w:p>
    <w:p w14:paraId="036BBE76" w14:textId="6AE34548" w:rsidR="006126C1" w:rsidRPr="00731036" w:rsidRDefault="006126C1" w:rsidP="002E4BA9">
      <w:pPr>
        <w:rPr>
          <w:rStyle w:val="ui-provider"/>
          <w:rFonts w:ascii="Times New Roman" w:hAnsi="Times New Roman" w:cs="Times New Roman"/>
          <w:sz w:val="24"/>
          <w:szCs w:val="24"/>
        </w:rPr>
      </w:pPr>
      <w:r w:rsidRPr="00731036">
        <w:rPr>
          <w:rStyle w:val="ui-provider"/>
          <w:rFonts w:ascii="Times New Roman" w:hAnsi="Times New Roman" w:cs="Times New Roman"/>
          <w:sz w:val="24"/>
          <w:szCs w:val="24"/>
        </w:rPr>
        <w:t xml:space="preserve">expuneri care nu îndeplinesc condițiile de la </w:t>
      </w:r>
      <w:r w:rsidR="009E5041">
        <w:rPr>
          <w:rFonts w:ascii="Times New Roman" w:hAnsi="Times New Roman" w:cs="Times New Roman"/>
          <w:sz w:val="24"/>
          <w:szCs w:val="24"/>
        </w:rPr>
        <w:t>punctele 67-67</w:t>
      </w:r>
      <w:r w:rsidR="009E5041" w:rsidRPr="00E13C25">
        <w:rPr>
          <w:rFonts w:ascii="Times New Roman" w:hAnsi="Times New Roman" w:cs="Times New Roman"/>
          <w:sz w:val="24"/>
          <w:szCs w:val="24"/>
          <w:vertAlign w:val="superscript"/>
        </w:rPr>
        <w:t>2</w:t>
      </w:r>
      <w:r w:rsidR="009E5041">
        <w:rPr>
          <w:rFonts w:ascii="Times New Roman" w:hAnsi="Times New Roman" w:cs="Times New Roman"/>
          <w:sz w:val="24"/>
          <w:szCs w:val="24"/>
        </w:rPr>
        <w:t xml:space="preserve"> din Regulamentul nr. 111/2018</w:t>
      </w:r>
      <w:r w:rsidR="00A62C49">
        <w:rPr>
          <w:rFonts w:ascii="Times New Roman" w:hAnsi="Times New Roman" w:cs="Times New Roman"/>
          <w:sz w:val="24"/>
          <w:szCs w:val="24"/>
        </w:rPr>
        <w:t xml:space="preserve"> </w:t>
      </w:r>
      <w:r w:rsidRPr="00731036">
        <w:rPr>
          <w:rStyle w:val="ui-provider"/>
          <w:rFonts w:ascii="Times New Roman" w:hAnsi="Times New Roman" w:cs="Times New Roman"/>
          <w:sz w:val="24"/>
          <w:szCs w:val="24"/>
        </w:rPr>
        <w:t xml:space="preserve">sau orice parte a unei expuneri non-ADC care depășește valoarea nominală a dreptului de ipotecă asupra bunului imobil, astfel cum se menționează la </w:t>
      </w:r>
      <w:r w:rsidR="009E5041">
        <w:rPr>
          <w:rFonts w:ascii="Times New Roman" w:hAnsi="Times New Roman" w:cs="Times New Roman"/>
          <w:sz w:val="24"/>
          <w:szCs w:val="24"/>
        </w:rPr>
        <w:t>punctul 65 subpunctul 1) din Regulamentul nr. 111/2018</w:t>
      </w:r>
      <w:r w:rsidRPr="00731036">
        <w:rPr>
          <w:rStyle w:val="ui-provider"/>
          <w:rFonts w:ascii="Times New Roman" w:hAnsi="Times New Roman" w:cs="Times New Roman"/>
          <w:sz w:val="24"/>
          <w:szCs w:val="24"/>
        </w:rPr>
        <w:t>;</w:t>
      </w:r>
    </w:p>
    <w:p w14:paraId="7570DF6C" w14:textId="22D38271" w:rsidR="006126C1" w:rsidRPr="00AD4440" w:rsidRDefault="00A62C49" w:rsidP="002E4BA9">
      <w:pPr>
        <w:rPr>
          <w:noProof/>
        </w:rPr>
      </w:pPr>
      <w:r>
        <w:rPr>
          <w:rFonts w:ascii="Times New Roman" w:hAnsi="Times New Roman" w:cs="Times New Roman"/>
          <w:sz w:val="24"/>
          <w:szCs w:val="24"/>
        </w:rPr>
        <w:t>26.9</w:t>
      </w:r>
      <w:r w:rsidR="006126C1" w:rsidRPr="002E4BA9">
        <w:rPr>
          <w:rFonts w:ascii="Times New Roman" w:hAnsi="Times New Roman" w:cs="Times New Roman"/>
          <w:sz w:val="24"/>
          <w:szCs w:val="24"/>
        </w:rPr>
        <w:t xml:space="preserve">. expuneri garantate cu ipoteci asupra bunurilor imobile comerciale – IPRE: </w:t>
      </w:r>
    </w:p>
    <w:p w14:paraId="2E9D5CB2" w14:textId="49DA8667" w:rsidR="006126C1" w:rsidRPr="00731036" w:rsidRDefault="00A74F15" w:rsidP="002E4BA9">
      <w:pPr>
        <w:rPr>
          <w:rStyle w:val="ui-provider"/>
          <w:rFonts w:ascii="Times New Roman" w:hAnsi="Times New Roman" w:cs="Times New Roman"/>
          <w:sz w:val="24"/>
          <w:szCs w:val="24"/>
        </w:rPr>
      </w:pPr>
      <w:r>
        <w:rPr>
          <w:rFonts w:ascii="Times New Roman" w:hAnsi="Times New Roman" w:cs="Times New Roman"/>
          <w:sz w:val="24"/>
          <w:szCs w:val="24"/>
        </w:rPr>
        <w:t>punctele 7</w:t>
      </w:r>
      <w:r w:rsidR="00576E20">
        <w:rPr>
          <w:rFonts w:ascii="Times New Roman" w:hAnsi="Times New Roman" w:cs="Times New Roman"/>
          <w:sz w:val="24"/>
          <w:szCs w:val="24"/>
        </w:rPr>
        <w:t>2</w:t>
      </w:r>
      <w:r>
        <w:rPr>
          <w:rFonts w:ascii="Times New Roman" w:hAnsi="Times New Roman" w:cs="Times New Roman"/>
          <w:sz w:val="24"/>
          <w:szCs w:val="24"/>
        </w:rPr>
        <w:t>-7</w:t>
      </w:r>
      <w:r w:rsidR="00576E20">
        <w:rPr>
          <w:rFonts w:ascii="Times New Roman" w:hAnsi="Times New Roman" w:cs="Times New Roman"/>
          <w:sz w:val="24"/>
          <w:szCs w:val="24"/>
        </w:rPr>
        <w:t>2</w:t>
      </w:r>
      <w:r w:rsidR="00576E20">
        <w:rPr>
          <w:rFonts w:ascii="Times New Roman" w:hAnsi="Times New Roman" w:cs="Times New Roman"/>
          <w:sz w:val="24"/>
          <w:szCs w:val="24"/>
          <w:vertAlign w:val="superscript"/>
        </w:rPr>
        <w:t>2</w:t>
      </w:r>
      <w:r>
        <w:rPr>
          <w:rFonts w:ascii="Times New Roman" w:hAnsi="Times New Roman" w:cs="Times New Roman"/>
          <w:sz w:val="24"/>
          <w:szCs w:val="24"/>
        </w:rPr>
        <w:t xml:space="preserve"> din Regulamentul nr. 111/2018</w:t>
      </w:r>
      <w:r w:rsidR="002E4BA9">
        <w:rPr>
          <w:rFonts w:ascii="Times New Roman" w:hAnsi="Times New Roman" w:cs="Times New Roman"/>
          <w:sz w:val="24"/>
          <w:szCs w:val="24"/>
        </w:rPr>
        <w:t xml:space="preserve"> </w:t>
      </w:r>
      <w:r w:rsidR="006126C1" w:rsidRPr="00731036">
        <w:rPr>
          <w:rStyle w:val="ui-provider"/>
          <w:rFonts w:ascii="Times New Roman" w:hAnsi="Times New Roman" w:cs="Times New Roman"/>
          <w:sz w:val="24"/>
          <w:szCs w:val="24"/>
        </w:rPr>
        <w:t xml:space="preserve">expuneri IPRE în cazul cărora se aplică derogarea prevăzută la </w:t>
      </w:r>
      <w:r>
        <w:rPr>
          <w:rFonts w:ascii="Times New Roman" w:hAnsi="Times New Roman" w:cs="Times New Roman"/>
          <w:sz w:val="24"/>
          <w:szCs w:val="24"/>
        </w:rPr>
        <w:t>punctul 72</w:t>
      </w:r>
      <w:r w:rsidRPr="00E13C25">
        <w:rPr>
          <w:rFonts w:ascii="Times New Roman" w:hAnsi="Times New Roman" w:cs="Times New Roman"/>
          <w:sz w:val="24"/>
          <w:szCs w:val="24"/>
          <w:vertAlign w:val="superscript"/>
        </w:rPr>
        <w:t>2</w:t>
      </w:r>
      <w:r>
        <w:rPr>
          <w:rFonts w:ascii="Times New Roman" w:hAnsi="Times New Roman" w:cs="Times New Roman"/>
          <w:sz w:val="24"/>
          <w:szCs w:val="24"/>
        </w:rPr>
        <w:t xml:space="preserve"> din Regulamentul nr. 111/2018</w:t>
      </w:r>
    </w:p>
    <w:p w14:paraId="65F9D415" w14:textId="68296A4F" w:rsidR="006126C1" w:rsidRPr="00AD4440" w:rsidRDefault="00A62C49" w:rsidP="002E4BA9">
      <w:pPr>
        <w:rPr>
          <w:noProof/>
        </w:rPr>
      </w:pPr>
      <w:r>
        <w:rPr>
          <w:rFonts w:ascii="Times New Roman" w:hAnsi="Times New Roman" w:cs="Times New Roman"/>
          <w:sz w:val="24"/>
          <w:szCs w:val="24"/>
        </w:rPr>
        <w:t>26.10</w:t>
      </w:r>
      <w:r w:rsidR="006126C1" w:rsidRPr="002E4BA9">
        <w:rPr>
          <w:rFonts w:ascii="Times New Roman" w:hAnsi="Times New Roman" w:cs="Times New Roman"/>
          <w:sz w:val="24"/>
          <w:szCs w:val="24"/>
        </w:rPr>
        <w:t xml:space="preserve">. expuneri garantate cu ipoteci asupra bunurilor imobile comerciale – altele – IPRE: </w:t>
      </w:r>
    </w:p>
    <w:p w14:paraId="3C4A050B" w14:textId="17E04174" w:rsidR="006126C1" w:rsidRPr="00731036" w:rsidRDefault="006126C1" w:rsidP="002E4BA9">
      <w:pPr>
        <w:rPr>
          <w:rStyle w:val="ui-provider"/>
          <w:rFonts w:ascii="Times New Roman" w:hAnsi="Times New Roman" w:cs="Times New Roman"/>
          <w:sz w:val="24"/>
          <w:szCs w:val="24"/>
        </w:rPr>
      </w:pPr>
      <w:r w:rsidRPr="00731036">
        <w:rPr>
          <w:rStyle w:val="ui-provider"/>
          <w:rFonts w:ascii="Times New Roman" w:hAnsi="Times New Roman" w:cs="Times New Roman"/>
          <w:sz w:val="24"/>
          <w:szCs w:val="24"/>
        </w:rPr>
        <w:t xml:space="preserve">expuneri care nu îndeplinesc condițiile de la </w:t>
      </w:r>
      <w:r w:rsidR="00A74F15">
        <w:rPr>
          <w:rFonts w:ascii="Times New Roman" w:hAnsi="Times New Roman" w:cs="Times New Roman"/>
          <w:sz w:val="24"/>
          <w:szCs w:val="24"/>
        </w:rPr>
        <w:t>punctele 67-67</w:t>
      </w:r>
      <w:r w:rsidR="00A74F15" w:rsidRPr="00E13C25">
        <w:rPr>
          <w:rFonts w:ascii="Times New Roman" w:hAnsi="Times New Roman" w:cs="Times New Roman"/>
          <w:sz w:val="24"/>
          <w:szCs w:val="24"/>
          <w:vertAlign w:val="superscript"/>
        </w:rPr>
        <w:t>2</w:t>
      </w:r>
      <w:r w:rsidR="00A74F15">
        <w:rPr>
          <w:rFonts w:ascii="Times New Roman" w:hAnsi="Times New Roman" w:cs="Times New Roman"/>
          <w:sz w:val="24"/>
          <w:szCs w:val="24"/>
        </w:rPr>
        <w:t xml:space="preserve"> din Regulamentul nr. 111/2018</w:t>
      </w:r>
      <w:r w:rsidR="00A62C49">
        <w:rPr>
          <w:rFonts w:ascii="Times New Roman" w:hAnsi="Times New Roman" w:cs="Times New Roman"/>
          <w:sz w:val="24"/>
          <w:szCs w:val="24"/>
        </w:rPr>
        <w:t xml:space="preserve"> </w:t>
      </w:r>
      <w:r w:rsidRPr="00731036">
        <w:rPr>
          <w:rStyle w:val="ui-provider"/>
          <w:rFonts w:ascii="Times New Roman" w:hAnsi="Times New Roman" w:cs="Times New Roman"/>
          <w:sz w:val="24"/>
          <w:szCs w:val="24"/>
        </w:rPr>
        <w:t xml:space="preserve">sau orice parte a unei expuneri non-ADC care depășește valoarea nominală a dreptului de ipotecă asupra bunului imobil, astfel cum se menționează la </w:t>
      </w:r>
      <w:r w:rsidR="009E5041">
        <w:rPr>
          <w:rFonts w:ascii="Times New Roman" w:hAnsi="Times New Roman" w:cs="Times New Roman"/>
          <w:sz w:val="24"/>
          <w:szCs w:val="24"/>
        </w:rPr>
        <w:t>punctul 65 subpunctul 2) din Regulamentul nr. 111/2018</w:t>
      </w:r>
      <w:r w:rsidRPr="00731036">
        <w:rPr>
          <w:rStyle w:val="ui-provider"/>
          <w:rFonts w:ascii="Times New Roman" w:hAnsi="Times New Roman" w:cs="Times New Roman"/>
          <w:sz w:val="24"/>
          <w:szCs w:val="24"/>
        </w:rPr>
        <w:t>;</w:t>
      </w:r>
    </w:p>
    <w:p w14:paraId="0AB71699" w14:textId="2DC72A25" w:rsidR="002E4BA9" w:rsidRDefault="00A62C49" w:rsidP="002E4BA9">
      <w:pPr>
        <w:rPr>
          <w:rFonts w:ascii="Times New Roman" w:hAnsi="Times New Roman" w:cs="Times New Roman"/>
          <w:sz w:val="24"/>
          <w:szCs w:val="24"/>
        </w:rPr>
      </w:pPr>
      <w:r>
        <w:rPr>
          <w:rFonts w:ascii="Times New Roman" w:hAnsi="Times New Roman" w:cs="Times New Roman"/>
          <w:sz w:val="24"/>
          <w:szCs w:val="24"/>
        </w:rPr>
        <w:t>26.11</w:t>
      </w:r>
      <w:r w:rsidR="006126C1" w:rsidRPr="002E4BA9">
        <w:rPr>
          <w:rFonts w:ascii="Times New Roman" w:hAnsi="Times New Roman" w:cs="Times New Roman"/>
          <w:sz w:val="24"/>
          <w:szCs w:val="24"/>
        </w:rPr>
        <w:t>. expuneri aferente achizițiilor de terenuri, dezvoltării și construcțiilor (</w:t>
      </w:r>
      <w:r w:rsidR="00DD6689">
        <w:rPr>
          <w:rFonts w:ascii="Times New Roman" w:hAnsi="Times New Roman" w:cs="Times New Roman"/>
          <w:sz w:val="24"/>
          <w:szCs w:val="24"/>
        </w:rPr>
        <w:t xml:space="preserve">în continuare expuneri </w:t>
      </w:r>
      <w:r w:rsidR="006126C1" w:rsidRPr="002E4BA9">
        <w:rPr>
          <w:rFonts w:ascii="Times New Roman" w:hAnsi="Times New Roman" w:cs="Times New Roman"/>
          <w:sz w:val="24"/>
          <w:szCs w:val="24"/>
        </w:rPr>
        <w:t xml:space="preserve">ADC): </w:t>
      </w:r>
      <w:r w:rsidR="00A74F15">
        <w:rPr>
          <w:rFonts w:ascii="Times New Roman" w:hAnsi="Times New Roman" w:cs="Times New Roman"/>
          <w:sz w:val="24"/>
          <w:szCs w:val="24"/>
        </w:rPr>
        <w:t>punctele 72</w:t>
      </w:r>
      <w:r w:rsidR="00A74F15" w:rsidRPr="002E4BA9">
        <w:rPr>
          <w:rFonts w:ascii="Times New Roman" w:hAnsi="Times New Roman" w:cs="Times New Roman"/>
          <w:sz w:val="24"/>
          <w:szCs w:val="24"/>
          <w:vertAlign w:val="superscript"/>
        </w:rPr>
        <w:t>4</w:t>
      </w:r>
      <w:r w:rsidR="00A74F15">
        <w:rPr>
          <w:rFonts w:ascii="Times New Roman" w:hAnsi="Times New Roman" w:cs="Times New Roman"/>
          <w:sz w:val="24"/>
          <w:szCs w:val="24"/>
        </w:rPr>
        <w:t>-72</w:t>
      </w:r>
      <w:r w:rsidR="00A74F15">
        <w:rPr>
          <w:rFonts w:ascii="Times New Roman" w:hAnsi="Times New Roman" w:cs="Times New Roman"/>
          <w:sz w:val="24"/>
          <w:szCs w:val="24"/>
          <w:vertAlign w:val="superscript"/>
        </w:rPr>
        <w:t>5</w:t>
      </w:r>
      <w:r w:rsidR="00A74F15">
        <w:rPr>
          <w:rFonts w:ascii="Times New Roman" w:hAnsi="Times New Roman" w:cs="Times New Roman"/>
          <w:sz w:val="24"/>
          <w:szCs w:val="24"/>
        </w:rPr>
        <w:t xml:space="preserve"> din Regulamentul nr. 111/2018</w:t>
      </w:r>
    </w:p>
    <w:p w14:paraId="177FA15B" w14:textId="252F34DF" w:rsidR="006126C1" w:rsidRPr="00AD4440" w:rsidRDefault="00A62C49" w:rsidP="002E4BA9">
      <w:pPr>
        <w:rPr>
          <w:rFonts w:eastAsia="Arial"/>
        </w:rPr>
      </w:pPr>
      <w:r>
        <w:rPr>
          <w:rFonts w:ascii="Times New Roman" w:hAnsi="Times New Roman" w:cs="Times New Roman"/>
          <w:sz w:val="24"/>
          <w:szCs w:val="24"/>
        </w:rPr>
        <w:t>27</w:t>
      </w:r>
      <w:r w:rsidR="006126C1" w:rsidRPr="002E4BA9">
        <w:rPr>
          <w:rFonts w:ascii="Times New Roman" w:hAnsi="Times New Roman" w:cs="Times New Roman"/>
          <w:sz w:val="24"/>
          <w:szCs w:val="24"/>
        </w:rPr>
        <w:t xml:space="preserve">. Clasa de expuneri </w:t>
      </w:r>
      <w:r w:rsidR="00A74F15">
        <w:rPr>
          <w:rFonts w:ascii="Times New Roman" w:hAnsi="Times New Roman" w:cs="Times New Roman"/>
          <w:sz w:val="24"/>
          <w:szCs w:val="24"/>
        </w:rPr>
        <w:t>„</w:t>
      </w:r>
      <w:r w:rsidR="006126C1" w:rsidRPr="002E4BA9">
        <w:rPr>
          <w:rFonts w:ascii="Times New Roman" w:hAnsi="Times New Roman" w:cs="Times New Roman"/>
          <w:sz w:val="24"/>
          <w:szCs w:val="24"/>
        </w:rPr>
        <w:t>Societăți</w:t>
      </w:r>
      <w:r w:rsidR="002751B6">
        <w:rPr>
          <w:rFonts w:ascii="Times New Roman" w:hAnsi="Times New Roman" w:cs="Times New Roman"/>
          <w:sz w:val="24"/>
          <w:szCs w:val="24"/>
        </w:rPr>
        <w:t>”</w:t>
      </w:r>
    </w:p>
    <w:p w14:paraId="0D767331" w14:textId="5E5F5CD8" w:rsidR="00A74F15" w:rsidRDefault="006126C1">
      <w:pPr>
        <w:rPr>
          <w:rFonts w:ascii="Times New Roman" w:hAnsi="Times New Roman" w:cs="Times New Roman"/>
          <w:sz w:val="24"/>
          <w:szCs w:val="24"/>
        </w:rPr>
      </w:pPr>
      <w:r w:rsidRPr="002E4BA9">
        <w:rPr>
          <w:rFonts w:ascii="Times New Roman" w:hAnsi="Times New Roman" w:cs="Times New Roman"/>
          <w:sz w:val="24"/>
          <w:szCs w:val="24"/>
        </w:rPr>
        <w:t xml:space="preserve">În scopuri de raportare, această clasă de expuneri a fost defalcată în două clase de subexpuneri </w:t>
      </w:r>
      <w:r w:rsidR="002751B6">
        <w:rPr>
          <w:rFonts w:ascii="Times New Roman" w:hAnsi="Times New Roman" w:cs="Times New Roman"/>
          <w:sz w:val="24"/>
          <w:szCs w:val="24"/>
        </w:rPr>
        <w:t>(</w:t>
      </w:r>
      <w:r w:rsidRPr="002E4BA9">
        <w:rPr>
          <w:rFonts w:ascii="Times New Roman" w:hAnsi="Times New Roman" w:cs="Times New Roman"/>
          <w:sz w:val="24"/>
          <w:szCs w:val="24"/>
        </w:rPr>
        <w:t xml:space="preserve">Societăți – Altele și </w:t>
      </w:r>
      <w:r w:rsidR="00C152B3">
        <w:rPr>
          <w:rFonts w:ascii="Times New Roman" w:hAnsi="Times New Roman" w:cs="Times New Roman"/>
          <w:sz w:val="24"/>
          <w:szCs w:val="24"/>
        </w:rPr>
        <w:t>S</w:t>
      </w:r>
      <w:r w:rsidRPr="002E4BA9">
        <w:rPr>
          <w:rFonts w:ascii="Times New Roman" w:hAnsi="Times New Roman" w:cs="Times New Roman"/>
          <w:sz w:val="24"/>
          <w:szCs w:val="24"/>
        </w:rPr>
        <w:t xml:space="preserve">ocietăți – Finanțări specializate, astfel cum sunt definite la </w:t>
      </w:r>
      <w:r w:rsidR="002751B6">
        <w:rPr>
          <w:rFonts w:ascii="Times New Roman" w:hAnsi="Times New Roman" w:cs="Times New Roman"/>
          <w:sz w:val="24"/>
          <w:szCs w:val="24"/>
        </w:rPr>
        <w:t>punctele 60</w:t>
      </w:r>
      <w:r w:rsidR="002751B6" w:rsidRPr="002E4BA9">
        <w:rPr>
          <w:rFonts w:ascii="Times New Roman" w:hAnsi="Times New Roman" w:cs="Times New Roman"/>
          <w:sz w:val="24"/>
          <w:szCs w:val="24"/>
          <w:vertAlign w:val="superscript"/>
        </w:rPr>
        <w:t>1</w:t>
      </w:r>
      <w:r w:rsidR="002751B6">
        <w:rPr>
          <w:rFonts w:ascii="Times New Roman" w:hAnsi="Times New Roman" w:cs="Times New Roman"/>
          <w:sz w:val="24"/>
          <w:szCs w:val="24"/>
        </w:rPr>
        <w:t>-60</w:t>
      </w:r>
      <w:r w:rsidR="002751B6">
        <w:rPr>
          <w:rFonts w:ascii="Times New Roman" w:hAnsi="Times New Roman" w:cs="Times New Roman"/>
          <w:sz w:val="24"/>
          <w:szCs w:val="24"/>
          <w:vertAlign w:val="superscript"/>
        </w:rPr>
        <w:t>8</w:t>
      </w:r>
      <w:r w:rsidR="002751B6">
        <w:rPr>
          <w:rFonts w:ascii="Times New Roman" w:hAnsi="Times New Roman" w:cs="Times New Roman"/>
          <w:sz w:val="24"/>
          <w:szCs w:val="24"/>
        </w:rPr>
        <w:t xml:space="preserve"> din Regulamentul nr. 111/2018)</w:t>
      </w:r>
      <w:r w:rsidRPr="002E4BA9">
        <w:rPr>
          <w:rFonts w:ascii="Times New Roman" w:hAnsi="Times New Roman" w:cs="Times New Roman"/>
          <w:sz w:val="24"/>
          <w:szCs w:val="24"/>
        </w:rPr>
        <w:t xml:space="preserve">. </w:t>
      </w:r>
    </w:p>
    <w:p w14:paraId="165DD629" w14:textId="17557762" w:rsidR="006126C1" w:rsidRPr="00AD4440" w:rsidRDefault="00A62C49" w:rsidP="002E4BA9">
      <w:pPr>
        <w:rPr>
          <w:rFonts w:eastAsia="Arial"/>
        </w:rPr>
      </w:pPr>
      <w:r>
        <w:rPr>
          <w:rFonts w:ascii="Times New Roman" w:hAnsi="Times New Roman" w:cs="Times New Roman"/>
          <w:sz w:val="24"/>
          <w:szCs w:val="24"/>
        </w:rPr>
        <w:t>28.</w:t>
      </w:r>
      <w:r w:rsidR="006126C1" w:rsidRPr="002E4BA9">
        <w:rPr>
          <w:rFonts w:ascii="Times New Roman" w:hAnsi="Times New Roman" w:cs="Times New Roman"/>
          <w:sz w:val="24"/>
          <w:szCs w:val="24"/>
        </w:rPr>
        <w:t xml:space="preserve"> Clasa </w:t>
      </w:r>
      <w:r w:rsidR="00690454">
        <w:rPr>
          <w:rFonts w:ascii="Times New Roman" w:hAnsi="Times New Roman" w:cs="Times New Roman"/>
          <w:sz w:val="24"/>
          <w:szCs w:val="24"/>
        </w:rPr>
        <w:t>„</w:t>
      </w:r>
      <w:r w:rsidR="006126C1" w:rsidRPr="002E4BA9">
        <w:rPr>
          <w:rFonts w:ascii="Times New Roman" w:hAnsi="Times New Roman" w:cs="Times New Roman"/>
          <w:sz w:val="24"/>
          <w:szCs w:val="24"/>
        </w:rPr>
        <w:t>Expuneri provenind din titluri de capital</w:t>
      </w:r>
      <w:r w:rsidR="00690454">
        <w:rPr>
          <w:rFonts w:ascii="Times New Roman" w:hAnsi="Times New Roman" w:cs="Times New Roman"/>
          <w:sz w:val="24"/>
          <w:szCs w:val="24"/>
        </w:rPr>
        <w:t>”</w:t>
      </w:r>
    </w:p>
    <w:p w14:paraId="28ED9BEB" w14:textId="26AB54D6" w:rsidR="006126C1" w:rsidRPr="00AD4440" w:rsidRDefault="006126C1" w:rsidP="002E4BA9">
      <w:r w:rsidRPr="002E4BA9">
        <w:rPr>
          <w:rFonts w:ascii="Times New Roman" w:hAnsi="Times New Roman" w:cs="Times New Roman"/>
          <w:sz w:val="24"/>
          <w:szCs w:val="24"/>
        </w:rPr>
        <w:t xml:space="preserve">În scopuri de raportare, această clasă de expuneri include expuneri astfel cum sunt cele definite la </w:t>
      </w:r>
      <w:r w:rsidR="002751B6">
        <w:rPr>
          <w:rFonts w:ascii="Times New Roman" w:hAnsi="Times New Roman" w:cs="Times New Roman"/>
          <w:sz w:val="24"/>
          <w:szCs w:val="24"/>
        </w:rPr>
        <w:t>punctele 84-86</w:t>
      </w:r>
      <w:r w:rsidR="002751B6">
        <w:rPr>
          <w:rFonts w:ascii="Times New Roman" w:hAnsi="Times New Roman" w:cs="Times New Roman"/>
          <w:sz w:val="24"/>
          <w:szCs w:val="24"/>
          <w:vertAlign w:val="superscript"/>
        </w:rPr>
        <w:t>6</w:t>
      </w:r>
      <w:r w:rsidR="002751B6">
        <w:rPr>
          <w:rFonts w:ascii="Times New Roman" w:hAnsi="Times New Roman" w:cs="Times New Roman"/>
          <w:sz w:val="24"/>
          <w:szCs w:val="24"/>
        </w:rPr>
        <w:t xml:space="preserve"> din Regulamentul nr. 111/2018</w:t>
      </w:r>
      <w:r w:rsidRPr="002E4BA9">
        <w:rPr>
          <w:rFonts w:ascii="Times New Roman" w:hAnsi="Times New Roman" w:cs="Times New Roman"/>
          <w:sz w:val="24"/>
          <w:szCs w:val="24"/>
        </w:rPr>
        <w:t xml:space="preserve">. Rândul 0280 </w:t>
      </w:r>
      <w:r w:rsidR="00690454">
        <w:rPr>
          <w:rFonts w:ascii="Times New Roman" w:hAnsi="Times New Roman" w:cs="Times New Roman"/>
          <w:sz w:val="24"/>
          <w:szCs w:val="24"/>
          <w:lang w:val="ro-RO"/>
        </w:rPr>
        <w:t>„</w:t>
      </w:r>
      <w:r w:rsidRPr="002E4BA9">
        <w:rPr>
          <w:rFonts w:ascii="Times New Roman" w:hAnsi="Times New Roman" w:cs="Times New Roman"/>
          <w:sz w:val="24"/>
          <w:szCs w:val="24"/>
        </w:rPr>
        <w:t>Alte ponderi de risc</w:t>
      </w:r>
      <w:r w:rsidR="00690454">
        <w:rPr>
          <w:rFonts w:ascii="Times New Roman" w:hAnsi="Times New Roman" w:cs="Times New Roman"/>
          <w:sz w:val="24"/>
          <w:szCs w:val="24"/>
        </w:rPr>
        <w:t>”</w:t>
      </w:r>
      <w:r w:rsidRPr="002E4BA9">
        <w:rPr>
          <w:rFonts w:ascii="Times New Roman" w:hAnsi="Times New Roman" w:cs="Times New Roman"/>
          <w:sz w:val="24"/>
          <w:szCs w:val="24"/>
        </w:rPr>
        <w:t xml:space="preserve"> se utilizează pentru a raporta expunerile care nu fac obiectul ponderilor de risc enumerate în formular.</w:t>
      </w:r>
    </w:p>
    <w:p w14:paraId="40AE3CDD" w14:textId="77777777" w:rsidR="00F613B8" w:rsidRDefault="00F613B8" w:rsidP="00052914">
      <w:pPr>
        <w:jc w:val="center"/>
        <w:rPr>
          <w:rFonts w:ascii="Times New Roman" w:hAnsi="Times New Roman" w:cs="Times New Roman"/>
          <w:b/>
          <w:bCs/>
        </w:rPr>
      </w:pPr>
    </w:p>
    <w:p w14:paraId="0B1309FA" w14:textId="314BB6BD" w:rsidR="00052914" w:rsidRPr="002B024E" w:rsidRDefault="00052914" w:rsidP="00052914">
      <w:pPr>
        <w:jc w:val="center"/>
        <w:rPr>
          <w:rFonts w:ascii="Times New Roman" w:hAnsi="Times New Roman" w:cs="Times New Roman"/>
          <w:b/>
          <w:bCs/>
        </w:rPr>
      </w:pPr>
      <w:r w:rsidRPr="002B024E">
        <w:rPr>
          <w:rFonts w:ascii="Times New Roman" w:hAnsi="Times New Roman" w:cs="Times New Roman"/>
          <w:b/>
          <w:bCs/>
        </w:rPr>
        <w:t>Form</w:t>
      </w:r>
      <w:r w:rsidR="008619D0">
        <w:rPr>
          <w:rFonts w:ascii="Times New Roman" w:hAnsi="Times New Roman" w:cs="Times New Roman"/>
          <w:b/>
          <w:bCs/>
        </w:rPr>
        <w:t>ularul</w:t>
      </w:r>
      <w:r w:rsidRPr="002B024E">
        <w:rPr>
          <w:rFonts w:ascii="Times New Roman" w:hAnsi="Times New Roman" w:cs="Times New Roman"/>
          <w:b/>
          <w:bCs/>
        </w:rPr>
        <w:t xml:space="preserve"> raportului C 0</w:t>
      </w:r>
      <w:r>
        <w:rPr>
          <w:rFonts w:ascii="Times New Roman" w:hAnsi="Times New Roman" w:cs="Times New Roman"/>
          <w:b/>
          <w:bCs/>
        </w:rPr>
        <w:t>7</w:t>
      </w:r>
      <w:r w:rsidRPr="002B024E">
        <w:rPr>
          <w:rFonts w:ascii="Times New Roman" w:hAnsi="Times New Roman" w:cs="Times New Roman"/>
          <w:b/>
          <w:bCs/>
        </w:rPr>
        <w:t>.00</w:t>
      </w:r>
    </w:p>
    <w:p w14:paraId="74726AF3" w14:textId="77777777" w:rsidR="00052914" w:rsidRPr="002B024E" w:rsidRDefault="00052914" w:rsidP="00052914">
      <w:pPr>
        <w:spacing w:after="0"/>
        <w:rPr>
          <w:rFonts w:ascii="Times New Roman" w:hAnsi="Times New Roman" w:cs="Times New Roman"/>
          <w:b/>
          <w:bCs/>
        </w:rPr>
      </w:pPr>
    </w:p>
    <w:p w14:paraId="647DCFC8" w14:textId="77777777" w:rsidR="00052914" w:rsidRPr="002B024E" w:rsidRDefault="00052914" w:rsidP="00052914">
      <w:pPr>
        <w:spacing w:after="0"/>
        <w:rPr>
          <w:rFonts w:ascii="Times New Roman" w:hAnsi="Times New Roman" w:cs="Times New Roman"/>
          <w:b/>
          <w:bCs/>
        </w:rPr>
      </w:pPr>
      <w:r w:rsidRPr="002B024E">
        <w:rPr>
          <w:rFonts w:ascii="Times New Roman" w:hAnsi="Times New Roman" w:cs="Times New Roman"/>
          <w:b/>
          <w:bCs/>
        </w:rPr>
        <w:t>Codul băncii ____________________</w:t>
      </w:r>
    </w:p>
    <w:p w14:paraId="49990DE3" w14:textId="098B7937" w:rsidR="00052914" w:rsidRPr="002B024E" w:rsidRDefault="00052914" w:rsidP="00052914">
      <w:pPr>
        <w:spacing w:after="0"/>
        <w:rPr>
          <w:rFonts w:ascii="Times New Roman" w:hAnsi="Times New Roman" w:cs="Times New Roman"/>
          <w:b/>
          <w:bCs/>
        </w:rPr>
      </w:pPr>
      <w:r w:rsidRPr="002B024E">
        <w:rPr>
          <w:rFonts w:ascii="Times New Roman" w:hAnsi="Times New Roman" w:cs="Times New Roman"/>
          <w:b/>
          <w:bCs/>
        </w:rPr>
        <w:lastRenderedPageBreak/>
        <w:t>Perioada de raportare_____________                                                Formular C</w:t>
      </w:r>
      <w:r>
        <w:rPr>
          <w:rFonts w:ascii="Times New Roman" w:hAnsi="Times New Roman" w:cs="Times New Roman"/>
          <w:b/>
          <w:bCs/>
        </w:rPr>
        <w:t xml:space="preserve"> </w:t>
      </w:r>
      <w:r w:rsidRPr="002B024E">
        <w:rPr>
          <w:rFonts w:ascii="Times New Roman" w:hAnsi="Times New Roman" w:cs="Times New Roman"/>
          <w:b/>
          <w:bCs/>
        </w:rPr>
        <w:t>0</w:t>
      </w:r>
      <w:r>
        <w:rPr>
          <w:rFonts w:ascii="Times New Roman" w:hAnsi="Times New Roman" w:cs="Times New Roman"/>
          <w:b/>
          <w:bCs/>
        </w:rPr>
        <w:t>7</w:t>
      </w:r>
      <w:r w:rsidRPr="002B024E">
        <w:rPr>
          <w:rFonts w:ascii="Times New Roman" w:hAnsi="Times New Roman" w:cs="Times New Roman"/>
          <w:b/>
          <w:bCs/>
        </w:rPr>
        <w:t>.00</w:t>
      </w:r>
    </w:p>
    <w:p w14:paraId="4A1AF83D" w14:textId="77777777" w:rsidR="006126C1" w:rsidRPr="00052914" w:rsidRDefault="006126C1" w:rsidP="006126C1">
      <w:pPr>
        <w:pStyle w:val="ListParagraph"/>
        <w:tabs>
          <w:tab w:val="left" w:pos="720"/>
        </w:tabs>
        <w:spacing w:after="0"/>
        <w:ind w:left="360"/>
        <w:rPr>
          <w:rFonts w:ascii="Times New Roman" w:eastAsia="Calibri" w:hAnsi="Times New Roman" w:cs="Times New Roman"/>
          <w:sz w:val="24"/>
          <w:szCs w:val="24"/>
          <w:lang w:eastAsia="ru-RU"/>
        </w:rPr>
      </w:pPr>
    </w:p>
    <w:p w14:paraId="5B97D451" w14:textId="77777777" w:rsidR="00F178BD" w:rsidRPr="002E4BA9" w:rsidRDefault="00F178BD" w:rsidP="002E4BA9">
      <w:pPr>
        <w:spacing w:after="0"/>
        <w:jc w:val="center"/>
        <w:rPr>
          <w:rFonts w:ascii="Times New Roman" w:hAnsi="Times New Roman" w:cs="Times New Roman"/>
          <w:b/>
          <w:bCs/>
          <w:sz w:val="24"/>
          <w:szCs w:val="24"/>
          <w:lang w:eastAsia="ro-MD"/>
        </w:rPr>
      </w:pPr>
      <w:r w:rsidRPr="002E4BA9">
        <w:rPr>
          <w:rFonts w:ascii="Times New Roman" w:hAnsi="Times New Roman" w:cs="Times New Roman"/>
          <w:b/>
          <w:bCs/>
          <w:sz w:val="24"/>
          <w:szCs w:val="24"/>
          <w:lang w:eastAsia="ro-MD"/>
        </w:rPr>
        <w:t>C 07.00 - RISCUL DE CREDIT, RISCUL DE CREDIT AL CONTRAPĂRȚII</w:t>
      </w:r>
    </w:p>
    <w:p w14:paraId="6AB90EC0" w14:textId="77777777" w:rsidR="00F178BD" w:rsidRPr="002E4BA9" w:rsidRDefault="00F178BD" w:rsidP="002E4BA9">
      <w:pPr>
        <w:spacing w:after="0"/>
        <w:jc w:val="center"/>
        <w:rPr>
          <w:rFonts w:ascii="Times New Roman" w:hAnsi="Times New Roman" w:cs="Times New Roman"/>
          <w:b/>
          <w:bCs/>
          <w:sz w:val="24"/>
          <w:szCs w:val="24"/>
          <w:lang w:eastAsia="ro-MD"/>
        </w:rPr>
      </w:pPr>
      <w:r w:rsidRPr="002E4BA9">
        <w:rPr>
          <w:rFonts w:ascii="Times New Roman" w:hAnsi="Times New Roman" w:cs="Times New Roman"/>
          <w:b/>
          <w:bCs/>
          <w:sz w:val="24"/>
          <w:szCs w:val="24"/>
          <w:lang w:eastAsia="ro-MD"/>
        </w:rPr>
        <w:t>ŞI TRANZACŢIILE INCOMPLETE: ABORDAREA STANDARDIZATĂ</w:t>
      </w:r>
    </w:p>
    <w:p w14:paraId="5877C818" w14:textId="77777777" w:rsidR="00F178BD" w:rsidRDefault="00F178BD" w:rsidP="002E4BA9">
      <w:pPr>
        <w:spacing w:after="0"/>
        <w:jc w:val="center"/>
        <w:rPr>
          <w:rFonts w:ascii="Times New Roman" w:hAnsi="Times New Roman" w:cs="Times New Roman"/>
          <w:b/>
          <w:bCs/>
          <w:sz w:val="24"/>
          <w:szCs w:val="24"/>
          <w:lang w:eastAsia="ro-MD"/>
        </w:rPr>
      </w:pPr>
      <w:r w:rsidRPr="002E4BA9">
        <w:rPr>
          <w:rFonts w:ascii="Times New Roman" w:hAnsi="Times New Roman" w:cs="Times New Roman"/>
          <w:b/>
          <w:bCs/>
          <w:sz w:val="24"/>
          <w:szCs w:val="24"/>
          <w:lang w:eastAsia="ro-MD"/>
        </w:rPr>
        <w:t>PRIVIND CERINŢELE DE CAPITAL (CR SA)</w:t>
      </w:r>
    </w:p>
    <w:p w14:paraId="136D5EAE" w14:textId="77777777" w:rsidR="003D1D59" w:rsidRDefault="003D1D59" w:rsidP="002E4BA9">
      <w:pPr>
        <w:spacing w:after="0"/>
        <w:jc w:val="center"/>
        <w:rPr>
          <w:rFonts w:ascii="Times New Roman" w:hAnsi="Times New Roman" w:cs="Times New Roman"/>
          <w:b/>
          <w:bCs/>
          <w:sz w:val="24"/>
          <w:szCs w:val="24"/>
          <w:lang w:eastAsia="ro-MD"/>
        </w:rPr>
      </w:pPr>
    </w:p>
    <w:tbl>
      <w:tblPr>
        <w:tblStyle w:val="TableGrid"/>
        <w:tblpPr w:leftFromText="180" w:rightFromText="180" w:vertAnchor="text" w:horzAnchor="page" w:tblpX="5548" w:tblpY="33"/>
        <w:tblW w:w="0" w:type="auto"/>
        <w:tblLook w:val="04A0" w:firstRow="1" w:lastRow="0" w:firstColumn="1" w:lastColumn="0" w:noHBand="0" w:noVBand="1"/>
      </w:tblPr>
      <w:tblGrid>
        <w:gridCol w:w="1835"/>
      </w:tblGrid>
      <w:tr w:rsidR="00CB257B" w14:paraId="64A12BDB" w14:textId="77777777" w:rsidTr="00CB257B">
        <w:tc>
          <w:tcPr>
            <w:tcW w:w="1835" w:type="dxa"/>
          </w:tcPr>
          <w:p w14:paraId="33BC94B1" w14:textId="77777777" w:rsidR="00CB257B" w:rsidRDefault="00CB257B" w:rsidP="00CB257B">
            <w:pPr>
              <w:jc w:val="center"/>
              <w:rPr>
                <w:rFonts w:ascii="Times New Roman" w:hAnsi="Times New Roman" w:cs="Times New Roman"/>
                <w:b/>
                <w:bCs/>
                <w:sz w:val="24"/>
                <w:szCs w:val="24"/>
                <w:lang w:eastAsia="ro-MD"/>
              </w:rPr>
            </w:pPr>
          </w:p>
        </w:tc>
      </w:tr>
    </w:tbl>
    <w:p w14:paraId="55843375" w14:textId="3EB1DB63" w:rsidR="003D1D59" w:rsidRDefault="003D1D59" w:rsidP="00CB257B">
      <w:pPr>
        <w:spacing w:after="0"/>
        <w:jc w:val="center"/>
        <w:rPr>
          <w:rFonts w:ascii="Times New Roman" w:hAnsi="Times New Roman" w:cs="Times New Roman"/>
          <w:b/>
          <w:bCs/>
          <w:sz w:val="24"/>
          <w:szCs w:val="24"/>
          <w:lang w:eastAsia="ro-MD"/>
        </w:rPr>
      </w:pPr>
      <w:r>
        <w:rPr>
          <w:rFonts w:ascii="Times New Roman" w:hAnsi="Times New Roman" w:cs="Times New Roman"/>
          <w:b/>
          <w:bCs/>
          <w:sz w:val="24"/>
          <w:szCs w:val="24"/>
          <w:lang w:eastAsia="ro-MD"/>
        </w:rPr>
        <w:t>Clasele de expuneri SA</w:t>
      </w:r>
    </w:p>
    <w:p w14:paraId="71B68AB8" w14:textId="77777777" w:rsidR="00CB257B" w:rsidRDefault="00CB257B" w:rsidP="003D1D59">
      <w:pPr>
        <w:spacing w:after="0"/>
        <w:jc w:val="center"/>
      </w:pPr>
    </w:p>
    <w:tbl>
      <w:tblPr>
        <w:tblpPr w:leftFromText="181" w:rightFromText="181" w:vertAnchor="text" w:tblpX="1" w:tblpY="1"/>
        <w:tblW w:w="5009" w:type="pct"/>
        <w:tblLayout w:type="fixed"/>
        <w:tblCellMar>
          <w:top w:w="15" w:type="dxa"/>
          <w:left w:w="15" w:type="dxa"/>
          <w:bottom w:w="15" w:type="dxa"/>
          <w:right w:w="15" w:type="dxa"/>
        </w:tblCellMar>
        <w:tblLook w:val="04A0" w:firstRow="1" w:lastRow="0" w:firstColumn="1" w:lastColumn="0" w:noHBand="0" w:noVBand="1"/>
      </w:tblPr>
      <w:tblGrid>
        <w:gridCol w:w="770"/>
        <w:gridCol w:w="2393"/>
        <w:gridCol w:w="1008"/>
        <w:gridCol w:w="881"/>
        <w:gridCol w:w="881"/>
        <w:gridCol w:w="885"/>
        <w:gridCol w:w="969"/>
        <w:gridCol w:w="921"/>
        <w:gridCol w:w="788"/>
      </w:tblGrid>
      <w:tr w:rsidR="004E442A" w:rsidRPr="008844AC" w14:paraId="07D1356B" w14:textId="77777777" w:rsidTr="00D017A7">
        <w:tc>
          <w:tcPr>
            <w:tcW w:w="405"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33B296" w14:textId="77777777" w:rsidR="00C51F22" w:rsidRPr="008844AC" w:rsidRDefault="00C51F22"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 xml:space="preserve">Cod </w:t>
            </w:r>
            <w:proofErr w:type="spellStart"/>
            <w:r w:rsidRPr="008844AC">
              <w:rPr>
                <w:rFonts w:ascii="Times New Roman" w:eastAsia="Times New Roman" w:hAnsi="Times New Roman" w:cs="Times New Roman"/>
                <w:b/>
                <w:bCs/>
                <w:kern w:val="0"/>
                <w:lang w:eastAsia="ro-MD"/>
                <w14:ligatures w14:val="none"/>
              </w:rPr>
              <w:t>poziţie</w:t>
            </w:r>
            <w:proofErr w:type="spellEnd"/>
          </w:p>
        </w:tc>
        <w:tc>
          <w:tcPr>
            <w:tcW w:w="1260"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56FCB9" w14:textId="77777777" w:rsidR="00C51F22" w:rsidRPr="008844AC" w:rsidRDefault="00C51F22" w:rsidP="00D017A7">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Clasele de expuneri din SA</w:t>
            </w:r>
          </w:p>
        </w:tc>
        <w:tc>
          <w:tcPr>
            <w:tcW w:w="531"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2A074B" w14:textId="77777777" w:rsidR="00C51F22" w:rsidRPr="008844AC" w:rsidRDefault="00C51F22" w:rsidP="00D017A7">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 xml:space="preserve">Expunerea </w:t>
            </w:r>
            <w:proofErr w:type="spellStart"/>
            <w:r w:rsidRPr="008844AC">
              <w:rPr>
                <w:rFonts w:ascii="Times New Roman" w:eastAsia="Times New Roman" w:hAnsi="Times New Roman" w:cs="Times New Roman"/>
                <w:b/>
                <w:bCs/>
                <w:kern w:val="0"/>
                <w:lang w:eastAsia="ro-MD"/>
                <w14:ligatures w14:val="none"/>
              </w:rPr>
              <w:t>iniţială</w:t>
            </w:r>
            <w:proofErr w:type="spellEnd"/>
            <w:r w:rsidRPr="008844AC">
              <w:rPr>
                <w:rFonts w:ascii="Times New Roman" w:eastAsia="Times New Roman" w:hAnsi="Times New Roman" w:cs="Times New Roman"/>
                <w:b/>
                <w:bCs/>
                <w:kern w:val="0"/>
                <w:lang w:eastAsia="ro-MD"/>
                <w14:ligatures w14:val="none"/>
              </w:rPr>
              <w:t xml:space="preserve"> înainte de aplicarea factorilor de conversie</w:t>
            </w:r>
          </w:p>
        </w:tc>
        <w:tc>
          <w:tcPr>
            <w:tcW w:w="464"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66AA07" w14:textId="77777777" w:rsidR="00C51F22" w:rsidRPr="008844AC" w:rsidRDefault="00C51F22" w:rsidP="00D017A7">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 xml:space="preserve">(–) Ajustările de valoare </w:t>
            </w:r>
            <w:proofErr w:type="spellStart"/>
            <w:r w:rsidRPr="008844AC">
              <w:rPr>
                <w:rFonts w:ascii="Times New Roman" w:eastAsia="Times New Roman" w:hAnsi="Times New Roman" w:cs="Times New Roman"/>
                <w:b/>
                <w:bCs/>
                <w:kern w:val="0"/>
                <w:lang w:eastAsia="ro-MD"/>
                <w14:ligatures w14:val="none"/>
              </w:rPr>
              <w:t>şi</w:t>
            </w:r>
            <w:proofErr w:type="spellEnd"/>
            <w:r w:rsidRPr="008844AC">
              <w:rPr>
                <w:rFonts w:ascii="Times New Roman" w:eastAsia="Times New Roman" w:hAnsi="Times New Roman" w:cs="Times New Roman"/>
                <w:b/>
                <w:bCs/>
                <w:kern w:val="0"/>
                <w:lang w:eastAsia="ro-MD"/>
                <w14:ligatures w14:val="none"/>
              </w:rPr>
              <w:t xml:space="preserve"> provizioanele asociate expunerii </w:t>
            </w:r>
            <w:proofErr w:type="spellStart"/>
            <w:r w:rsidRPr="008844AC">
              <w:rPr>
                <w:rFonts w:ascii="Times New Roman" w:eastAsia="Times New Roman" w:hAnsi="Times New Roman" w:cs="Times New Roman"/>
                <w:b/>
                <w:bCs/>
                <w:kern w:val="0"/>
                <w:lang w:eastAsia="ro-MD"/>
                <w14:ligatures w14:val="none"/>
              </w:rPr>
              <w:t>iniţiale</w:t>
            </w:r>
            <w:proofErr w:type="spellEnd"/>
          </w:p>
        </w:tc>
        <w:tc>
          <w:tcPr>
            <w:tcW w:w="464"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95AA07" w14:textId="77777777" w:rsidR="00C51F22" w:rsidRPr="008844AC" w:rsidRDefault="00C51F22" w:rsidP="00D017A7">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 xml:space="preserve">Expunerea fără ajustările de valoare </w:t>
            </w:r>
            <w:proofErr w:type="spellStart"/>
            <w:r w:rsidRPr="008844AC">
              <w:rPr>
                <w:rFonts w:ascii="Times New Roman" w:eastAsia="Times New Roman" w:hAnsi="Times New Roman" w:cs="Times New Roman"/>
                <w:b/>
                <w:bCs/>
                <w:kern w:val="0"/>
                <w:lang w:eastAsia="ro-MD"/>
                <w14:ligatures w14:val="none"/>
              </w:rPr>
              <w:t>şi</w:t>
            </w:r>
            <w:proofErr w:type="spellEnd"/>
            <w:r w:rsidRPr="008844AC">
              <w:rPr>
                <w:rFonts w:ascii="Times New Roman" w:eastAsia="Times New Roman" w:hAnsi="Times New Roman" w:cs="Times New Roman"/>
                <w:b/>
                <w:bCs/>
                <w:kern w:val="0"/>
                <w:lang w:eastAsia="ro-MD"/>
                <w14:ligatures w14:val="none"/>
              </w:rPr>
              <w:t xml:space="preserve"> fără provizioane</w:t>
            </w:r>
          </w:p>
        </w:tc>
        <w:tc>
          <w:tcPr>
            <w:tcW w:w="1876" w:type="pct"/>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A8C66F" w14:textId="77777777" w:rsidR="00C51F22" w:rsidRPr="008844AC" w:rsidRDefault="00C51F22" w:rsidP="00D017A7">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 xml:space="preserve">Tehnicile de diminuare a riscului de credit cu efect de </w:t>
            </w:r>
            <w:proofErr w:type="spellStart"/>
            <w:r w:rsidRPr="008844AC">
              <w:rPr>
                <w:rFonts w:ascii="Times New Roman" w:eastAsia="Times New Roman" w:hAnsi="Times New Roman" w:cs="Times New Roman"/>
                <w:b/>
                <w:bCs/>
                <w:kern w:val="0"/>
                <w:lang w:eastAsia="ro-MD"/>
                <w14:ligatures w14:val="none"/>
              </w:rPr>
              <w:t>substituţie</w:t>
            </w:r>
            <w:proofErr w:type="spellEnd"/>
            <w:r w:rsidRPr="008844AC">
              <w:rPr>
                <w:rFonts w:ascii="Times New Roman" w:eastAsia="Times New Roman" w:hAnsi="Times New Roman" w:cs="Times New Roman"/>
                <w:b/>
                <w:bCs/>
                <w:kern w:val="0"/>
                <w:lang w:eastAsia="ro-MD"/>
                <w14:ligatures w14:val="none"/>
              </w:rPr>
              <w:t xml:space="preserve"> asupra expunerii</w:t>
            </w:r>
          </w:p>
        </w:tc>
      </w:tr>
      <w:tr w:rsidR="00BB3167" w:rsidRPr="008844AC" w14:paraId="51DA4A13" w14:textId="77777777" w:rsidTr="00D017A7">
        <w:tc>
          <w:tcPr>
            <w:tcW w:w="405" w:type="pct"/>
            <w:vMerge/>
            <w:tcBorders>
              <w:top w:val="single" w:sz="6" w:space="0" w:color="000000"/>
              <w:left w:val="single" w:sz="6" w:space="0" w:color="000000"/>
              <w:bottom w:val="single" w:sz="6" w:space="0" w:color="000000"/>
              <w:right w:val="single" w:sz="6" w:space="0" w:color="000000"/>
            </w:tcBorders>
            <w:vAlign w:val="center"/>
            <w:hideMark/>
          </w:tcPr>
          <w:p w14:paraId="7FFAF9F9" w14:textId="77777777" w:rsidR="00C51F22" w:rsidRPr="008844AC" w:rsidRDefault="00C51F22" w:rsidP="00D017A7">
            <w:pPr>
              <w:spacing w:after="0" w:line="240" w:lineRule="auto"/>
              <w:rPr>
                <w:rFonts w:ascii="Times New Roman" w:eastAsia="Times New Roman" w:hAnsi="Times New Roman" w:cs="Times New Roman"/>
                <w:kern w:val="0"/>
                <w:lang w:eastAsia="ro-MD"/>
                <w14:ligatures w14:val="none"/>
              </w:rPr>
            </w:pPr>
          </w:p>
        </w:tc>
        <w:tc>
          <w:tcPr>
            <w:tcW w:w="1260" w:type="pct"/>
            <w:vMerge/>
            <w:tcBorders>
              <w:top w:val="single" w:sz="6" w:space="0" w:color="000000"/>
              <w:left w:val="single" w:sz="6" w:space="0" w:color="000000"/>
              <w:bottom w:val="single" w:sz="6" w:space="0" w:color="000000"/>
              <w:right w:val="single" w:sz="6" w:space="0" w:color="000000"/>
            </w:tcBorders>
            <w:vAlign w:val="center"/>
            <w:hideMark/>
          </w:tcPr>
          <w:p w14:paraId="5A54B6D2" w14:textId="77777777" w:rsidR="00C51F22" w:rsidRPr="008844AC" w:rsidRDefault="00C51F22" w:rsidP="00D017A7">
            <w:pPr>
              <w:spacing w:after="0" w:line="240" w:lineRule="auto"/>
              <w:rPr>
                <w:rFonts w:ascii="Times New Roman" w:eastAsia="Times New Roman" w:hAnsi="Times New Roman" w:cs="Times New Roman"/>
                <w:b/>
                <w:bCs/>
                <w:kern w:val="0"/>
                <w:lang w:eastAsia="ro-MD"/>
                <w14:ligatures w14:val="none"/>
              </w:rPr>
            </w:pPr>
          </w:p>
        </w:tc>
        <w:tc>
          <w:tcPr>
            <w:tcW w:w="531" w:type="pct"/>
            <w:vMerge/>
            <w:tcBorders>
              <w:top w:val="single" w:sz="6" w:space="0" w:color="000000"/>
              <w:left w:val="single" w:sz="6" w:space="0" w:color="000000"/>
              <w:bottom w:val="single" w:sz="6" w:space="0" w:color="000000"/>
              <w:right w:val="single" w:sz="6" w:space="0" w:color="000000"/>
            </w:tcBorders>
            <w:vAlign w:val="center"/>
            <w:hideMark/>
          </w:tcPr>
          <w:p w14:paraId="7EF68FBF" w14:textId="77777777" w:rsidR="00C51F22" w:rsidRPr="008844AC" w:rsidRDefault="00C51F22" w:rsidP="00D017A7">
            <w:pPr>
              <w:spacing w:after="0" w:line="240" w:lineRule="auto"/>
              <w:rPr>
                <w:rFonts w:ascii="Times New Roman" w:eastAsia="Times New Roman" w:hAnsi="Times New Roman" w:cs="Times New Roman"/>
                <w:b/>
                <w:bCs/>
                <w:kern w:val="0"/>
                <w:lang w:eastAsia="ro-MD"/>
                <w14:ligatures w14:val="none"/>
              </w:rPr>
            </w:pP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14:paraId="53F57D15" w14:textId="77777777" w:rsidR="00C51F22" w:rsidRPr="008844AC" w:rsidRDefault="00C51F22" w:rsidP="00D017A7">
            <w:pPr>
              <w:spacing w:after="0" w:line="240" w:lineRule="auto"/>
              <w:rPr>
                <w:rFonts w:ascii="Times New Roman" w:eastAsia="Times New Roman" w:hAnsi="Times New Roman" w:cs="Times New Roman"/>
                <w:b/>
                <w:bCs/>
                <w:kern w:val="0"/>
                <w:lang w:eastAsia="ro-MD"/>
                <w14:ligatures w14:val="none"/>
              </w:rPr>
            </w:pP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14:paraId="0BCC81A6" w14:textId="77777777" w:rsidR="00C51F22" w:rsidRPr="008844AC" w:rsidRDefault="00C51F22" w:rsidP="00D017A7">
            <w:pPr>
              <w:spacing w:after="0" w:line="240" w:lineRule="auto"/>
              <w:rPr>
                <w:rFonts w:ascii="Times New Roman" w:eastAsia="Times New Roman" w:hAnsi="Times New Roman" w:cs="Times New Roman"/>
                <w:b/>
                <w:bCs/>
                <w:kern w:val="0"/>
                <w:lang w:eastAsia="ro-MD"/>
                <w14:ligatures w14:val="none"/>
              </w:rPr>
            </w:pPr>
          </w:p>
        </w:tc>
        <w:tc>
          <w:tcPr>
            <w:tcW w:w="976"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F9669D0" w14:textId="77777777" w:rsidR="00C51F22" w:rsidRPr="008844AC" w:rsidRDefault="00C51F22" w:rsidP="00D017A7">
            <w:pPr>
              <w:spacing w:after="0" w:line="240" w:lineRule="auto"/>
              <w:jc w:val="center"/>
              <w:rPr>
                <w:rFonts w:ascii="Times New Roman" w:eastAsia="Times New Roman" w:hAnsi="Times New Roman" w:cs="Times New Roman"/>
                <w:b/>
                <w:bCs/>
                <w:kern w:val="0"/>
                <w:lang w:eastAsia="ro-MD"/>
                <w14:ligatures w14:val="none"/>
              </w:rPr>
            </w:pPr>
            <w:proofErr w:type="spellStart"/>
            <w:r w:rsidRPr="008844AC">
              <w:rPr>
                <w:rFonts w:ascii="Times New Roman" w:eastAsia="Times New Roman" w:hAnsi="Times New Roman" w:cs="Times New Roman"/>
                <w:b/>
                <w:bCs/>
                <w:kern w:val="0"/>
                <w:lang w:eastAsia="ro-MD"/>
                <w14:ligatures w14:val="none"/>
              </w:rPr>
              <w:t>Protecţia</w:t>
            </w:r>
            <w:proofErr w:type="spellEnd"/>
            <w:r w:rsidRPr="008844AC">
              <w:rPr>
                <w:rFonts w:ascii="Times New Roman" w:eastAsia="Times New Roman" w:hAnsi="Times New Roman" w:cs="Times New Roman"/>
                <w:b/>
                <w:bCs/>
                <w:kern w:val="0"/>
                <w:lang w:eastAsia="ro-MD"/>
                <w14:ligatures w14:val="none"/>
              </w:rPr>
              <w:t xml:space="preserve"> </w:t>
            </w:r>
            <w:proofErr w:type="spellStart"/>
            <w:r w:rsidRPr="008844AC">
              <w:rPr>
                <w:rFonts w:ascii="Times New Roman" w:eastAsia="Times New Roman" w:hAnsi="Times New Roman" w:cs="Times New Roman"/>
                <w:b/>
                <w:bCs/>
                <w:kern w:val="0"/>
                <w:lang w:eastAsia="ro-MD"/>
                <w14:ligatures w14:val="none"/>
              </w:rPr>
              <w:t>nefinanţată</w:t>
            </w:r>
            <w:proofErr w:type="spellEnd"/>
            <w:r w:rsidRPr="008844AC">
              <w:rPr>
                <w:rFonts w:ascii="Times New Roman" w:eastAsia="Times New Roman" w:hAnsi="Times New Roman" w:cs="Times New Roman"/>
                <w:b/>
                <w:bCs/>
                <w:kern w:val="0"/>
                <w:lang w:eastAsia="ro-MD"/>
                <w14:ligatures w14:val="none"/>
              </w:rPr>
              <w:t xml:space="preserve"> a creditului: valori ajustate (</w:t>
            </w:r>
            <w:r>
              <w:rPr>
                <w:rFonts w:ascii="Times New Roman" w:eastAsia="Times New Roman" w:hAnsi="Times New Roman" w:cs="Times New Roman"/>
                <w:b/>
                <w:bCs/>
                <w:kern w:val="0"/>
                <w:lang w:eastAsia="ro-MD"/>
                <w14:ligatures w14:val="none"/>
              </w:rPr>
              <w:t>G</w:t>
            </w:r>
            <w:r w:rsidRPr="008844AC">
              <w:rPr>
                <w:rFonts w:ascii="Times New Roman" w:eastAsia="Times New Roman" w:hAnsi="Times New Roman" w:cs="Times New Roman"/>
                <w:b/>
                <w:bCs/>
                <w:kern w:val="0"/>
                <w:lang w:eastAsia="ro-MD"/>
                <w14:ligatures w14:val="none"/>
              </w:rPr>
              <w:t>a)</w:t>
            </w:r>
          </w:p>
        </w:tc>
        <w:tc>
          <w:tcPr>
            <w:tcW w:w="900" w:type="pct"/>
            <w:gridSpan w:val="2"/>
            <w:tcBorders>
              <w:top w:val="single" w:sz="6" w:space="0" w:color="000000"/>
              <w:left w:val="single" w:sz="6" w:space="0" w:color="000000"/>
              <w:bottom w:val="single" w:sz="6" w:space="0" w:color="000000"/>
              <w:right w:val="single" w:sz="6" w:space="0" w:color="000000"/>
            </w:tcBorders>
            <w:shd w:val="clear" w:color="auto" w:fill="F0F0F0"/>
          </w:tcPr>
          <w:p w14:paraId="0866265C" w14:textId="77777777" w:rsidR="00C51F22" w:rsidRPr="008844AC" w:rsidRDefault="00C51F22" w:rsidP="00D017A7">
            <w:pPr>
              <w:spacing w:after="0" w:line="240" w:lineRule="auto"/>
              <w:jc w:val="center"/>
              <w:rPr>
                <w:rFonts w:ascii="Times New Roman" w:eastAsia="Times New Roman" w:hAnsi="Times New Roman" w:cs="Times New Roman"/>
                <w:b/>
                <w:bCs/>
                <w:kern w:val="0"/>
                <w:lang w:eastAsia="ro-MD"/>
                <w14:ligatures w14:val="none"/>
              </w:rPr>
            </w:pPr>
            <w:proofErr w:type="spellStart"/>
            <w:r w:rsidRPr="008844AC">
              <w:rPr>
                <w:rFonts w:ascii="Times New Roman" w:eastAsia="Times New Roman" w:hAnsi="Times New Roman" w:cs="Times New Roman"/>
                <w:b/>
                <w:bCs/>
                <w:kern w:val="0"/>
                <w:lang w:eastAsia="ro-MD"/>
                <w14:ligatures w14:val="none"/>
              </w:rPr>
              <w:t>Protecţia</w:t>
            </w:r>
            <w:proofErr w:type="spellEnd"/>
            <w:r w:rsidRPr="008844AC">
              <w:rPr>
                <w:rFonts w:ascii="Times New Roman" w:eastAsia="Times New Roman" w:hAnsi="Times New Roman" w:cs="Times New Roman"/>
                <w:b/>
                <w:bCs/>
                <w:kern w:val="0"/>
                <w:lang w:eastAsia="ro-MD"/>
                <w14:ligatures w14:val="none"/>
              </w:rPr>
              <w:t xml:space="preserve"> </w:t>
            </w:r>
            <w:proofErr w:type="spellStart"/>
            <w:r w:rsidRPr="008844AC">
              <w:rPr>
                <w:rFonts w:ascii="Times New Roman" w:eastAsia="Times New Roman" w:hAnsi="Times New Roman" w:cs="Times New Roman"/>
                <w:b/>
                <w:bCs/>
                <w:kern w:val="0"/>
                <w:lang w:eastAsia="ro-MD"/>
                <w14:ligatures w14:val="none"/>
              </w:rPr>
              <w:t>finanţată</w:t>
            </w:r>
            <w:proofErr w:type="spellEnd"/>
            <w:r w:rsidRPr="008844AC">
              <w:rPr>
                <w:rFonts w:ascii="Times New Roman" w:eastAsia="Times New Roman" w:hAnsi="Times New Roman" w:cs="Times New Roman"/>
                <w:b/>
                <w:bCs/>
                <w:kern w:val="0"/>
                <w:lang w:eastAsia="ro-MD"/>
                <w14:ligatures w14:val="none"/>
              </w:rPr>
              <w:t xml:space="preserve"> a creditului</w:t>
            </w:r>
          </w:p>
        </w:tc>
      </w:tr>
      <w:tr w:rsidR="00BB3167" w:rsidRPr="008844AC" w14:paraId="45E8CBF1" w14:textId="77777777" w:rsidTr="00D017A7">
        <w:tc>
          <w:tcPr>
            <w:tcW w:w="405" w:type="pct"/>
            <w:vMerge/>
            <w:tcBorders>
              <w:top w:val="single" w:sz="6" w:space="0" w:color="000000"/>
              <w:left w:val="single" w:sz="6" w:space="0" w:color="000000"/>
              <w:bottom w:val="single" w:sz="6" w:space="0" w:color="000000"/>
              <w:right w:val="single" w:sz="6" w:space="0" w:color="000000"/>
            </w:tcBorders>
            <w:vAlign w:val="center"/>
            <w:hideMark/>
          </w:tcPr>
          <w:p w14:paraId="3E588CA6" w14:textId="77777777" w:rsidR="00C51F22" w:rsidRPr="008844AC" w:rsidRDefault="00C51F22" w:rsidP="00D017A7">
            <w:pPr>
              <w:spacing w:after="0" w:line="240" w:lineRule="auto"/>
              <w:rPr>
                <w:rFonts w:ascii="Times New Roman" w:eastAsia="Times New Roman" w:hAnsi="Times New Roman" w:cs="Times New Roman"/>
                <w:kern w:val="0"/>
                <w:lang w:eastAsia="ro-MD"/>
                <w14:ligatures w14:val="none"/>
              </w:rPr>
            </w:pPr>
          </w:p>
        </w:tc>
        <w:tc>
          <w:tcPr>
            <w:tcW w:w="1260" w:type="pct"/>
            <w:vMerge/>
            <w:tcBorders>
              <w:top w:val="single" w:sz="6" w:space="0" w:color="000000"/>
              <w:left w:val="single" w:sz="6" w:space="0" w:color="000000"/>
              <w:bottom w:val="single" w:sz="6" w:space="0" w:color="000000"/>
              <w:right w:val="single" w:sz="6" w:space="0" w:color="000000"/>
            </w:tcBorders>
            <w:vAlign w:val="center"/>
            <w:hideMark/>
          </w:tcPr>
          <w:p w14:paraId="66189CA9" w14:textId="77777777" w:rsidR="00C51F22" w:rsidRPr="008844AC" w:rsidRDefault="00C51F22" w:rsidP="00D017A7">
            <w:pPr>
              <w:spacing w:after="0" w:line="240" w:lineRule="auto"/>
              <w:rPr>
                <w:rFonts w:ascii="Times New Roman" w:eastAsia="Times New Roman" w:hAnsi="Times New Roman" w:cs="Times New Roman"/>
                <w:b/>
                <w:bCs/>
                <w:kern w:val="0"/>
                <w:lang w:eastAsia="ro-MD"/>
                <w14:ligatures w14:val="none"/>
              </w:rPr>
            </w:pPr>
          </w:p>
        </w:tc>
        <w:tc>
          <w:tcPr>
            <w:tcW w:w="531" w:type="pct"/>
            <w:vMerge/>
            <w:tcBorders>
              <w:top w:val="single" w:sz="6" w:space="0" w:color="000000"/>
              <w:left w:val="single" w:sz="6" w:space="0" w:color="000000"/>
              <w:bottom w:val="single" w:sz="6" w:space="0" w:color="000000"/>
              <w:right w:val="single" w:sz="6" w:space="0" w:color="000000"/>
            </w:tcBorders>
            <w:vAlign w:val="center"/>
            <w:hideMark/>
          </w:tcPr>
          <w:p w14:paraId="593EEFDC" w14:textId="77777777" w:rsidR="00C51F22" w:rsidRPr="008844AC" w:rsidRDefault="00C51F22" w:rsidP="00D017A7">
            <w:pPr>
              <w:spacing w:after="0" w:line="240" w:lineRule="auto"/>
              <w:rPr>
                <w:rFonts w:ascii="Times New Roman" w:eastAsia="Times New Roman" w:hAnsi="Times New Roman" w:cs="Times New Roman"/>
                <w:b/>
                <w:bCs/>
                <w:kern w:val="0"/>
                <w:lang w:eastAsia="ro-MD"/>
                <w14:ligatures w14:val="none"/>
              </w:rPr>
            </w:pP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14:paraId="5E84BD69" w14:textId="77777777" w:rsidR="00C51F22" w:rsidRPr="008844AC" w:rsidRDefault="00C51F22" w:rsidP="00D017A7">
            <w:pPr>
              <w:spacing w:after="0" w:line="240" w:lineRule="auto"/>
              <w:rPr>
                <w:rFonts w:ascii="Times New Roman" w:eastAsia="Times New Roman" w:hAnsi="Times New Roman" w:cs="Times New Roman"/>
                <w:b/>
                <w:bCs/>
                <w:kern w:val="0"/>
                <w:lang w:eastAsia="ro-MD"/>
                <w14:ligatures w14:val="none"/>
              </w:rPr>
            </w:pPr>
          </w:p>
        </w:tc>
        <w:tc>
          <w:tcPr>
            <w:tcW w:w="464" w:type="pct"/>
            <w:vMerge/>
            <w:tcBorders>
              <w:top w:val="single" w:sz="6" w:space="0" w:color="000000"/>
              <w:left w:val="single" w:sz="6" w:space="0" w:color="000000"/>
              <w:bottom w:val="single" w:sz="6" w:space="0" w:color="000000"/>
              <w:right w:val="single" w:sz="6" w:space="0" w:color="000000"/>
            </w:tcBorders>
            <w:vAlign w:val="center"/>
            <w:hideMark/>
          </w:tcPr>
          <w:p w14:paraId="256353F7" w14:textId="77777777" w:rsidR="00C51F22" w:rsidRPr="008844AC" w:rsidRDefault="00C51F22" w:rsidP="00D017A7">
            <w:pPr>
              <w:spacing w:after="0" w:line="240" w:lineRule="auto"/>
              <w:rPr>
                <w:rFonts w:ascii="Times New Roman" w:eastAsia="Times New Roman" w:hAnsi="Times New Roman" w:cs="Times New Roman"/>
                <w:b/>
                <w:bCs/>
                <w:kern w:val="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E98F701" w14:textId="77777777" w:rsidR="00C51F22" w:rsidRPr="008844AC" w:rsidRDefault="00C51F22" w:rsidP="00D017A7">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 xml:space="preserve">(–) </w:t>
            </w:r>
            <w:proofErr w:type="spellStart"/>
            <w:r w:rsidRPr="008844AC">
              <w:rPr>
                <w:rFonts w:ascii="Times New Roman" w:eastAsia="Times New Roman" w:hAnsi="Times New Roman" w:cs="Times New Roman"/>
                <w:b/>
                <w:bCs/>
                <w:kern w:val="0"/>
                <w:lang w:eastAsia="ro-MD"/>
                <w14:ligatures w14:val="none"/>
              </w:rPr>
              <w:t>Garanţii</w:t>
            </w:r>
            <w:proofErr w:type="spellEnd"/>
          </w:p>
        </w:tc>
        <w:tc>
          <w:tcPr>
            <w:tcW w:w="510" w:type="pct"/>
            <w:tcBorders>
              <w:top w:val="single" w:sz="6" w:space="0" w:color="000000"/>
              <w:left w:val="single" w:sz="6" w:space="0" w:color="000000"/>
              <w:bottom w:val="single" w:sz="6" w:space="0" w:color="000000"/>
              <w:right w:val="single" w:sz="6" w:space="0" w:color="000000"/>
            </w:tcBorders>
            <w:shd w:val="clear" w:color="auto" w:fill="F0F0F0"/>
          </w:tcPr>
          <w:p w14:paraId="7D48DE1E" w14:textId="77777777" w:rsidR="00C51F22" w:rsidRPr="008844AC" w:rsidRDefault="00C51F22" w:rsidP="00D017A7">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 instrumente financiare derivate de credit</w:t>
            </w:r>
          </w:p>
        </w:tc>
        <w:tc>
          <w:tcPr>
            <w:tcW w:w="485" w:type="pct"/>
            <w:tcBorders>
              <w:top w:val="single" w:sz="6" w:space="0" w:color="000000"/>
              <w:left w:val="single" w:sz="6" w:space="0" w:color="000000"/>
              <w:bottom w:val="single" w:sz="6" w:space="0" w:color="000000"/>
              <w:right w:val="single" w:sz="6" w:space="0" w:color="000000"/>
            </w:tcBorders>
            <w:shd w:val="clear" w:color="auto" w:fill="F0F0F0"/>
          </w:tcPr>
          <w:p w14:paraId="6F7E0F5E" w14:textId="77777777" w:rsidR="00C51F22" w:rsidRPr="008844AC" w:rsidRDefault="00C51F22" w:rsidP="00D017A7">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 xml:space="preserve">(–) </w:t>
            </w:r>
            <w:proofErr w:type="spellStart"/>
            <w:r w:rsidRPr="008844AC">
              <w:rPr>
                <w:rFonts w:ascii="Times New Roman" w:eastAsia="Times New Roman" w:hAnsi="Times New Roman" w:cs="Times New Roman"/>
                <w:b/>
                <w:bCs/>
                <w:kern w:val="0"/>
                <w:lang w:eastAsia="ro-MD"/>
                <w14:ligatures w14:val="none"/>
              </w:rPr>
              <w:t>garanţii</w:t>
            </w:r>
            <w:proofErr w:type="spellEnd"/>
            <w:r w:rsidRPr="008844AC">
              <w:rPr>
                <w:rFonts w:ascii="Times New Roman" w:eastAsia="Times New Roman" w:hAnsi="Times New Roman" w:cs="Times New Roman"/>
                <w:b/>
                <w:bCs/>
                <w:kern w:val="0"/>
                <w:lang w:eastAsia="ro-MD"/>
                <w14:ligatures w14:val="none"/>
              </w:rPr>
              <w:t xml:space="preserve"> financiare: metoda simplă</w:t>
            </w:r>
          </w:p>
        </w:tc>
        <w:tc>
          <w:tcPr>
            <w:tcW w:w="415" w:type="pct"/>
            <w:tcBorders>
              <w:top w:val="single" w:sz="6" w:space="0" w:color="000000"/>
              <w:left w:val="single" w:sz="6" w:space="0" w:color="000000"/>
              <w:bottom w:val="single" w:sz="6" w:space="0" w:color="000000"/>
              <w:right w:val="single" w:sz="6" w:space="0" w:color="000000"/>
            </w:tcBorders>
            <w:shd w:val="clear" w:color="auto" w:fill="F0F0F0"/>
          </w:tcPr>
          <w:p w14:paraId="52208DB2" w14:textId="77777777" w:rsidR="00C51F22" w:rsidRPr="008844AC" w:rsidRDefault="00C51F22" w:rsidP="00D017A7">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 xml:space="preserve">(–) alte tipuri de </w:t>
            </w:r>
            <w:proofErr w:type="spellStart"/>
            <w:r w:rsidRPr="008844AC">
              <w:rPr>
                <w:rFonts w:ascii="Times New Roman" w:eastAsia="Times New Roman" w:hAnsi="Times New Roman" w:cs="Times New Roman"/>
                <w:b/>
                <w:bCs/>
                <w:kern w:val="0"/>
                <w:lang w:eastAsia="ro-MD"/>
                <w14:ligatures w14:val="none"/>
              </w:rPr>
              <w:t>protecţie</w:t>
            </w:r>
            <w:proofErr w:type="spellEnd"/>
            <w:r w:rsidRPr="008844AC">
              <w:rPr>
                <w:rFonts w:ascii="Times New Roman" w:eastAsia="Times New Roman" w:hAnsi="Times New Roman" w:cs="Times New Roman"/>
                <w:b/>
                <w:bCs/>
                <w:kern w:val="0"/>
                <w:lang w:eastAsia="ro-MD"/>
                <w14:ligatures w14:val="none"/>
              </w:rPr>
              <w:t xml:space="preserve"> </w:t>
            </w:r>
            <w:proofErr w:type="spellStart"/>
            <w:r w:rsidRPr="008844AC">
              <w:rPr>
                <w:rFonts w:ascii="Times New Roman" w:eastAsia="Times New Roman" w:hAnsi="Times New Roman" w:cs="Times New Roman"/>
                <w:b/>
                <w:bCs/>
                <w:kern w:val="0"/>
                <w:lang w:eastAsia="ro-MD"/>
                <w14:ligatures w14:val="none"/>
              </w:rPr>
              <w:t>finanţată</w:t>
            </w:r>
            <w:proofErr w:type="spellEnd"/>
            <w:r w:rsidRPr="008844AC">
              <w:rPr>
                <w:rFonts w:ascii="Times New Roman" w:eastAsia="Times New Roman" w:hAnsi="Times New Roman" w:cs="Times New Roman"/>
                <w:b/>
                <w:bCs/>
                <w:kern w:val="0"/>
                <w:lang w:eastAsia="ro-MD"/>
                <w14:ligatures w14:val="none"/>
              </w:rPr>
              <w:t xml:space="preserve"> a creditului</w:t>
            </w:r>
          </w:p>
        </w:tc>
      </w:tr>
      <w:tr w:rsidR="00D3348C" w:rsidRPr="008844AC" w14:paraId="51302FD0" w14:textId="77777777" w:rsidTr="00D017A7">
        <w:tc>
          <w:tcPr>
            <w:tcW w:w="40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E4B412" w14:textId="77777777" w:rsidR="00C51F22" w:rsidRPr="008844AC" w:rsidRDefault="00C51F22" w:rsidP="00D017A7">
            <w:pPr>
              <w:spacing w:after="0" w:line="240" w:lineRule="auto"/>
              <w:jc w:val="center"/>
              <w:rPr>
                <w:rFonts w:ascii="Times New Roman" w:eastAsia="Times New Roman" w:hAnsi="Times New Roman" w:cs="Times New Roman"/>
                <w:b/>
                <w:bCs/>
                <w:kern w:val="0"/>
                <w:lang w:eastAsia="ro-MD"/>
                <w14:ligatures w14:val="none"/>
              </w:rPr>
            </w:pPr>
          </w:p>
        </w:tc>
        <w:tc>
          <w:tcPr>
            <w:tcW w:w="126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6DCD002"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53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24C2C8" w14:textId="0D843AE1" w:rsidR="00C51F22" w:rsidRPr="008844AC" w:rsidRDefault="00C51F22"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0</w:t>
            </w:r>
            <w:r w:rsidR="00895E30">
              <w:rPr>
                <w:rFonts w:ascii="Times New Roman" w:eastAsia="Times New Roman" w:hAnsi="Times New Roman" w:cs="Times New Roman"/>
                <w:b/>
                <w:bCs/>
                <w:kern w:val="0"/>
                <w:lang w:eastAsia="ro-MD"/>
                <w14:ligatures w14:val="none"/>
              </w:rPr>
              <w:t>0</w:t>
            </w:r>
            <w:r w:rsidRPr="008844AC">
              <w:rPr>
                <w:rFonts w:ascii="Times New Roman" w:eastAsia="Times New Roman" w:hAnsi="Times New Roman" w:cs="Times New Roman"/>
                <w:b/>
                <w:bCs/>
                <w:kern w:val="0"/>
                <w:lang w:eastAsia="ro-MD"/>
                <w14:ligatures w14:val="none"/>
              </w:rPr>
              <w:t>10</w:t>
            </w:r>
          </w:p>
        </w:tc>
        <w:tc>
          <w:tcPr>
            <w:tcW w:w="46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51356A" w14:textId="225E8BE6" w:rsidR="00C51F22" w:rsidRPr="008844AC" w:rsidRDefault="00C51F22"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0</w:t>
            </w:r>
            <w:r w:rsidR="00895E30">
              <w:rPr>
                <w:rFonts w:ascii="Times New Roman" w:eastAsia="Times New Roman" w:hAnsi="Times New Roman" w:cs="Times New Roman"/>
                <w:b/>
                <w:bCs/>
                <w:kern w:val="0"/>
                <w:lang w:eastAsia="ro-MD"/>
                <w14:ligatures w14:val="none"/>
              </w:rPr>
              <w:t>0</w:t>
            </w:r>
            <w:r w:rsidRPr="008844AC">
              <w:rPr>
                <w:rFonts w:ascii="Times New Roman" w:eastAsia="Times New Roman" w:hAnsi="Times New Roman" w:cs="Times New Roman"/>
                <w:b/>
                <w:bCs/>
                <w:kern w:val="0"/>
                <w:lang w:eastAsia="ro-MD"/>
                <w14:ligatures w14:val="none"/>
              </w:rPr>
              <w:t>30</w:t>
            </w:r>
          </w:p>
        </w:tc>
        <w:tc>
          <w:tcPr>
            <w:tcW w:w="46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7B1DA4" w14:textId="45A4A4A1" w:rsidR="00C51F22" w:rsidRPr="008844AC" w:rsidRDefault="00C51F22"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0</w:t>
            </w:r>
            <w:r w:rsidR="00895E30">
              <w:rPr>
                <w:rFonts w:ascii="Times New Roman" w:eastAsia="Times New Roman" w:hAnsi="Times New Roman" w:cs="Times New Roman"/>
                <w:b/>
                <w:bCs/>
                <w:kern w:val="0"/>
                <w:lang w:eastAsia="ro-MD"/>
                <w14:ligatures w14:val="none"/>
              </w:rPr>
              <w:t>0</w:t>
            </w:r>
            <w:r w:rsidRPr="008844AC">
              <w:rPr>
                <w:rFonts w:ascii="Times New Roman" w:eastAsia="Times New Roman" w:hAnsi="Times New Roman" w:cs="Times New Roman"/>
                <w:b/>
                <w:bCs/>
                <w:kern w:val="0"/>
                <w:lang w:eastAsia="ro-MD"/>
                <w14:ligatures w14:val="none"/>
              </w:rPr>
              <w:t>40</w:t>
            </w:r>
          </w:p>
        </w:tc>
        <w:tc>
          <w:tcPr>
            <w:tcW w:w="46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2CF96B" w14:textId="1505CE59" w:rsidR="00C51F22" w:rsidRPr="008844AC" w:rsidRDefault="00C51F22"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05</w:t>
            </w:r>
            <w:r w:rsidR="00895E30">
              <w:rPr>
                <w:rFonts w:ascii="Times New Roman" w:eastAsia="Times New Roman" w:hAnsi="Times New Roman" w:cs="Times New Roman"/>
                <w:b/>
                <w:bCs/>
                <w:kern w:val="0"/>
                <w:lang w:eastAsia="ro-MD"/>
                <w14:ligatures w14:val="none"/>
              </w:rPr>
              <w:t>0</w:t>
            </w:r>
            <w:r w:rsidRPr="008844AC">
              <w:rPr>
                <w:rFonts w:ascii="Times New Roman" w:eastAsia="Times New Roman" w:hAnsi="Times New Roman" w:cs="Times New Roman"/>
                <w:b/>
                <w:bCs/>
                <w:kern w:val="0"/>
                <w:lang w:eastAsia="ro-MD"/>
                <w14:ligatures w14:val="none"/>
              </w:rPr>
              <w:t>0</w:t>
            </w:r>
          </w:p>
        </w:tc>
        <w:tc>
          <w:tcPr>
            <w:tcW w:w="510" w:type="pct"/>
            <w:tcBorders>
              <w:top w:val="single" w:sz="6" w:space="0" w:color="000000"/>
              <w:left w:val="single" w:sz="6" w:space="0" w:color="000000"/>
              <w:bottom w:val="single" w:sz="6" w:space="0" w:color="000000"/>
              <w:right w:val="single" w:sz="6" w:space="0" w:color="000000"/>
            </w:tcBorders>
            <w:shd w:val="clear" w:color="auto" w:fill="F0F0F0"/>
          </w:tcPr>
          <w:p w14:paraId="05693360" w14:textId="7517EF50" w:rsidR="00C51F22" w:rsidRPr="008844AC" w:rsidRDefault="00C51F22" w:rsidP="00D017A7">
            <w:pPr>
              <w:spacing w:after="0" w:line="240" w:lineRule="auto"/>
              <w:jc w:val="center"/>
              <w:rPr>
                <w:rFonts w:ascii="Times New Roman" w:eastAsia="Times New Roman" w:hAnsi="Times New Roman" w:cs="Times New Roman"/>
                <w:b/>
                <w:bCs/>
                <w:kern w:val="0"/>
                <w:lang w:eastAsia="ro-MD"/>
                <w14:ligatures w14:val="none"/>
              </w:rPr>
            </w:pPr>
            <w:r>
              <w:rPr>
                <w:rFonts w:ascii="Times New Roman" w:eastAsia="Times New Roman" w:hAnsi="Times New Roman" w:cs="Times New Roman"/>
                <w:b/>
                <w:bCs/>
                <w:kern w:val="0"/>
                <w:lang w:eastAsia="ro-MD"/>
                <w14:ligatures w14:val="none"/>
              </w:rPr>
              <w:t>0</w:t>
            </w:r>
            <w:r w:rsidR="00895E30">
              <w:rPr>
                <w:rFonts w:ascii="Times New Roman" w:eastAsia="Times New Roman" w:hAnsi="Times New Roman" w:cs="Times New Roman"/>
                <w:b/>
                <w:bCs/>
                <w:kern w:val="0"/>
                <w:lang w:eastAsia="ro-MD"/>
                <w14:ligatures w14:val="none"/>
              </w:rPr>
              <w:t>0</w:t>
            </w:r>
            <w:r>
              <w:rPr>
                <w:rFonts w:ascii="Times New Roman" w:eastAsia="Times New Roman" w:hAnsi="Times New Roman" w:cs="Times New Roman"/>
                <w:b/>
                <w:bCs/>
                <w:kern w:val="0"/>
                <w:lang w:eastAsia="ro-MD"/>
                <w14:ligatures w14:val="none"/>
              </w:rPr>
              <w:t>60</w:t>
            </w:r>
          </w:p>
        </w:tc>
        <w:tc>
          <w:tcPr>
            <w:tcW w:w="485" w:type="pct"/>
            <w:tcBorders>
              <w:top w:val="single" w:sz="6" w:space="0" w:color="000000"/>
              <w:left w:val="single" w:sz="6" w:space="0" w:color="000000"/>
              <w:bottom w:val="single" w:sz="6" w:space="0" w:color="000000"/>
              <w:right w:val="single" w:sz="6" w:space="0" w:color="000000"/>
            </w:tcBorders>
            <w:shd w:val="clear" w:color="auto" w:fill="F0F0F0"/>
          </w:tcPr>
          <w:p w14:paraId="2FE49183" w14:textId="3D74C5CA" w:rsidR="00C51F22" w:rsidRDefault="00C51F22" w:rsidP="00D017A7">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0</w:t>
            </w:r>
            <w:r w:rsidR="00895E30">
              <w:rPr>
                <w:rFonts w:ascii="Times New Roman" w:eastAsia="Times New Roman" w:hAnsi="Times New Roman" w:cs="Times New Roman"/>
                <w:b/>
                <w:bCs/>
                <w:kern w:val="0"/>
                <w:lang w:eastAsia="ro-MD"/>
                <w14:ligatures w14:val="none"/>
              </w:rPr>
              <w:t>0</w:t>
            </w:r>
            <w:r w:rsidRPr="008844AC">
              <w:rPr>
                <w:rFonts w:ascii="Times New Roman" w:eastAsia="Times New Roman" w:hAnsi="Times New Roman" w:cs="Times New Roman"/>
                <w:b/>
                <w:bCs/>
                <w:kern w:val="0"/>
                <w:lang w:eastAsia="ro-MD"/>
                <w14:ligatures w14:val="none"/>
              </w:rPr>
              <w:t>70</w:t>
            </w:r>
          </w:p>
        </w:tc>
        <w:tc>
          <w:tcPr>
            <w:tcW w:w="415" w:type="pct"/>
            <w:tcBorders>
              <w:top w:val="single" w:sz="6" w:space="0" w:color="000000"/>
              <w:left w:val="single" w:sz="6" w:space="0" w:color="000000"/>
              <w:bottom w:val="single" w:sz="6" w:space="0" w:color="000000"/>
              <w:right w:val="single" w:sz="6" w:space="0" w:color="000000"/>
            </w:tcBorders>
            <w:shd w:val="clear" w:color="auto" w:fill="F0F0F0"/>
          </w:tcPr>
          <w:p w14:paraId="6EAF2BCC" w14:textId="5B31D0A8" w:rsidR="00C51F22" w:rsidRDefault="00C51F22" w:rsidP="00D017A7">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0</w:t>
            </w:r>
            <w:r w:rsidR="00895E30">
              <w:rPr>
                <w:rFonts w:ascii="Times New Roman" w:eastAsia="Times New Roman" w:hAnsi="Times New Roman" w:cs="Times New Roman"/>
                <w:b/>
                <w:bCs/>
                <w:kern w:val="0"/>
                <w:lang w:eastAsia="ro-MD"/>
                <w14:ligatures w14:val="none"/>
              </w:rPr>
              <w:t>0</w:t>
            </w:r>
            <w:r w:rsidRPr="008844AC">
              <w:rPr>
                <w:rFonts w:ascii="Times New Roman" w:eastAsia="Times New Roman" w:hAnsi="Times New Roman" w:cs="Times New Roman"/>
                <w:b/>
                <w:bCs/>
                <w:kern w:val="0"/>
                <w:lang w:eastAsia="ro-MD"/>
                <w14:ligatures w14:val="none"/>
              </w:rPr>
              <w:t>80</w:t>
            </w:r>
          </w:p>
        </w:tc>
      </w:tr>
      <w:tr w:rsidR="00BB3167" w:rsidRPr="008844AC" w14:paraId="738F4D00"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71E65" w14:textId="4E5438C8" w:rsidR="00C51F22" w:rsidRPr="008844AC" w:rsidRDefault="00C51F22"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sidR="00895E30">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5EEBE" w14:textId="77777777" w:rsidR="00C51F22" w:rsidRPr="008844AC" w:rsidRDefault="00C51F22"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EXPUNERI TOTALE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4D800" w14:textId="77777777" w:rsidR="00C51F22" w:rsidRPr="008844AC" w:rsidRDefault="00C51F22"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F3DD6"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3F94F"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018E0"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pct"/>
            <w:tcBorders>
              <w:top w:val="single" w:sz="6" w:space="0" w:color="000000"/>
              <w:left w:val="single" w:sz="6" w:space="0" w:color="000000"/>
              <w:bottom w:val="single" w:sz="6" w:space="0" w:color="000000"/>
              <w:right w:val="single" w:sz="6" w:space="0" w:color="000000"/>
            </w:tcBorders>
          </w:tcPr>
          <w:p w14:paraId="77F726A8"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85" w:type="pct"/>
            <w:tcBorders>
              <w:top w:val="single" w:sz="6" w:space="0" w:color="000000"/>
              <w:left w:val="single" w:sz="6" w:space="0" w:color="000000"/>
              <w:bottom w:val="single" w:sz="6" w:space="0" w:color="000000"/>
              <w:right w:val="single" w:sz="6" w:space="0" w:color="000000"/>
            </w:tcBorders>
          </w:tcPr>
          <w:p w14:paraId="5F9300B4"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15" w:type="pct"/>
            <w:tcBorders>
              <w:top w:val="single" w:sz="6" w:space="0" w:color="000000"/>
              <w:left w:val="single" w:sz="6" w:space="0" w:color="000000"/>
              <w:bottom w:val="single" w:sz="6" w:space="0" w:color="000000"/>
              <w:right w:val="single" w:sz="6" w:space="0" w:color="000000"/>
            </w:tcBorders>
          </w:tcPr>
          <w:p w14:paraId="258ED508"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r>
      <w:tr w:rsidR="00BB3167" w:rsidRPr="008844AC" w14:paraId="1027D433"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89E293" w14:textId="54673938" w:rsidR="00C51F22" w:rsidRPr="00E91D07" w:rsidRDefault="00C51F22"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895E30" w:rsidRPr="00E91D07">
              <w:rPr>
                <w:rFonts w:ascii="Times New Roman" w:eastAsia="Times New Roman" w:hAnsi="Times New Roman" w:cs="Times New Roman"/>
                <w:kern w:val="0"/>
                <w:lang w:eastAsia="ro-MD"/>
                <w14:ligatures w14:val="none"/>
              </w:rPr>
              <w:t>0</w:t>
            </w:r>
            <w:r w:rsidRPr="00E91D07">
              <w:rPr>
                <w:rFonts w:ascii="Times New Roman" w:eastAsia="Times New Roman" w:hAnsi="Times New Roman" w:cs="Times New Roman"/>
                <w:kern w:val="0"/>
                <w:lang w:eastAsia="ro-MD"/>
                <w14:ligatures w14:val="none"/>
              </w:rPr>
              <w:t>11</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C5F8B1" w14:textId="722CD04E" w:rsidR="00C51F22" w:rsidRPr="00E91D07" w:rsidRDefault="00C51F22" w:rsidP="00D017A7">
            <w:pPr>
              <w:spacing w:after="0" w:line="240" w:lineRule="auto"/>
              <w:rPr>
                <w:rFonts w:ascii="Times New Roman" w:eastAsia="Times New Roman" w:hAnsi="Times New Roman" w:cs="Times New Roman"/>
                <w:b/>
                <w:bCs/>
                <w:kern w:val="0"/>
                <w:lang w:eastAsia="ro-MD"/>
                <w14:ligatures w14:val="none"/>
              </w:rPr>
            </w:pPr>
            <w:r w:rsidRPr="00E91D07">
              <w:rPr>
                <w:rFonts w:ascii="Times New Roman" w:eastAsia="Times New Roman" w:hAnsi="Times New Roman" w:cs="Times New Roman"/>
                <w:kern w:val="0"/>
                <w:lang w:eastAsia="ro-MD"/>
                <w14:ligatures w14:val="none"/>
              </w:rPr>
              <w:t>din care: expuneri față de bănci centrale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E28F97" w14:textId="77777777" w:rsidR="00C51F22" w:rsidRPr="008844AC" w:rsidRDefault="00C51F22"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AB8645"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4AECFE"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72A3A4"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pct"/>
            <w:tcBorders>
              <w:top w:val="single" w:sz="6" w:space="0" w:color="000000"/>
              <w:left w:val="single" w:sz="6" w:space="0" w:color="000000"/>
              <w:bottom w:val="single" w:sz="6" w:space="0" w:color="000000"/>
              <w:right w:val="single" w:sz="6" w:space="0" w:color="000000"/>
            </w:tcBorders>
          </w:tcPr>
          <w:p w14:paraId="22FC9C7A"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85" w:type="pct"/>
            <w:tcBorders>
              <w:top w:val="single" w:sz="6" w:space="0" w:color="000000"/>
              <w:left w:val="single" w:sz="6" w:space="0" w:color="000000"/>
              <w:bottom w:val="single" w:sz="6" w:space="0" w:color="000000"/>
              <w:right w:val="single" w:sz="6" w:space="0" w:color="000000"/>
            </w:tcBorders>
          </w:tcPr>
          <w:p w14:paraId="500BBC40"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15" w:type="pct"/>
            <w:tcBorders>
              <w:top w:val="single" w:sz="6" w:space="0" w:color="000000"/>
              <w:left w:val="single" w:sz="6" w:space="0" w:color="000000"/>
              <w:bottom w:val="single" w:sz="6" w:space="0" w:color="000000"/>
              <w:right w:val="single" w:sz="6" w:space="0" w:color="000000"/>
            </w:tcBorders>
          </w:tcPr>
          <w:p w14:paraId="6D41CB79"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r>
      <w:tr w:rsidR="00BB3167" w:rsidRPr="008844AC" w14:paraId="27B5D9E9"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46A16" w14:textId="68CF0AB3" w:rsidR="00C51F22" w:rsidRPr="008844AC" w:rsidRDefault="00C51F22"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sidR="00895E30">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6CBB9" w14:textId="1878EE06" w:rsidR="00C51F22" w:rsidRPr="008844AC" w:rsidRDefault="00C51F22"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din care: expuneri în stare de nerambursare</w:t>
            </w:r>
            <w:r w:rsidRPr="007072E7">
              <w:rPr>
                <w:rFonts w:ascii="Times New Roman" w:eastAsia="Times New Roman" w:hAnsi="Times New Roman" w:cs="Times New Roman"/>
                <w:kern w:val="0"/>
                <w:lang w:eastAsia="ro-MD"/>
                <w14:ligatures w14:val="none"/>
              </w:rPr>
              <w:t xml:space="preserve"> din clasa de expuneri „</w:t>
            </w:r>
            <w:proofErr w:type="spellStart"/>
            <w:r w:rsidRPr="007072E7">
              <w:rPr>
                <w:rFonts w:ascii="Times New Roman" w:eastAsia="Times New Roman" w:hAnsi="Times New Roman" w:cs="Times New Roman"/>
                <w:kern w:val="0"/>
                <w:lang w:eastAsia="ro-MD"/>
                <w14:ligatures w14:val="none"/>
              </w:rPr>
              <w:t>OPCuri</w:t>
            </w:r>
            <w:proofErr w:type="spellEnd"/>
            <w:r w:rsidRPr="007072E7">
              <w:rPr>
                <w:rFonts w:ascii="Times New Roman" w:eastAsia="Times New Roman" w:hAnsi="Times New Roman" w:cs="Times New Roman"/>
                <w:kern w:val="0"/>
                <w:lang w:eastAsia="ro-MD"/>
                <w14:ligatures w14:val="none"/>
              </w:rPr>
              <w:t>” și „expuneri provenind din titluri de capital”</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24A1A" w14:textId="77777777" w:rsidR="00C51F22" w:rsidRPr="008844AC" w:rsidRDefault="00C51F22"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1B5BD"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5FBE3"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D006B"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pct"/>
            <w:tcBorders>
              <w:top w:val="single" w:sz="6" w:space="0" w:color="000000"/>
              <w:left w:val="single" w:sz="6" w:space="0" w:color="000000"/>
              <w:bottom w:val="single" w:sz="6" w:space="0" w:color="000000"/>
              <w:right w:val="single" w:sz="6" w:space="0" w:color="000000"/>
            </w:tcBorders>
          </w:tcPr>
          <w:p w14:paraId="5DC5D140"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85" w:type="pct"/>
            <w:tcBorders>
              <w:top w:val="single" w:sz="6" w:space="0" w:color="000000"/>
              <w:left w:val="single" w:sz="6" w:space="0" w:color="000000"/>
              <w:bottom w:val="single" w:sz="6" w:space="0" w:color="000000"/>
              <w:right w:val="single" w:sz="6" w:space="0" w:color="000000"/>
            </w:tcBorders>
          </w:tcPr>
          <w:p w14:paraId="08F96FED"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15" w:type="pct"/>
            <w:tcBorders>
              <w:top w:val="single" w:sz="6" w:space="0" w:color="000000"/>
              <w:left w:val="single" w:sz="6" w:space="0" w:color="000000"/>
              <w:bottom w:val="single" w:sz="6" w:space="0" w:color="000000"/>
              <w:right w:val="single" w:sz="6" w:space="0" w:color="000000"/>
            </w:tcBorders>
          </w:tcPr>
          <w:p w14:paraId="64478B3F"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r>
      <w:tr w:rsidR="00BB3167" w:rsidRPr="008844AC" w14:paraId="0471AF9B"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59A50" w14:textId="7A6D94EA" w:rsidR="00C51F22" w:rsidRPr="008844AC" w:rsidRDefault="00C51F22"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sidR="00895E30">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20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D9A4B" w14:textId="43988775" w:rsidR="00C51F22" w:rsidRPr="008844AC" w:rsidRDefault="00C51F22"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din care: IMM-uri</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52807" w14:textId="77777777" w:rsidR="00C51F22" w:rsidRPr="008844AC" w:rsidRDefault="00C51F22"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D8D41"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0C1FF"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EFCC6"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pct"/>
            <w:tcBorders>
              <w:top w:val="single" w:sz="6" w:space="0" w:color="000000"/>
              <w:left w:val="single" w:sz="6" w:space="0" w:color="000000"/>
              <w:bottom w:val="single" w:sz="6" w:space="0" w:color="000000"/>
              <w:right w:val="single" w:sz="6" w:space="0" w:color="000000"/>
            </w:tcBorders>
          </w:tcPr>
          <w:p w14:paraId="3154070E"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85" w:type="pct"/>
            <w:tcBorders>
              <w:top w:val="single" w:sz="6" w:space="0" w:color="000000"/>
              <w:left w:val="single" w:sz="6" w:space="0" w:color="000000"/>
              <w:bottom w:val="single" w:sz="6" w:space="0" w:color="000000"/>
              <w:right w:val="single" w:sz="6" w:space="0" w:color="000000"/>
            </w:tcBorders>
          </w:tcPr>
          <w:p w14:paraId="7F9F76BA"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15" w:type="pct"/>
            <w:tcBorders>
              <w:top w:val="single" w:sz="6" w:space="0" w:color="000000"/>
              <w:left w:val="single" w:sz="6" w:space="0" w:color="000000"/>
              <w:bottom w:val="single" w:sz="6" w:space="0" w:color="000000"/>
              <w:right w:val="single" w:sz="6" w:space="0" w:color="000000"/>
            </w:tcBorders>
          </w:tcPr>
          <w:p w14:paraId="239ACB30"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r>
      <w:tr w:rsidR="00BB3167" w:rsidRPr="008844AC" w14:paraId="0A13C0A5"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A8582" w14:textId="0D51E6F7" w:rsidR="00C51F22" w:rsidRPr="008844AC" w:rsidRDefault="00C51F22"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sidR="00895E30">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30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0888B" w14:textId="14E2414E" w:rsidR="00C51F22" w:rsidRPr="008844AC" w:rsidRDefault="00C51F22"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din care: expuneri aflate sub </w:t>
            </w:r>
            <w:proofErr w:type="spellStart"/>
            <w:r w:rsidRPr="008844AC">
              <w:rPr>
                <w:rFonts w:ascii="Times New Roman" w:eastAsia="Times New Roman" w:hAnsi="Times New Roman" w:cs="Times New Roman"/>
                <w:kern w:val="0"/>
                <w:lang w:eastAsia="ro-MD"/>
                <w14:ligatures w14:val="none"/>
              </w:rPr>
              <w:t>incidenţa</w:t>
            </w:r>
            <w:proofErr w:type="spellEnd"/>
            <w:r w:rsidRPr="008844AC">
              <w:rPr>
                <w:rFonts w:ascii="Times New Roman" w:eastAsia="Times New Roman" w:hAnsi="Times New Roman" w:cs="Times New Roman"/>
                <w:kern w:val="0"/>
                <w:lang w:eastAsia="ro-MD"/>
                <w14:ligatures w14:val="none"/>
              </w:rPr>
              <w:t xml:space="preserve"> factorului de sprijinire a IMM-urilor</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31ECD" w14:textId="77777777" w:rsidR="00C51F22" w:rsidRPr="008844AC" w:rsidRDefault="00C51F22"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1844C"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D520A"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14232"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pct"/>
            <w:tcBorders>
              <w:top w:val="single" w:sz="6" w:space="0" w:color="000000"/>
              <w:left w:val="single" w:sz="6" w:space="0" w:color="000000"/>
              <w:bottom w:val="single" w:sz="6" w:space="0" w:color="000000"/>
              <w:right w:val="single" w:sz="6" w:space="0" w:color="000000"/>
            </w:tcBorders>
          </w:tcPr>
          <w:p w14:paraId="7565359A"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85" w:type="pct"/>
            <w:tcBorders>
              <w:top w:val="single" w:sz="6" w:space="0" w:color="000000"/>
              <w:left w:val="single" w:sz="6" w:space="0" w:color="000000"/>
              <w:bottom w:val="single" w:sz="6" w:space="0" w:color="000000"/>
              <w:right w:val="single" w:sz="6" w:space="0" w:color="000000"/>
            </w:tcBorders>
          </w:tcPr>
          <w:p w14:paraId="46C6530D"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15" w:type="pct"/>
            <w:tcBorders>
              <w:top w:val="single" w:sz="6" w:space="0" w:color="000000"/>
              <w:left w:val="single" w:sz="6" w:space="0" w:color="000000"/>
              <w:bottom w:val="single" w:sz="6" w:space="0" w:color="000000"/>
              <w:right w:val="single" w:sz="6" w:space="0" w:color="000000"/>
            </w:tcBorders>
          </w:tcPr>
          <w:p w14:paraId="416CE82C"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r>
      <w:tr w:rsidR="00BB3167" w:rsidRPr="008844AC" w14:paraId="51A66EF0"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D2398F" w14:textId="07C6BD74" w:rsidR="00C51F22"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C51F22" w:rsidRPr="00E91D07">
              <w:rPr>
                <w:rFonts w:ascii="Times New Roman" w:eastAsia="Times New Roman" w:hAnsi="Times New Roman" w:cs="Times New Roman"/>
                <w:kern w:val="0"/>
                <w:lang w:eastAsia="ro-MD"/>
                <w14:ligatures w14:val="none"/>
              </w:rPr>
              <w:t>035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F6DE98" w14:textId="1262F5A3" w:rsidR="00C51F22" w:rsidRPr="00E91D07" w:rsidRDefault="00C51F22"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din care: expuneri aflate sub incidența factorului de sprijinire a infrastructurii</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C6372D" w14:textId="77777777" w:rsidR="00C51F22" w:rsidRPr="008844AC" w:rsidRDefault="00C51F22"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3F778B"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D9B9D5"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BAEBE9"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pct"/>
            <w:tcBorders>
              <w:top w:val="single" w:sz="6" w:space="0" w:color="000000"/>
              <w:left w:val="single" w:sz="6" w:space="0" w:color="000000"/>
              <w:bottom w:val="single" w:sz="6" w:space="0" w:color="000000"/>
              <w:right w:val="single" w:sz="6" w:space="0" w:color="000000"/>
            </w:tcBorders>
          </w:tcPr>
          <w:p w14:paraId="26F900B8"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85" w:type="pct"/>
            <w:tcBorders>
              <w:top w:val="single" w:sz="6" w:space="0" w:color="000000"/>
              <w:left w:val="single" w:sz="6" w:space="0" w:color="000000"/>
              <w:bottom w:val="single" w:sz="6" w:space="0" w:color="000000"/>
              <w:right w:val="single" w:sz="6" w:space="0" w:color="000000"/>
            </w:tcBorders>
          </w:tcPr>
          <w:p w14:paraId="399D59BA"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15" w:type="pct"/>
            <w:tcBorders>
              <w:top w:val="single" w:sz="6" w:space="0" w:color="000000"/>
              <w:left w:val="single" w:sz="6" w:space="0" w:color="000000"/>
              <w:bottom w:val="single" w:sz="6" w:space="0" w:color="000000"/>
              <w:right w:val="single" w:sz="6" w:space="0" w:color="000000"/>
            </w:tcBorders>
          </w:tcPr>
          <w:p w14:paraId="648807F7"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r>
      <w:tr w:rsidR="00BB3167" w:rsidRPr="008844AC" w14:paraId="64A38374"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ACFB7" w14:textId="754E3511" w:rsidR="00C51F22" w:rsidRPr="008844AC" w:rsidRDefault="00C51F22"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sidR="00895E30">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50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F9A36" w14:textId="7E50ADA8" w:rsidR="00C51F22" w:rsidRPr="008844AC" w:rsidRDefault="00C51F22"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din care: expuneri aflate sub </w:t>
            </w:r>
            <w:proofErr w:type="spellStart"/>
            <w:r w:rsidRPr="008844AC">
              <w:rPr>
                <w:rFonts w:ascii="Times New Roman" w:eastAsia="Times New Roman" w:hAnsi="Times New Roman" w:cs="Times New Roman"/>
                <w:kern w:val="0"/>
                <w:lang w:eastAsia="ro-MD"/>
                <w14:ligatures w14:val="none"/>
              </w:rPr>
              <w:t>incidenţa</w:t>
            </w:r>
            <w:proofErr w:type="spellEnd"/>
            <w:r w:rsidRPr="008844AC">
              <w:rPr>
                <w:rFonts w:ascii="Times New Roman" w:eastAsia="Times New Roman" w:hAnsi="Times New Roman" w:cs="Times New Roman"/>
                <w:kern w:val="0"/>
                <w:lang w:eastAsia="ro-MD"/>
                <w14:ligatures w14:val="none"/>
              </w:rPr>
              <w:t xml:space="preserve"> utilizării </w:t>
            </w:r>
            <w:proofErr w:type="spellStart"/>
            <w:r w:rsidRPr="008844AC">
              <w:rPr>
                <w:rFonts w:ascii="Times New Roman" w:eastAsia="Times New Roman" w:hAnsi="Times New Roman" w:cs="Times New Roman"/>
                <w:kern w:val="0"/>
                <w:lang w:eastAsia="ro-MD"/>
                <w14:ligatures w14:val="none"/>
              </w:rPr>
              <w:t>parţiale</w:t>
            </w:r>
            <w:proofErr w:type="spellEnd"/>
            <w:r w:rsidRPr="008844AC">
              <w:rPr>
                <w:rFonts w:ascii="Times New Roman" w:eastAsia="Times New Roman" w:hAnsi="Times New Roman" w:cs="Times New Roman"/>
                <w:kern w:val="0"/>
                <w:lang w:eastAsia="ro-MD"/>
                <w14:ligatures w14:val="none"/>
              </w:rPr>
              <w:t xml:space="preserve"> permanente a abordării standardizate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CBF7D7" w14:textId="5760B0E9" w:rsidR="00C51F22" w:rsidRPr="0022564B" w:rsidRDefault="00C51F22" w:rsidP="00D017A7">
            <w:pPr>
              <w:spacing w:after="0" w:line="240" w:lineRule="auto"/>
              <w:jc w:val="center"/>
              <w:rPr>
                <w:rFonts w:ascii="Times New Roman" w:eastAsia="Times New Roman" w:hAnsi="Times New Roman" w:cs="Times New Roman"/>
                <w:color w:val="FF0000"/>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EFADFF" w14:textId="12C2D48C" w:rsidR="00C51F22" w:rsidRPr="0022564B" w:rsidRDefault="00C51F22" w:rsidP="00D017A7">
            <w:pPr>
              <w:spacing w:after="0" w:line="240" w:lineRule="auto"/>
              <w:jc w:val="center"/>
              <w:rPr>
                <w:rFonts w:ascii="Times New Roman" w:eastAsia="Times New Roman" w:hAnsi="Times New Roman" w:cs="Times New Roman"/>
                <w:color w:val="FF0000"/>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F30700" w14:textId="5239E995" w:rsidR="00C51F22" w:rsidRPr="0022564B" w:rsidRDefault="00C51F22" w:rsidP="00D017A7">
            <w:pPr>
              <w:spacing w:after="0" w:line="240" w:lineRule="auto"/>
              <w:jc w:val="center"/>
              <w:rPr>
                <w:rFonts w:ascii="Times New Roman" w:eastAsia="Times New Roman" w:hAnsi="Times New Roman" w:cs="Times New Roman"/>
                <w:color w:val="FF0000"/>
                <w:kern w:val="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604C1C" w14:textId="00017032" w:rsidR="00C51F22" w:rsidRPr="0022564B" w:rsidRDefault="00C51F22" w:rsidP="00D017A7">
            <w:pPr>
              <w:spacing w:after="0" w:line="240" w:lineRule="auto"/>
              <w:jc w:val="center"/>
              <w:rPr>
                <w:rFonts w:ascii="Times New Roman" w:eastAsia="Times New Roman" w:hAnsi="Times New Roman" w:cs="Times New Roman"/>
                <w:color w:val="FF0000"/>
                <w:kern w:val="0"/>
                <w:lang w:eastAsia="ro-MD"/>
                <w14:ligatures w14:val="none"/>
              </w:rPr>
            </w:pPr>
          </w:p>
        </w:tc>
        <w:tc>
          <w:tcPr>
            <w:tcW w:w="510" w:type="pct"/>
            <w:tcBorders>
              <w:top w:val="single" w:sz="6" w:space="0" w:color="000000"/>
              <w:left w:val="single" w:sz="6" w:space="0" w:color="000000"/>
              <w:bottom w:val="single" w:sz="6" w:space="0" w:color="000000"/>
              <w:right w:val="single" w:sz="6" w:space="0" w:color="000000"/>
            </w:tcBorders>
          </w:tcPr>
          <w:p w14:paraId="0B54C875" w14:textId="77777777" w:rsidR="00C51F22" w:rsidRPr="008844AC" w:rsidRDefault="00C51F22" w:rsidP="00D017A7">
            <w:pPr>
              <w:spacing w:after="0" w:line="240" w:lineRule="auto"/>
              <w:jc w:val="center"/>
              <w:rPr>
                <w:rFonts w:ascii="Times New Roman" w:eastAsia="Times New Roman" w:hAnsi="Times New Roman" w:cs="Times New Roman"/>
                <w:kern w:val="0"/>
                <w:lang w:eastAsia="ro-MD"/>
                <w14:ligatures w14:val="none"/>
              </w:rPr>
            </w:pPr>
          </w:p>
        </w:tc>
        <w:tc>
          <w:tcPr>
            <w:tcW w:w="485" w:type="pct"/>
            <w:tcBorders>
              <w:top w:val="single" w:sz="6" w:space="0" w:color="000000"/>
              <w:left w:val="single" w:sz="6" w:space="0" w:color="000000"/>
              <w:bottom w:val="single" w:sz="6" w:space="0" w:color="000000"/>
              <w:right w:val="single" w:sz="6" w:space="0" w:color="000000"/>
            </w:tcBorders>
          </w:tcPr>
          <w:p w14:paraId="4E9AF4C3" w14:textId="77777777" w:rsidR="00C51F22" w:rsidRPr="008844AC" w:rsidRDefault="00C51F22" w:rsidP="00D017A7">
            <w:pPr>
              <w:spacing w:after="0" w:line="240" w:lineRule="auto"/>
              <w:jc w:val="center"/>
              <w:rPr>
                <w:rFonts w:ascii="Times New Roman" w:eastAsia="Times New Roman" w:hAnsi="Times New Roman" w:cs="Times New Roman"/>
                <w:kern w:val="0"/>
                <w:lang w:eastAsia="ro-MD"/>
                <w14:ligatures w14:val="none"/>
              </w:rPr>
            </w:pPr>
          </w:p>
        </w:tc>
        <w:tc>
          <w:tcPr>
            <w:tcW w:w="415" w:type="pct"/>
            <w:tcBorders>
              <w:top w:val="single" w:sz="6" w:space="0" w:color="000000"/>
              <w:left w:val="single" w:sz="6" w:space="0" w:color="000000"/>
              <w:bottom w:val="single" w:sz="6" w:space="0" w:color="000000"/>
              <w:right w:val="single" w:sz="6" w:space="0" w:color="000000"/>
            </w:tcBorders>
          </w:tcPr>
          <w:p w14:paraId="29ACC8E3" w14:textId="77777777" w:rsidR="00C51F22" w:rsidRPr="008844AC" w:rsidRDefault="00C51F22" w:rsidP="00D017A7">
            <w:pPr>
              <w:spacing w:after="0" w:line="240" w:lineRule="auto"/>
              <w:jc w:val="center"/>
              <w:rPr>
                <w:rFonts w:ascii="Times New Roman" w:eastAsia="Times New Roman" w:hAnsi="Times New Roman" w:cs="Times New Roman"/>
                <w:kern w:val="0"/>
                <w:lang w:eastAsia="ro-MD"/>
                <w14:ligatures w14:val="none"/>
              </w:rPr>
            </w:pPr>
          </w:p>
        </w:tc>
      </w:tr>
      <w:tr w:rsidR="00BB3167" w:rsidRPr="008844AC" w14:paraId="07B34E79"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6F4EB" w14:textId="32414679" w:rsidR="00C51F22" w:rsidRPr="008844AC" w:rsidRDefault="00C51F22"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sidR="00895E30">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60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EDE45" w14:textId="000B6020" w:rsidR="00C51F22" w:rsidRPr="008844AC" w:rsidRDefault="00C51F22"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din care: expuneri din cadrul abordării standardizate cu </w:t>
            </w:r>
            <w:r w:rsidR="00AE2BD1" w:rsidRPr="00052914">
              <w:rPr>
                <w:rFonts w:ascii="Times New Roman" w:eastAsia="Times New Roman" w:hAnsi="Times New Roman" w:cs="Times New Roman"/>
                <w:kern w:val="0"/>
                <w:lang w:eastAsia="ro-MD"/>
                <w14:ligatures w14:val="none"/>
              </w:rPr>
              <w:t>aprobarea</w:t>
            </w:r>
            <w:r w:rsidRPr="00690454">
              <w:rPr>
                <w:rFonts w:ascii="Times New Roman" w:eastAsia="Times New Roman" w:hAnsi="Times New Roman" w:cs="Times New Roman"/>
                <w:kern w:val="0"/>
                <w:lang w:eastAsia="ro-MD"/>
                <w14:ligatures w14:val="none"/>
              </w:rPr>
              <w:t xml:space="preserve"> prealabilă</w:t>
            </w:r>
            <w:r w:rsidRPr="008844AC">
              <w:rPr>
                <w:rFonts w:ascii="Times New Roman" w:eastAsia="Times New Roman" w:hAnsi="Times New Roman" w:cs="Times New Roman"/>
                <w:kern w:val="0"/>
                <w:lang w:eastAsia="ro-MD"/>
                <w14:ligatures w14:val="none"/>
              </w:rPr>
              <w:t xml:space="preserve"> a </w:t>
            </w:r>
            <w:proofErr w:type="spellStart"/>
            <w:r w:rsidRPr="008844AC">
              <w:rPr>
                <w:rFonts w:ascii="Times New Roman" w:eastAsia="Times New Roman" w:hAnsi="Times New Roman" w:cs="Times New Roman"/>
                <w:kern w:val="0"/>
                <w:lang w:eastAsia="ro-MD"/>
                <w14:ligatures w14:val="none"/>
              </w:rPr>
              <w:t>autorităţii</w:t>
            </w:r>
            <w:proofErr w:type="spellEnd"/>
            <w:r w:rsidRPr="008844AC">
              <w:rPr>
                <w:rFonts w:ascii="Times New Roman" w:eastAsia="Times New Roman" w:hAnsi="Times New Roman" w:cs="Times New Roman"/>
                <w:kern w:val="0"/>
                <w:lang w:eastAsia="ro-MD"/>
                <w14:ligatures w14:val="none"/>
              </w:rPr>
              <w:t xml:space="preserve"> de supraveghere de a efectua o implementare </w:t>
            </w:r>
            <w:r w:rsidRPr="008844AC">
              <w:rPr>
                <w:rFonts w:ascii="Times New Roman" w:eastAsia="Times New Roman" w:hAnsi="Times New Roman" w:cs="Times New Roman"/>
                <w:kern w:val="0"/>
                <w:lang w:eastAsia="ro-MD"/>
                <w14:ligatures w14:val="none"/>
              </w:rPr>
              <w:lastRenderedPageBreak/>
              <w:t>progresivă a abordării IRB</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41E37E" w14:textId="65D684E5" w:rsidR="00C51F22" w:rsidRPr="0022564B" w:rsidRDefault="00C51F22" w:rsidP="00D017A7">
            <w:pPr>
              <w:spacing w:after="0" w:line="240" w:lineRule="auto"/>
              <w:jc w:val="center"/>
              <w:rPr>
                <w:rFonts w:ascii="Times New Roman" w:eastAsia="Times New Roman" w:hAnsi="Times New Roman" w:cs="Times New Roman"/>
                <w:color w:val="FF0000"/>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C13E4D" w14:textId="5C9BF36D" w:rsidR="00C51F22" w:rsidRPr="0022564B" w:rsidRDefault="00C51F22" w:rsidP="00D017A7">
            <w:pPr>
              <w:spacing w:after="0" w:line="240" w:lineRule="auto"/>
              <w:jc w:val="center"/>
              <w:rPr>
                <w:rFonts w:ascii="Times New Roman" w:eastAsia="Times New Roman" w:hAnsi="Times New Roman" w:cs="Times New Roman"/>
                <w:color w:val="FF0000"/>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7FEE9B" w14:textId="615A3479" w:rsidR="00C51F22" w:rsidRPr="0022564B" w:rsidRDefault="00C51F22" w:rsidP="00D017A7">
            <w:pPr>
              <w:spacing w:after="0" w:line="240" w:lineRule="auto"/>
              <w:jc w:val="center"/>
              <w:rPr>
                <w:rFonts w:ascii="Times New Roman" w:eastAsia="Times New Roman" w:hAnsi="Times New Roman" w:cs="Times New Roman"/>
                <w:color w:val="FF0000"/>
                <w:kern w:val="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F199F4" w14:textId="336FC15F" w:rsidR="00C51F22" w:rsidRPr="0022564B" w:rsidRDefault="00C51F22" w:rsidP="00D017A7">
            <w:pPr>
              <w:spacing w:after="0" w:line="240" w:lineRule="auto"/>
              <w:jc w:val="center"/>
              <w:rPr>
                <w:rFonts w:ascii="Times New Roman" w:eastAsia="Times New Roman" w:hAnsi="Times New Roman" w:cs="Times New Roman"/>
                <w:color w:val="FF0000"/>
                <w:kern w:val="0"/>
                <w:lang w:eastAsia="ro-MD"/>
                <w14:ligatures w14:val="none"/>
              </w:rPr>
            </w:pPr>
          </w:p>
        </w:tc>
        <w:tc>
          <w:tcPr>
            <w:tcW w:w="510" w:type="pct"/>
            <w:tcBorders>
              <w:top w:val="single" w:sz="6" w:space="0" w:color="000000"/>
              <w:left w:val="single" w:sz="6" w:space="0" w:color="000000"/>
              <w:bottom w:val="single" w:sz="6" w:space="0" w:color="000000"/>
              <w:right w:val="single" w:sz="6" w:space="0" w:color="000000"/>
            </w:tcBorders>
          </w:tcPr>
          <w:p w14:paraId="0AAC2A31" w14:textId="77777777" w:rsidR="00C51F22" w:rsidRPr="008844AC" w:rsidRDefault="00C51F22" w:rsidP="00D017A7">
            <w:pPr>
              <w:spacing w:after="0" w:line="240" w:lineRule="auto"/>
              <w:jc w:val="center"/>
              <w:rPr>
                <w:rFonts w:ascii="Times New Roman" w:eastAsia="Times New Roman" w:hAnsi="Times New Roman" w:cs="Times New Roman"/>
                <w:kern w:val="0"/>
                <w:lang w:eastAsia="ro-MD"/>
                <w14:ligatures w14:val="none"/>
              </w:rPr>
            </w:pPr>
          </w:p>
        </w:tc>
        <w:tc>
          <w:tcPr>
            <w:tcW w:w="485" w:type="pct"/>
            <w:tcBorders>
              <w:top w:val="single" w:sz="6" w:space="0" w:color="000000"/>
              <w:left w:val="single" w:sz="6" w:space="0" w:color="000000"/>
              <w:bottom w:val="single" w:sz="6" w:space="0" w:color="000000"/>
              <w:right w:val="single" w:sz="6" w:space="0" w:color="000000"/>
            </w:tcBorders>
          </w:tcPr>
          <w:p w14:paraId="09DB59B8" w14:textId="77777777" w:rsidR="00C51F22" w:rsidRPr="008844AC" w:rsidRDefault="00C51F22" w:rsidP="00D017A7">
            <w:pPr>
              <w:spacing w:after="0" w:line="240" w:lineRule="auto"/>
              <w:jc w:val="center"/>
              <w:rPr>
                <w:rFonts w:ascii="Times New Roman" w:eastAsia="Times New Roman" w:hAnsi="Times New Roman" w:cs="Times New Roman"/>
                <w:kern w:val="0"/>
                <w:lang w:eastAsia="ro-MD"/>
                <w14:ligatures w14:val="none"/>
              </w:rPr>
            </w:pPr>
          </w:p>
        </w:tc>
        <w:tc>
          <w:tcPr>
            <w:tcW w:w="415" w:type="pct"/>
            <w:tcBorders>
              <w:top w:val="single" w:sz="6" w:space="0" w:color="000000"/>
              <w:left w:val="single" w:sz="6" w:space="0" w:color="000000"/>
              <w:bottom w:val="single" w:sz="6" w:space="0" w:color="000000"/>
              <w:right w:val="single" w:sz="6" w:space="0" w:color="000000"/>
            </w:tcBorders>
          </w:tcPr>
          <w:p w14:paraId="3F0D98FF" w14:textId="77777777" w:rsidR="00C51F22" w:rsidRPr="008844AC" w:rsidRDefault="00C51F22" w:rsidP="00D017A7">
            <w:pPr>
              <w:spacing w:after="0" w:line="240" w:lineRule="auto"/>
              <w:jc w:val="center"/>
              <w:rPr>
                <w:rFonts w:ascii="Times New Roman" w:eastAsia="Times New Roman" w:hAnsi="Times New Roman" w:cs="Times New Roman"/>
                <w:kern w:val="0"/>
                <w:lang w:eastAsia="ro-MD"/>
                <w14:ligatures w14:val="none"/>
              </w:rPr>
            </w:pPr>
          </w:p>
        </w:tc>
      </w:tr>
      <w:tr w:rsidR="00690454" w:rsidRPr="00690454" w14:paraId="3173A35E"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D637A6" w14:textId="3CDB542E" w:rsidR="00690454" w:rsidRPr="00052914" w:rsidRDefault="00690454" w:rsidP="00D017A7">
            <w:pPr>
              <w:spacing w:after="0" w:line="240" w:lineRule="auto"/>
              <w:jc w:val="center"/>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0061</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219DEB" w14:textId="24E26077" w:rsidR="00690454" w:rsidRPr="00052914" w:rsidRDefault="00690454" w:rsidP="00D017A7">
            <w:pPr>
              <w:spacing w:after="0" w:line="240" w:lineRule="auto"/>
              <w:rPr>
                <w:rFonts w:ascii="Times New Roman" w:eastAsia="Times New Roman" w:hAnsi="Times New Roman" w:cs="Times New Roman"/>
                <w:kern w:val="0"/>
                <w:lang w:eastAsia="ro-MD"/>
                <w14:ligatures w14:val="none"/>
              </w:rPr>
            </w:pPr>
            <w:r w:rsidRPr="00690454">
              <w:rPr>
                <w:rFonts w:ascii="Times New Roman" w:eastAsia="Times New Roman" w:hAnsi="Times New Roman" w:cs="Times New Roman"/>
                <w:kern w:val="0"/>
                <w:lang w:eastAsia="ro-MD"/>
                <w14:ligatures w14:val="none"/>
              </w:rPr>
              <w:t xml:space="preserve">din care: </w:t>
            </w:r>
            <w:r w:rsidR="00BE2F10">
              <w:rPr>
                <w:rFonts w:ascii="Times New Roman" w:eastAsia="Times New Roman" w:hAnsi="Times New Roman" w:cs="Times New Roman"/>
                <w:kern w:val="0"/>
                <w:lang w:eastAsia="ro-MD"/>
                <w14:ligatures w14:val="none"/>
              </w:rPr>
              <w:t>e</w:t>
            </w:r>
            <w:r w:rsidRPr="00690454">
              <w:rPr>
                <w:rFonts w:ascii="Times New Roman" w:eastAsia="Times New Roman" w:hAnsi="Times New Roman" w:cs="Times New Roman"/>
                <w:kern w:val="0"/>
                <w:lang w:eastAsia="ro-MD"/>
                <w14:ligatures w14:val="none"/>
              </w:rPr>
              <w:t xml:space="preserve">xpuneri IPRE care îndeplinesc oricare dintre condițiile prevăzute </w:t>
            </w:r>
            <w:r w:rsidRPr="00052914">
              <w:rPr>
                <w:rFonts w:ascii="Times New Roman" w:eastAsia="Times New Roman" w:hAnsi="Times New Roman" w:cs="Times New Roman"/>
                <w:kern w:val="0"/>
                <w:lang w:eastAsia="ro-MD"/>
                <w14:ligatures w14:val="none"/>
              </w:rPr>
              <w:t xml:space="preserve">la </w:t>
            </w:r>
            <w:r w:rsidRPr="00052914">
              <w:rPr>
                <w:rStyle w:val="InstructionsTabelleberschrift"/>
                <w:rFonts w:ascii="Times New Roman" w:hAnsi="Times New Roman"/>
                <w:b w:val="0"/>
                <w:bCs w:val="0"/>
                <w:sz w:val="22"/>
                <w:u w:val="none"/>
              </w:rPr>
              <w:t>punctul 66 subpunctul 1) lit. b) din Regulamentul nr. 111/2018</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B40635"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5EDDD1"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708E78"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164884"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c>
          <w:tcPr>
            <w:tcW w:w="510" w:type="pct"/>
            <w:tcBorders>
              <w:top w:val="single" w:sz="6" w:space="0" w:color="000000"/>
              <w:left w:val="single" w:sz="6" w:space="0" w:color="000000"/>
              <w:bottom w:val="single" w:sz="6" w:space="0" w:color="000000"/>
              <w:right w:val="single" w:sz="6" w:space="0" w:color="000000"/>
            </w:tcBorders>
          </w:tcPr>
          <w:p w14:paraId="0AE8CF44"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c>
          <w:tcPr>
            <w:tcW w:w="485" w:type="pct"/>
            <w:tcBorders>
              <w:top w:val="single" w:sz="6" w:space="0" w:color="000000"/>
              <w:left w:val="single" w:sz="6" w:space="0" w:color="000000"/>
              <w:bottom w:val="single" w:sz="6" w:space="0" w:color="000000"/>
              <w:right w:val="single" w:sz="6" w:space="0" w:color="000000"/>
            </w:tcBorders>
          </w:tcPr>
          <w:p w14:paraId="206418FB"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c>
          <w:tcPr>
            <w:tcW w:w="415" w:type="pct"/>
            <w:tcBorders>
              <w:top w:val="single" w:sz="6" w:space="0" w:color="000000"/>
              <w:left w:val="single" w:sz="6" w:space="0" w:color="000000"/>
              <w:bottom w:val="single" w:sz="6" w:space="0" w:color="000000"/>
              <w:right w:val="single" w:sz="6" w:space="0" w:color="000000"/>
            </w:tcBorders>
          </w:tcPr>
          <w:p w14:paraId="3B1F0E48"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r>
      <w:tr w:rsidR="00690454" w:rsidRPr="00690454" w14:paraId="787CA192"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4F245E" w14:textId="6E96139E" w:rsidR="00690454" w:rsidRPr="00052914" w:rsidRDefault="00690454" w:rsidP="00D017A7">
            <w:pPr>
              <w:spacing w:after="0" w:line="240" w:lineRule="auto"/>
              <w:jc w:val="center"/>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0062</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32EE1C" w14:textId="7E6612F6" w:rsidR="00690454" w:rsidRPr="00052914" w:rsidRDefault="00690454" w:rsidP="00D017A7">
            <w:pPr>
              <w:spacing w:after="0" w:line="240" w:lineRule="auto"/>
              <w:rPr>
                <w:rFonts w:ascii="Times New Roman" w:eastAsia="Times New Roman" w:hAnsi="Times New Roman" w:cs="Times New Roman"/>
                <w:kern w:val="0"/>
                <w:lang w:eastAsia="ro-MD"/>
                <w14:ligatures w14:val="none"/>
              </w:rPr>
            </w:pPr>
            <w:r w:rsidRPr="00690454">
              <w:rPr>
                <w:rFonts w:ascii="Times New Roman" w:eastAsia="Times New Roman" w:hAnsi="Times New Roman" w:cs="Times New Roman"/>
                <w:kern w:val="0"/>
                <w:lang w:eastAsia="ro-MD"/>
                <w14:ligatures w14:val="none"/>
              </w:rPr>
              <w:t xml:space="preserve">din care: </w:t>
            </w:r>
            <w:r w:rsidR="00BE2F10">
              <w:rPr>
                <w:rFonts w:ascii="Times New Roman" w:eastAsia="Times New Roman" w:hAnsi="Times New Roman" w:cs="Times New Roman"/>
                <w:kern w:val="0"/>
                <w:lang w:eastAsia="ro-MD"/>
                <w14:ligatures w14:val="none"/>
              </w:rPr>
              <w:t>e</w:t>
            </w:r>
            <w:r w:rsidRPr="00690454">
              <w:rPr>
                <w:rFonts w:ascii="Times New Roman" w:eastAsia="Times New Roman" w:hAnsi="Times New Roman" w:cs="Times New Roman"/>
                <w:kern w:val="0"/>
                <w:lang w:eastAsia="ro-MD"/>
                <w14:ligatures w14:val="none"/>
              </w:rPr>
              <w:t xml:space="preserve">xpuneri IPRE în cazul cărora se aplică derogarea </w:t>
            </w:r>
            <w:r w:rsidRPr="00052914">
              <w:rPr>
                <w:rFonts w:ascii="Times New Roman" w:eastAsia="Times New Roman" w:hAnsi="Times New Roman" w:cs="Times New Roman"/>
                <w:kern w:val="0"/>
                <w:lang w:eastAsia="ro-MD"/>
                <w14:ligatures w14:val="none"/>
              </w:rPr>
              <w:t xml:space="preserve">prevăzută la </w:t>
            </w:r>
            <w:r w:rsidRPr="00052914">
              <w:rPr>
                <w:rStyle w:val="InstructionsTabelleberschrift"/>
                <w:rFonts w:ascii="Times New Roman" w:hAnsi="Times New Roman"/>
                <w:b w:val="0"/>
                <w:bCs w:val="0"/>
                <w:sz w:val="22"/>
                <w:u w:val="none"/>
              </w:rPr>
              <w:t>punctul 70</w:t>
            </w:r>
            <w:r w:rsidRPr="00052914">
              <w:rPr>
                <w:rStyle w:val="InstructionsTabelleberschrift"/>
                <w:rFonts w:ascii="Times New Roman" w:hAnsi="Times New Roman"/>
                <w:b w:val="0"/>
                <w:bCs w:val="0"/>
                <w:sz w:val="22"/>
                <w:u w:val="none"/>
                <w:vertAlign w:val="superscript"/>
              </w:rPr>
              <w:t xml:space="preserve">2 </w:t>
            </w:r>
            <w:r w:rsidRPr="00052914">
              <w:rPr>
                <w:rStyle w:val="InstructionsTabelleberschrift"/>
                <w:rFonts w:ascii="Times New Roman" w:hAnsi="Times New Roman"/>
                <w:b w:val="0"/>
                <w:bCs w:val="0"/>
                <w:sz w:val="22"/>
                <w:u w:val="none"/>
              </w:rPr>
              <w:t>din Regulamentul nr. 111/2018</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E57859"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46AF71"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C57C55"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3FB381"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c>
          <w:tcPr>
            <w:tcW w:w="510" w:type="pct"/>
            <w:tcBorders>
              <w:top w:val="single" w:sz="6" w:space="0" w:color="000000"/>
              <w:left w:val="single" w:sz="6" w:space="0" w:color="000000"/>
              <w:bottom w:val="single" w:sz="6" w:space="0" w:color="000000"/>
              <w:right w:val="single" w:sz="6" w:space="0" w:color="000000"/>
            </w:tcBorders>
          </w:tcPr>
          <w:p w14:paraId="68D6218B"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c>
          <w:tcPr>
            <w:tcW w:w="485" w:type="pct"/>
            <w:tcBorders>
              <w:top w:val="single" w:sz="6" w:space="0" w:color="000000"/>
              <w:left w:val="single" w:sz="6" w:space="0" w:color="000000"/>
              <w:bottom w:val="single" w:sz="6" w:space="0" w:color="000000"/>
              <w:right w:val="single" w:sz="6" w:space="0" w:color="000000"/>
            </w:tcBorders>
          </w:tcPr>
          <w:p w14:paraId="79D1CED9"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c>
          <w:tcPr>
            <w:tcW w:w="415" w:type="pct"/>
            <w:tcBorders>
              <w:top w:val="single" w:sz="6" w:space="0" w:color="000000"/>
              <w:left w:val="single" w:sz="6" w:space="0" w:color="000000"/>
              <w:bottom w:val="single" w:sz="6" w:space="0" w:color="000000"/>
              <w:right w:val="single" w:sz="6" w:space="0" w:color="000000"/>
            </w:tcBorders>
          </w:tcPr>
          <w:p w14:paraId="00F9569E"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r>
      <w:tr w:rsidR="00690454" w:rsidRPr="00690454" w14:paraId="7B1018B4"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4F4464" w14:textId="67E90FBE" w:rsidR="00690454" w:rsidRPr="00052914" w:rsidRDefault="00690454" w:rsidP="00D017A7">
            <w:pPr>
              <w:spacing w:after="0" w:line="240" w:lineRule="auto"/>
              <w:jc w:val="center"/>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0063</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FF9A5A" w14:textId="3C18C45E" w:rsidR="00690454" w:rsidRPr="00052914" w:rsidRDefault="00690454" w:rsidP="00D017A7">
            <w:pPr>
              <w:spacing w:after="0" w:line="240" w:lineRule="auto"/>
              <w:rPr>
                <w:rFonts w:ascii="Times New Roman" w:eastAsia="Times New Roman" w:hAnsi="Times New Roman" w:cs="Times New Roman"/>
                <w:kern w:val="0"/>
                <w:lang w:eastAsia="ro-MD"/>
                <w14:ligatures w14:val="none"/>
              </w:rPr>
            </w:pPr>
            <w:r w:rsidRPr="00690454">
              <w:rPr>
                <w:rFonts w:ascii="Times New Roman" w:eastAsia="Times New Roman" w:hAnsi="Times New Roman" w:cs="Times New Roman"/>
                <w:kern w:val="0"/>
                <w:lang w:eastAsia="ro-MD"/>
                <w14:ligatures w14:val="none"/>
              </w:rPr>
              <w:t xml:space="preserve">din care: </w:t>
            </w:r>
            <w:r w:rsidR="00BE2F10">
              <w:rPr>
                <w:rFonts w:ascii="Times New Roman" w:eastAsia="Times New Roman" w:hAnsi="Times New Roman" w:cs="Times New Roman"/>
                <w:kern w:val="0"/>
                <w:lang w:eastAsia="ro-MD"/>
                <w14:ligatures w14:val="none"/>
              </w:rPr>
              <w:t>e</w:t>
            </w:r>
            <w:r w:rsidRPr="00690454">
              <w:rPr>
                <w:rFonts w:ascii="Times New Roman" w:eastAsia="Times New Roman" w:hAnsi="Times New Roman" w:cs="Times New Roman"/>
                <w:kern w:val="0"/>
                <w:lang w:eastAsia="ro-MD"/>
                <w14:ligatures w14:val="none"/>
              </w:rPr>
              <w:t xml:space="preserve">xpuneri IPRE în cazul cărora se aplică derogarea prevăzută la </w:t>
            </w:r>
            <w:r w:rsidRPr="00690454">
              <w:rPr>
                <w:rStyle w:val="InstructionsTabelleberschrift"/>
                <w:rFonts w:ascii="Times New Roman" w:hAnsi="Times New Roman"/>
                <w:b w:val="0"/>
                <w:bCs w:val="0"/>
                <w:sz w:val="22"/>
                <w:u w:val="none"/>
              </w:rPr>
              <w:t>punctul 72</w:t>
            </w:r>
            <w:r w:rsidRPr="00690454">
              <w:rPr>
                <w:rStyle w:val="InstructionsTabelleberschrift"/>
                <w:rFonts w:ascii="Times New Roman" w:hAnsi="Times New Roman"/>
                <w:b w:val="0"/>
                <w:bCs w:val="0"/>
                <w:sz w:val="22"/>
                <w:u w:val="none"/>
                <w:vertAlign w:val="superscript"/>
              </w:rPr>
              <w:t>2</w:t>
            </w:r>
            <w:r w:rsidRPr="00690454">
              <w:rPr>
                <w:rStyle w:val="InstructionsTabelleberschrift"/>
                <w:rFonts w:ascii="Times New Roman" w:hAnsi="Times New Roman"/>
                <w:b w:val="0"/>
                <w:bCs w:val="0"/>
                <w:sz w:val="22"/>
                <w:u w:val="none"/>
              </w:rPr>
              <w:t xml:space="preserve"> din Regulamentul nr. 111/2018</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D1495B"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F82005"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F1324F"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240061"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c>
          <w:tcPr>
            <w:tcW w:w="510" w:type="pct"/>
            <w:tcBorders>
              <w:top w:val="single" w:sz="6" w:space="0" w:color="000000"/>
              <w:left w:val="single" w:sz="6" w:space="0" w:color="000000"/>
              <w:bottom w:val="single" w:sz="6" w:space="0" w:color="000000"/>
              <w:right w:val="single" w:sz="6" w:space="0" w:color="000000"/>
            </w:tcBorders>
          </w:tcPr>
          <w:p w14:paraId="0B2F5080"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c>
          <w:tcPr>
            <w:tcW w:w="485" w:type="pct"/>
            <w:tcBorders>
              <w:top w:val="single" w:sz="6" w:space="0" w:color="000000"/>
              <w:left w:val="single" w:sz="6" w:space="0" w:color="000000"/>
              <w:bottom w:val="single" w:sz="6" w:space="0" w:color="000000"/>
              <w:right w:val="single" w:sz="6" w:space="0" w:color="000000"/>
            </w:tcBorders>
          </w:tcPr>
          <w:p w14:paraId="312FE803"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c>
          <w:tcPr>
            <w:tcW w:w="415" w:type="pct"/>
            <w:tcBorders>
              <w:top w:val="single" w:sz="6" w:space="0" w:color="000000"/>
              <w:left w:val="single" w:sz="6" w:space="0" w:color="000000"/>
              <w:bottom w:val="single" w:sz="6" w:space="0" w:color="000000"/>
              <w:right w:val="single" w:sz="6" w:space="0" w:color="000000"/>
            </w:tcBorders>
          </w:tcPr>
          <w:p w14:paraId="15E486B2" w14:textId="77777777" w:rsidR="00690454" w:rsidRPr="00690454" w:rsidRDefault="00690454" w:rsidP="00D017A7">
            <w:pPr>
              <w:spacing w:after="0" w:line="240" w:lineRule="auto"/>
              <w:jc w:val="center"/>
              <w:rPr>
                <w:rFonts w:ascii="Times New Roman" w:eastAsia="Times New Roman" w:hAnsi="Times New Roman" w:cs="Times New Roman"/>
                <w:kern w:val="0"/>
                <w:lang w:eastAsia="ro-MD"/>
                <w14:ligatures w14:val="none"/>
              </w:rPr>
            </w:pPr>
          </w:p>
        </w:tc>
      </w:tr>
      <w:tr w:rsidR="008F2E54" w:rsidRPr="008844AC" w14:paraId="06338328"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550262" w14:textId="18264F67" w:rsidR="008F2E54" w:rsidRPr="00052914" w:rsidRDefault="008F2E54" w:rsidP="00D017A7">
            <w:pPr>
              <w:spacing w:after="0" w:line="240" w:lineRule="auto"/>
              <w:jc w:val="center"/>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0</w:t>
            </w:r>
            <w:r w:rsidR="00895E30" w:rsidRPr="00052914">
              <w:rPr>
                <w:rFonts w:ascii="Times New Roman" w:eastAsia="Times New Roman" w:hAnsi="Times New Roman" w:cs="Times New Roman"/>
                <w:kern w:val="0"/>
                <w:lang w:eastAsia="ro-MD"/>
                <w14:ligatures w14:val="none"/>
              </w:rPr>
              <w:t>0</w:t>
            </w:r>
            <w:r w:rsidRPr="00052914">
              <w:rPr>
                <w:rFonts w:ascii="Times New Roman" w:eastAsia="Times New Roman" w:hAnsi="Times New Roman" w:cs="Times New Roman"/>
                <w:kern w:val="0"/>
                <w:lang w:eastAsia="ro-MD"/>
                <w14:ligatures w14:val="none"/>
              </w:rPr>
              <w:t>64</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491A88" w14:textId="226585B1" w:rsidR="008F2E54" w:rsidRPr="00052914" w:rsidRDefault="008F2E54" w:rsidP="00D017A7">
            <w:pPr>
              <w:spacing w:after="0" w:line="240" w:lineRule="auto"/>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 xml:space="preserve">din care: </w:t>
            </w:r>
            <w:r w:rsidR="00BE2F10">
              <w:rPr>
                <w:rFonts w:ascii="Times New Roman" w:eastAsia="Times New Roman" w:hAnsi="Times New Roman" w:cs="Times New Roman"/>
                <w:kern w:val="0"/>
                <w:lang w:eastAsia="ro-MD"/>
                <w14:ligatures w14:val="none"/>
              </w:rPr>
              <w:t>e</w:t>
            </w:r>
            <w:r w:rsidRPr="00052914">
              <w:rPr>
                <w:rFonts w:ascii="Times New Roman" w:eastAsia="Times New Roman" w:hAnsi="Times New Roman" w:cs="Times New Roman"/>
                <w:kern w:val="0"/>
                <w:lang w:eastAsia="ro-MD"/>
                <w14:ligatures w14:val="none"/>
              </w:rPr>
              <w:t>xpuneri din cadrul abordării IRB</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8B9E55" w14:textId="77777777" w:rsidR="008F2E54" w:rsidRPr="008844AC" w:rsidRDefault="008F2E54"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46154B" w14:textId="77777777" w:rsidR="008F2E54" w:rsidRPr="008844AC" w:rsidRDefault="008F2E54"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ABC62C" w14:textId="77777777" w:rsidR="008F2E54" w:rsidRPr="008844AC" w:rsidRDefault="008F2E54" w:rsidP="00D017A7">
            <w:pPr>
              <w:spacing w:after="0" w:line="240" w:lineRule="auto"/>
              <w:jc w:val="center"/>
              <w:rPr>
                <w:rFonts w:ascii="Times New Roman" w:eastAsia="Times New Roman" w:hAnsi="Times New Roman" w:cs="Times New Roman"/>
                <w:kern w:val="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DE5D6D" w14:textId="77777777" w:rsidR="008F2E54" w:rsidRPr="008844AC" w:rsidRDefault="008F2E54" w:rsidP="00D017A7">
            <w:pPr>
              <w:spacing w:after="0" w:line="240" w:lineRule="auto"/>
              <w:jc w:val="center"/>
              <w:rPr>
                <w:rFonts w:ascii="Times New Roman" w:eastAsia="Times New Roman" w:hAnsi="Times New Roman" w:cs="Times New Roman"/>
                <w:kern w:val="0"/>
                <w:lang w:eastAsia="ro-MD"/>
                <w14:ligatures w14:val="none"/>
              </w:rPr>
            </w:pPr>
          </w:p>
        </w:tc>
        <w:tc>
          <w:tcPr>
            <w:tcW w:w="510" w:type="pct"/>
            <w:tcBorders>
              <w:top w:val="single" w:sz="6" w:space="0" w:color="000000"/>
              <w:left w:val="single" w:sz="6" w:space="0" w:color="000000"/>
              <w:bottom w:val="single" w:sz="6" w:space="0" w:color="000000"/>
              <w:right w:val="single" w:sz="6" w:space="0" w:color="000000"/>
            </w:tcBorders>
          </w:tcPr>
          <w:p w14:paraId="4DB2F776" w14:textId="77777777" w:rsidR="008F2E54" w:rsidRPr="008844AC" w:rsidRDefault="008F2E54" w:rsidP="00D017A7">
            <w:pPr>
              <w:spacing w:after="0" w:line="240" w:lineRule="auto"/>
              <w:jc w:val="center"/>
              <w:rPr>
                <w:rFonts w:ascii="Times New Roman" w:eastAsia="Times New Roman" w:hAnsi="Times New Roman" w:cs="Times New Roman"/>
                <w:kern w:val="0"/>
                <w:lang w:eastAsia="ro-MD"/>
                <w14:ligatures w14:val="none"/>
              </w:rPr>
            </w:pPr>
          </w:p>
        </w:tc>
        <w:tc>
          <w:tcPr>
            <w:tcW w:w="485" w:type="pct"/>
            <w:tcBorders>
              <w:top w:val="single" w:sz="6" w:space="0" w:color="000000"/>
              <w:left w:val="single" w:sz="6" w:space="0" w:color="000000"/>
              <w:bottom w:val="single" w:sz="6" w:space="0" w:color="000000"/>
              <w:right w:val="single" w:sz="6" w:space="0" w:color="000000"/>
            </w:tcBorders>
          </w:tcPr>
          <w:p w14:paraId="65CC540A" w14:textId="77777777" w:rsidR="008F2E54" w:rsidRPr="008844AC" w:rsidRDefault="008F2E54" w:rsidP="00D017A7">
            <w:pPr>
              <w:spacing w:after="0" w:line="240" w:lineRule="auto"/>
              <w:jc w:val="center"/>
              <w:rPr>
                <w:rFonts w:ascii="Times New Roman" w:eastAsia="Times New Roman" w:hAnsi="Times New Roman" w:cs="Times New Roman"/>
                <w:kern w:val="0"/>
                <w:lang w:eastAsia="ro-MD"/>
                <w14:ligatures w14:val="none"/>
              </w:rPr>
            </w:pPr>
          </w:p>
        </w:tc>
        <w:tc>
          <w:tcPr>
            <w:tcW w:w="415" w:type="pct"/>
            <w:tcBorders>
              <w:top w:val="single" w:sz="6" w:space="0" w:color="000000"/>
              <w:left w:val="single" w:sz="6" w:space="0" w:color="000000"/>
              <w:bottom w:val="single" w:sz="6" w:space="0" w:color="000000"/>
              <w:right w:val="single" w:sz="6" w:space="0" w:color="000000"/>
            </w:tcBorders>
          </w:tcPr>
          <w:p w14:paraId="6AC0EC3B" w14:textId="77777777" w:rsidR="008F2E54" w:rsidRPr="008844AC" w:rsidRDefault="008F2E54" w:rsidP="00D017A7">
            <w:pPr>
              <w:spacing w:after="0" w:line="240" w:lineRule="auto"/>
              <w:jc w:val="center"/>
              <w:rPr>
                <w:rFonts w:ascii="Times New Roman" w:eastAsia="Times New Roman" w:hAnsi="Times New Roman" w:cs="Times New Roman"/>
                <w:kern w:val="0"/>
                <w:lang w:eastAsia="ro-MD"/>
                <w14:ligatures w14:val="none"/>
              </w:rPr>
            </w:pPr>
          </w:p>
        </w:tc>
      </w:tr>
      <w:tr w:rsidR="008F2E54" w:rsidRPr="008844AC" w14:paraId="15A736C8" w14:textId="77777777" w:rsidTr="00D017A7">
        <w:tc>
          <w:tcPr>
            <w:tcW w:w="5000" w:type="pct"/>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437A9" w14:textId="77777777" w:rsidR="008F2E54" w:rsidRPr="008844AC" w:rsidRDefault="008F2E54"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  </w:t>
            </w:r>
          </w:p>
          <w:p w14:paraId="39B2A66B" w14:textId="6C682B6A" w:rsidR="008F2E54" w:rsidRPr="008844AC" w:rsidRDefault="008F2E54"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DEFALCAREA EXPUNERILOR TOTALE PE TIPURI DE EXPUNERE:</w:t>
            </w:r>
          </w:p>
        </w:tc>
      </w:tr>
      <w:tr w:rsidR="00BB3167" w:rsidRPr="008844AC" w14:paraId="65609121"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D5D50" w14:textId="32A00C33" w:rsidR="00C51F22" w:rsidRPr="008844AC" w:rsidRDefault="00C51F22"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sidR="00895E30">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70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1AAEB" w14:textId="77777777" w:rsidR="00C51F22" w:rsidRPr="008844AC" w:rsidRDefault="00C51F22"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Expuneri </w:t>
            </w:r>
            <w:proofErr w:type="spellStart"/>
            <w:r w:rsidRPr="008844AC">
              <w:rPr>
                <w:rFonts w:ascii="Times New Roman" w:eastAsia="Times New Roman" w:hAnsi="Times New Roman" w:cs="Times New Roman"/>
                <w:kern w:val="0"/>
                <w:lang w:eastAsia="ro-MD"/>
                <w14:ligatures w14:val="none"/>
              </w:rPr>
              <w:t>bilanţiere</w:t>
            </w:r>
            <w:proofErr w:type="spellEnd"/>
            <w:r w:rsidRPr="008844AC">
              <w:rPr>
                <w:rFonts w:ascii="Times New Roman" w:eastAsia="Times New Roman" w:hAnsi="Times New Roman" w:cs="Times New Roman"/>
                <w:kern w:val="0"/>
                <w:lang w:eastAsia="ro-MD"/>
                <w14:ligatures w14:val="none"/>
              </w:rPr>
              <w:t xml:space="preserve"> supuse riscului de credit</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6BF95" w14:textId="77777777" w:rsidR="00C51F22" w:rsidRPr="008844AC" w:rsidRDefault="00C51F22"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0722D"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8E0EB"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97687"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pct"/>
            <w:tcBorders>
              <w:top w:val="single" w:sz="6" w:space="0" w:color="000000"/>
              <w:left w:val="single" w:sz="6" w:space="0" w:color="000000"/>
              <w:bottom w:val="single" w:sz="6" w:space="0" w:color="000000"/>
              <w:right w:val="single" w:sz="6" w:space="0" w:color="000000"/>
            </w:tcBorders>
          </w:tcPr>
          <w:p w14:paraId="79A50D41"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85" w:type="pct"/>
            <w:tcBorders>
              <w:top w:val="single" w:sz="6" w:space="0" w:color="000000"/>
              <w:left w:val="single" w:sz="6" w:space="0" w:color="000000"/>
              <w:bottom w:val="single" w:sz="6" w:space="0" w:color="000000"/>
              <w:right w:val="single" w:sz="6" w:space="0" w:color="000000"/>
            </w:tcBorders>
          </w:tcPr>
          <w:p w14:paraId="4BFA6C40"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15" w:type="pct"/>
            <w:tcBorders>
              <w:top w:val="single" w:sz="6" w:space="0" w:color="000000"/>
              <w:left w:val="single" w:sz="6" w:space="0" w:color="000000"/>
              <w:bottom w:val="single" w:sz="6" w:space="0" w:color="000000"/>
              <w:right w:val="single" w:sz="6" w:space="0" w:color="000000"/>
            </w:tcBorders>
          </w:tcPr>
          <w:p w14:paraId="6117B3FB"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r>
      <w:tr w:rsidR="00BB3167" w:rsidRPr="008844AC" w14:paraId="328C55DD"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C7CE0" w14:textId="245F0080" w:rsidR="00C51F22" w:rsidRPr="008844AC" w:rsidRDefault="00C51F22"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sidR="00895E30">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80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F67B5" w14:textId="77777777" w:rsidR="00C51F22" w:rsidRPr="008844AC" w:rsidRDefault="00C51F22"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Expuneri </w:t>
            </w:r>
            <w:proofErr w:type="spellStart"/>
            <w:r w:rsidRPr="008844AC">
              <w:rPr>
                <w:rFonts w:ascii="Times New Roman" w:eastAsia="Times New Roman" w:hAnsi="Times New Roman" w:cs="Times New Roman"/>
                <w:kern w:val="0"/>
                <w:lang w:eastAsia="ro-MD"/>
                <w14:ligatures w14:val="none"/>
              </w:rPr>
              <w:t>extrabilanţiere</w:t>
            </w:r>
            <w:proofErr w:type="spellEnd"/>
            <w:r w:rsidRPr="008844AC">
              <w:rPr>
                <w:rFonts w:ascii="Times New Roman" w:eastAsia="Times New Roman" w:hAnsi="Times New Roman" w:cs="Times New Roman"/>
                <w:kern w:val="0"/>
                <w:lang w:eastAsia="ro-MD"/>
                <w14:ligatures w14:val="none"/>
              </w:rPr>
              <w:t xml:space="preserve"> supuse riscului de credit</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A456D" w14:textId="77777777" w:rsidR="00C51F22" w:rsidRPr="008844AC" w:rsidRDefault="00C51F22"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622B1"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DADB3"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D9E38"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pct"/>
            <w:tcBorders>
              <w:top w:val="single" w:sz="6" w:space="0" w:color="000000"/>
              <w:left w:val="single" w:sz="6" w:space="0" w:color="000000"/>
              <w:bottom w:val="single" w:sz="6" w:space="0" w:color="000000"/>
              <w:right w:val="single" w:sz="6" w:space="0" w:color="000000"/>
            </w:tcBorders>
          </w:tcPr>
          <w:p w14:paraId="2F5B9D4A"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85" w:type="pct"/>
            <w:tcBorders>
              <w:top w:val="single" w:sz="6" w:space="0" w:color="000000"/>
              <w:left w:val="single" w:sz="6" w:space="0" w:color="000000"/>
              <w:bottom w:val="single" w:sz="6" w:space="0" w:color="000000"/>
              <w:right w:val="single" w:sz="6" w:space="0" w:color="000000"/>
            </w:tcBorders>
          </w:tcPr>
          <w:p w14:paraId="68ADFCA4"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15" w:type="pct"/>
            <w:tcBorders>
              <w:top w:val="single" w:sz="6" w:space="0" w:color="000000"/>
              <w:left w:val="single" w:sz="6" w:space="0" w:color="000000"/>
              <w:bottom w:val="single" w:sz="6" w:space="0" w:color="000000"/>
              <w:right w:val="single" w:sz="6" w:space="0" w:color="000000"/>
            </w:tcBorders>
          </w:tcPr>
          <w:p w14:paraId="75C21AD5"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r>
      <w:tr w:rsidR="00BB3167" w:rsidRPr="008844AC" w14:paraId="111FB636"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6DC1F" w14:textId="77777777" w:rsidR="00C51F22" w:rsidRPr="008844AC" w:rsidRDefault="00C51F22"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76D21" w14:textId="77777777" w:rsidR="00C51F22" w:rsidRPr="00052914" w:rsidRDefault="00C51F22" w:rsidP="00D017A7">
            <w:pPr>
              <w:spacing w:after="0" w:line="240" w:lineRule="auto"/>
              <w:rPr>
                <w:rFonts w:ascii="Times New Roman" w:eastAsia="Times New Roman" w:hAnsi="Times New Roman" w:cs="Times New Roman"/>
                <w:b/>
                <w:bCs/>
                <w:kern w:val="0"/>
                <w:lang w:eastAsia="ro-MD"/>
                <w14:ligatures w14:val="none"/>
              </w:rPr>
            </w:pPr>
            <w:r w:rsidRPr="00052914">
              <w:rPr>
                <w:rFonts w:ascii="Times New Roman" w:eastAsia="Times New Roman" w:hAnsi="Times New Roman" w:cs="Times New Roman"/>
                <w:b/>
                <w:bCs/>
                <w:kern w:val="0"/>
                <w:lang w:eastAsia="ro-MD"/>
                <w14:ligatures w14:val="none"/>
              </w:rPr>
              <w:t>Expuneri/</w:t>
            </w:r>
            <w:proofErr w:type="spellStart"/>
            <w:r w:rsidRPr="00052914">
              <w:rPr>
                <w:rFonts w:ascii="Times New Roman" w:eastAsia="Times New Roman" w:hAnsi="Times New Roman" w:cs="Times New Roman"/>
                <w:b/>
                <w:bCs/>
                <w:kern w:val="0"/>
                <w:lang w:eastAsia="ro-MD"/>
                <w14:ligatures w14:val="none"/>
              </w:rPr>
              <w:t>tranzacţii</w:t>
            </w:r>
            <w:proofErr w:type="spellEnd"/>
            <w:r w:rsidRPr="00052914">
              <w:rPr>
                <w:rFonts w:ascii="Times New Roman" w:eastAsia="Times New Roman" w:hAnsi="Times New Roman" w:cs="Times New Roman"/>
                <w:b/>
                <w:bCs/>
                <w:kern w:val="0"/>
                <w:lang w:eastAsia="ro-MD"/>
                <w14:ligatures w14:val="none"/>
              </w:rPr>
              <w:t xml:space="preserve"> supuse riscului de credit al </w:t>
            </w:r>
            <w:proofErr w:type="spellStart"/>
            <w:r w:rsidRPr="00052914">
              <w:rPr>
                <w:rFonts w:ascii="Times New Roman" w:eastAsia="Times New Roman" w:hAnsi="Times New Roman" w:cs="Times New Roman"/>
                <w:b/>
                <w:bCs/>
                <w:kern w:val="0"/>
                <w:lang w:eastAsia="ro-MD"/>
                <w14:ligatures w14:val="none"/>
              </w:rPr>
              <w:t>contrapărţii</w:t>
            </w:r>
            <w:proofErr w:type="spellEnd"/>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232A0" w14:textId="394C136F" w:rsidR="00C51F22"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D0156" w14:textId="2929C87A" w:rsidR="00C51F22"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91896" w14:textId="753AEBB4" w:rsidR="00C51F22"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0EBE2" w14:textId="46B9D877" w:rsidR="00C51F22"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4486428D" w14:textId="69E1D491" w:rsidR="00C51F22"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6DB3E207" w14:textId="256C98B9" w:rsidR="00C51F22"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28F31956" w14:textId="73812F65" w:rsidR="00C51F22"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r>
      <w:tr w:rsidR="00AE7AA6" w:rsidRPr="008844AC" w14:paraId="480A5770"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DF16A" w14:textId="70FC4A37" w:rsidR="00AE7AA6" w:rsidRPr="008844AC" w:rsidRDefault="00AE7AA6"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sidR="00895E30">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90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32109" w14:textId="597D09F6" w:rsidR="00AE7AA6" w:rsidRPr="008844AC" w:rsidRDefault="00AE7AA6" w:rsidP="00D017A7">
            <w:pPr>
              <w:spacing w:after="0" w:line="240" w:lineRule="auto"/>
              <w:rPr>
                <w:rFonts w:ascii="Times New Roman" w:eastAsia="Times New Roman" w:hAnsi="Times New Roman" w:cs="Times New Roman"/>
                <w:kern w:val="0"/>
                <w:lang w:eastAsia="ro-MD"/>
                <w14:ligatures w14:val="none"/>
              </w:rPr>
            </w:pPr>
            <w:r w:rsidRPr="00AE7AA6">
              <w:rPr>
                <w:rFonts w:ascii="Times New Roman" w:eastAsia="Times New Roman" w:hAnsi="Times New Roman" w:cs="Times New Roman"/>
                <w:kern w:val="0"/>
                <w:lang w:eastAsia="ro-MD"/>
                <w14:ligatures w14:val="none"/>
              </w:rPr>
              <w:t>Seturi de compensare pentru operațiunile de finanțare prin instrumente financiare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73294" w14:textId="3E39161E"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C4F94" w14:textId="6CB90C4A"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5A541" w14:textId="711F75AD"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162D7" w14:textId="13BCEE56"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68199CBC" w14:textId="4B8B6E9D"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399EBA4E" w14:textId="2E971518"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195E0C4B" w14:textId="29145E8C"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r>
      <w:tr w:rsidR="00AE7AA6" w:rsidRPr="008844AC" w14:paraId="5D4BD5BF"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93462" w14:textId="516CBCB4" w:rsidR="00AE7AA6" w:rsidRPr="008844AC" w:rsidRDefault="00895E30"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AE7AA6" w:rsidRPr="008844AC">
              <w:rPr>
                <w:rFonts w:ascii="Times New Roman" w:eastAsia="Times New Roman" w:hAnsi="Times New Roman" w:cs="Times New Roman"/>
                <w:kern w:val="0"/>
                <w:lang w:eastAsia="ro-MD"/>
                <w14:ligatures w14:val="none"/>
              </w:rPr>
              <w:t>100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B857D" w14:textId="77777777" w:rsidR="00AE7AA6" w:rsidRPr="008844AC" w:rsidRDefault="00AE7AA6"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din care: compensate la nivel central printr-o CPCC</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D1036" w14:textId="67843FC0"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3AE94" w14:textId="14200AE8"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D17C4" w14:textId="71F23544"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5964B" w14:textId="35AFB28C"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5F0377C9" w14:textId="27A26690"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2317513C" w14:textId="2E239396"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50941DE6" w14:textId="5E1C11B9"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r>
      <w:tr w:rsidR="00AE7AA6" w:rsidRPr="008844AC" w14:paraId="04E27F17"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3EE62" w14:textId="790B98C1" w:rsidR="00AE7AA6" w:rsidRPr="008844AC" w:rsidRDefault="00895E30"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AE7AA6" w:rsidRPr="008844AC">
              <w:rPr>
                <w:rFonts w:ascii="Times New Roman" w:eastAsia="Times New Roman" w:hAnsi="Times New Roman" w:cs="Times New Roman"/>
                <w:kern w:val="0"/>
                <w:lang w:eastAsia="ro-MD"/>
                <w14:ligatures w14:val="none"/>
              </w:rPr>
              <w:t>110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CF1F4" w14:textId="3A7B1C94" w:rsidR="00AE7AA6" w:rsidRPr="008844AC" w:rsidRDefault="00AE7AA6" w:rsidP="00D017A7">
            <w:pPr>
              <w:spacing w:after="0" w:line="240" w:lineRule="auto"/>
              <w:rPr>
                <w:rFonts w:ascii="Times New Roman" w:eastAsia="Times New Roman" w:hAnsi="Times New Roman" w:cs="Times New Roman"/>
                <w:kern w:val="0"/>
                <w:lang w:eastAsia="ro-MD"/>
                <w14:ligatures w14:val="none"/>
              </w:rPr>
            </w:pPr>
            <w:r w:rsidRPr="00AE7AA6">
              <w:rPr>
                <w:rFonts w:ascii="Times New Roman" w:eastAsia="Times New Roman" w:hAnsi="Times New Roman" w:cs="Times New Roman"/>
                <w:kern w:val="0"/>
                <w:lang w:eastAsia="ro-MD"/>
                <w14:ligatures w14:val="none"/>
              </w:rPr>
              <w:t>Seturi de compensare pentru instrumentele financiare derivate și tranzacțiile cu termen lung de decontare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AFB00" w14:textId="4E7E6CA1"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C1547" w14:textId="7F5E094A"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91C4E" w14:textId="28366673"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FE289" w14:textId="424E14E8"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1B426189" w14:textId="2D032F83"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5CA48E59" w14:textId="09425071"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2FF5D469" w14:textId="42E9CF8C"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r>
      <w:tr w:rsidR="00AE7AA6" w:rsidRPr="008844AC" w14:paraId="6485940D"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238A7" w14:textId="3BBD69ED" w:rsidR="00AE7AA6" w:rsidRPr="008844AC" w:rsidRDefault="00895E30"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AE7AA6" w:rsidRPr="008844AC">
              <w:rPr>
                <w:rFonts w:ascii="Times New Roman" w:eastAsia="Times New Roman" w:hAnsi="Times New Roman" w:cs="Times New Roman"/>
                <w:kern w:val="0"/>
                <w:lang w:eastAsia="ro-MD"/>
                <w14:ligatures w14:val="none"/>
              </w:rPr>
              <w:t>120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400FD" w14:textId="77777777" w:rsidR="00AE7AA6" w:rsidRPr="008844AC" w:rsidRDefault="00AE7AA6"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din care: compensate la nivel central printr-o CPCC</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6A4BC" w14:textId="1217094F"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A7259" w14:textId="05B031F4"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1A70E" w14:textId="6578CA3E"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2C56A" w14:textId="4D6D4D51"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3E4C3AC4" w14:textId="164138F3"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0D774115" w14:textId="3026A467"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330867DF" w14:textId="590B39BC"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r>
      <w:tr w:rsidR="00AE7AA6" w:rsidRPr="008844AC" w14:paraId="038F7590"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D9FD8" w14:textId="0EB257FF" w:rsidR="00AE7AA6" w:rsidRPr="008844AC" w:rsidRDefault="00895E30"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AE7AA6" w:rsidRPr="008844AC">
              <w:rPr>
                <w:rFonts w:ascii="Times New Roman" w:eastAsia="Times New Roman" w:hAnsi="Times New Roman" w:cs="Times New Roman"/>
                <w:kern w:val="0"/>
                <w:lang w:eastAsia="ro-MD"/>
                <w14:ligatures w14:val="none"/>
              </w:rPr>
              <w:t>130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A1B9B" w14:textId="21ADD916" w:rsidR="00AE7AA6" w:rsidRPr="008844AC" w:rsidRDefault="00AE7AA6"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Din </w:t>
            </w:r>
            <w:r w:rsidR="001D169C">
              <w:rPr>
                <w:rFonts w:ascii="Times New Roman" w:eastAsia="Times New Roman" w:hAnsi="Times New Roman" w:cs="Times New Roman"/>
                <w:kern w:val="0"/>
                <w:lang w:eastAsia="ro-MD"/>
                <w14:ligatures w14:val="none"/>
              </w:rPr>
              <w:t xml:space="preserve">seturi de </w:t>
            </w:r>
            <w:r w:rsidRPr="008844AC">
              <w:rPr>
                <w:rFonts w:ascii="Times New Roman" w:eastAsia="Times New Roman" w:hAnsi="Times New Roman" w:cs="Times New Roman"/>
                <w:kern w:val="0"/>
                <w:lang w:eastAsia="ro-MD"/>
                <w14:ligatures w14:val="none"/>
              </w:rPr>
              <w:t>compensări contractuale între produse diferite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1BFC9" w14:textId="49380598"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73785" w14:textId="5568318D"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9B751" w14:textId="0BDE5CE7"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A7BA3" w14:textId="1FE8E7F8"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76B5F48D" w14:textId="410B25F2"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3D73CB58" w14:textId="2E4C092F"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1E4CCE34" w14:textId="13E27E00" w:rsidR="00AE7AA6"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C64C41">
              <w:rPr>
                <w:rFonts w:ascii="Times New Roman" w:eastAsia="Times New Roman" w:hAnsi="Times New Roman" w:cs="Times New Roman"/>
                <w:kern w:val="0"/>
                <w:lang w:eastAsia="ro-MD"/>
                <w14:ligatures w14:val="none"/>
              </w:rPr>
              <w:t>x</w:t>
            </w:r>
          </w:p>
        </w:tc>
      </w:tr>
      <w:tr w:rsidR="00AE7AA6" w:rsidRPr="008844AC" w14:paraId="331D29DA" w14:textId="77777777" w:rsidTr="00D017A7">
        <w:tc>
          <w:tcPr>
            <w:tcW w:w="5000" w:type="pct"/>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80F46" w14:textId="77777777" w:rsidR="00AE7AA6" w:rsidRPr="008844AC" w:rsidRDefault="00AE7AA6"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  </w:t>
            </w:r>
          </w:p>
          <w:p w14:paraId="69DBDF94" w14:textId="593EBDAE" w:rsidR="00AE7AA6" w:rsidRPr="008844AC" w:rsidRDefault="00AE7AA6"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DEFALCAREA EXPUNERILOR TOTALE PE PONDERI DE RISC:</w:t>
            </w:r>
          </w:p>
        </w:tc>
      </w:tr>
      <w:tr w:rsidR="0022564B" w:rsidRPr="008844AC" w14:paraId="6B1BC7A6"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B580E" w14:textId="438AA3B3" w:rsidR="0022564B" w:rsidRPr="008844AC" w:rsidRDefault="00895E30"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22564B" w:rsidRPr="008844AC">
              <w:rPr>
                <w:rFonts w:ascii="Times New Roman" w:eastAsia="Times New Roman" w:hAnsi="Times New Roman" w:cs="Times New Roman"/>
                <w:kern w:val="0"/>
                <w:lang w:eastAsia="ro-MD"/>
                <w14:ligatures w14:val="none"/>
              </w:rPr>
              <w:t>140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DCBFA"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72D2E"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D30B9"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32272"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D1EFF" w14:textId="27C44803"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65DADD39" w14:textId="3DE5D5EF"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1865C394" w14:textId="65E81FE5"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130CBF83" w14:textId="036D4444"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16441779"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71AF3" w14:textId="484F94AD" w:rsidR="0022564B" w:rsidRPr="008844AC" w:rsidRDefault="00895E30"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lastRenderedPageBreak/>
              <w:t>0</w:t>
            </w:r>
            <w:r w:rsidR="0022564B" w:rsidRPr="008844AC">
              <w:rPr>
                <w:rFonts w:ascii="Times New Roman" w:eastAsia="Times New Roman" w:hAnsi="Times New Roman" w:cs="Times New Roman"/>
                <w:kern w:val="0"/>
                <w:lang w:eastAsia="ro-MD"/>
                <w14:ligatures w14:val="none"/>
              </w:rPr>
              <w:t>150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1A8A2"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2%</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8F05D9" w14:textId="5A5114F5" w:rsidR="0022564B" w:rsidRPr="008844AC" w:rsidRDefault="0022564B"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E03C1D" w14:textId="6CBAEE33" w:rsidR="0022564B" w:rsidRPr="008844AC" w:rsidRDefault="0022564B"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6ED5B1" w14:textId="6528E3E0" w:rsidR="0022564B" w:rsidRPr="008844AC" w:rsidRDefault="0022564B" w:rsidP="00D017A7">
            <w:pPr>
              <w:spacing w:after="0" w:line="240" w:lineRule="auto"/>
              <w:jc w:val="center"/>
              <w:rPr>
                <w:rFonts w:ascii="Times New Roman" w:eastAsia="Times New Roman" w:hAnsi="Times New Roman" w:cs="Times New Roman"/>
                <w:kern w:val="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8A0C5" w14:textId="6F7D36EA"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000C8B9F" w14:textId="62B17730"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7C55155F" w14:textId="3B37C9A8"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6721C9B5" w14:textId="41E91DA0"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3554BD6C"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533F4" w14:textId="6B69C38A" w:rsidR="0022564B" w:rsidRPr="008844AC" w:rsidRDefault="00895E30"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22564B" w:rsidRPr="008844AC">
              <w:rPr>
                <w:rFonts w:ascii="Times New Roman" w:eastAsia="Times New Roman" w:hAnsi="Times New Roman" w:cs="Times New Roman"/>
                <w:kern w:val="0"/>
                <w:lang w:eastAsia="ro-MD"/>
                <w14:ligatures w14:val="none"/>
              </w:rPr>
              <w:t>160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6FDEA"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4%</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A7F7E4" w14:textId="215E8D93" w:rsidR="0022564B" w:rsidRPr="008844AC" w:rsidRDefault="0022564B"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DD9F4D" w14:textId="0D9B7EDD" w:rsidR="0022564B" w:rsidRPr="008844AC" w:rsidRDefault="0022564B"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350CA9" w14:textId="739DF3B6" w:rsidR="0022564B" w:rsidRPr="008844AC" w:rsidRDefault="0022564B" w:rsidP="00D017A7">
            <w:pPr>
              <w:spacing w:after="0" w:line="240" w:lineRule="auto"/>
              <w:jc w:val="center"/>
              <w:rPr>
                <w:rFonts w:ascii="Times New Roman" w:eastAsia="Times New Roman" w:hAnsi="Times New Roman" w:cs="Times New Roman"/>
                <w:kern w:val="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3985F" w14:textId="6A07FBE9"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25693A6C" w14:textId="01F2CADD"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50F306C4" w14:textId="416FD5DB"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16577CA0" w14:textId="1CD705BB"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5207DA21"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3B406" w14:textId="7F823503" w:rsidR="0022564B" w:rsidRPr="008844AC" w:rsidRDefault="00895E30"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22564B" w:rsidRPr="008844AC">
              <w:rPr>
                <w:rFonts w:ascii="Times New Roman" w:eastAsia="Times New Roman" w:hAnsi="Times New Roman" w:cs="Times New Roman"/>
                <w:kern w:val="0"/>
                <w:lang w:eastAsia="ro-MD"/>
                <w14:ligatures w14:val="none"/>
              </w:rPr>
              <w:t>170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E1136"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10%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F725F2"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77B33F"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2434F5"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04FE7" w14:textId="257C91D1"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26D633E6" w14:textId="1814B485"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0291D660" w14:textId="4D139745"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2FD9CFDB" w14:textId="0639E4BC"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302589DC"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7FF1B" w14:textId="66594786" w:rsidR="0022564B" w:rsidRPr="008844AC" w:rsidRDefault="00895E30"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22564B" w:rsidRPr="008844AC">
              <w:rPr>
                <w:rFonts w:ascii="Times New Roman" w:eastAsia="Times New Roman" w:hAnsi="Times New Roman" w:cs="Times New Roman"/>
                <w:kern w:val="0"/>
                <w:lang w:eastAsia="ro-MD"/>
                <w14:ligatures w14:val="none"/>
              </w:rPr>
              <w:t>180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25D7D"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20%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996478"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B02456"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6EE1C9"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8E776" w14:textId="476F7E65"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7534750D" w14:textId="035237F2"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787B7618" w14:textId="17C8F73B"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336E7905" w14:textId="78501517"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5B001630"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0F9A04" w14:textId="059B92EC"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185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94412D" w14:textId="1144121B" w:rsidR="0022564B" w:rsidRPr="00E91D07" w:rsidRDefault="0022564B"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30%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953E41"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821476"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57CC56"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46AE13" w14:textId="2056CE99"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3D90D689" w14:textId="6D9A26D1"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7883121E" w14:textId="42091F5B"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575B0C9F" w14:textId="1998BCD7"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415E055A"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69CFB" w14:textId="10CF37CB"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190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11DC8" w14:textId="77777777" w:rsidR="0022564B" w:rsidRPr="00E91D07" w:rsidRDefault="0022564B"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35%</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C037E8" w14:textId="5CC4EED5" w:rsidR="0022564B" w:rsidRPr="008844AC" w:rsidRDefault="0022564B"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2D863D" w14:textId="53396AD9" w:rsidR="0022564B" w:rsidRPr="008844AC" w:rsidRDefault="0022564B"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83AC87" w14:textId="4369F71A" w:rsidR="0022564B" w:rsidRPr="008844AC" w:rsidRDefault="0022564B" w:rsidP="00D017A7">
            <w:pPr>
              <w:spacing w:after="0" w:line="240" w:lineRule="auto"/>
              <w:jc w:val="center"/>
              <w:rPr>
                <w:rFonts w:ascii="Times New Roman" w:eastAsia="Times New Roman" w:hAnsi="Times New Roman" w:cs="Times New Roman"/>
                <w:kern w:val="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E6CC5" w14:textId="463ED318"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5C1F7E1B" w14:textId="54D7EF01"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3F35C905" w14:textId="364149C5"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0D6D9E49" w14:textId="079CB1A1"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140030FF"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5F7419" w14:textId="34013FA4"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195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F5B114" w14:textId="2D906819" w:rsidR="0022564B" w:rsidRPr="00E91D07" w:rsidRDefault="0022564B"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40%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974FD8" w14:textId="77777777" w:rsidR="0022564B" w:rsidRPr="008844AC" w:rsidRDefault="0022564B"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DEC372" w14:textId="77777777" w:rsidR="0022564B" w:rsidRPr="008844AC" w:rsidRDefault="0022564B"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FCCC2C" w14:textId="77777777" w:rsidR="0022564B" w:rsidRPr="008844AC" w:rsidRDefault="0022564B" w:rsidP="00D017A7">
            <w:pPr>
              <w:spacing w:after="0" w:line="240" w:lineRule="auto"/>
              <w:jc w:val="center"/>
              <w:rPr>
                <w:rFonts w:ascii="Times New Roman" w:eastAsia="Times New Roman" w:hAnsi="Times New Roman" w:cs="Times New Roman"/>
                <w:kern w:val="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319311" w14:textId="2595D80A"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74E3E058" w14:textId="560B315B"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652282C2" w14:textId="44A118FB"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77FF30CD" w14:textId="33046D92"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04965A32"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8BDC86" w14:textId="66B72AA5"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196</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97DFC4" w14:textId="67202672" w:rsidR="0022564B" w:rsidRPr="00E91D07" w:rsidRDefault="0022564B"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45%</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7028EF" w14:textId="77777777" w:rsidR="0022564B" w:rsidRPr="008844AC" w:rsidRDefault="0022564B"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DF44A5" w14:textId="77777777" w:rsidR="0022564B" w:rsidRPr="008844AC" w:rsidRDefault="0022564B"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595678" w14:textId="77777777" w:rsidR="0022564B" w:rsidRPr="008844AC" w:rsidRDefault="0022564B" w:rsidP="00D017A7">
            <w:pPr>
              <w:spacing w:after="0" w:line="240" w:lineRule="auto"/>
              <w:jc w:val="center"/>
              <w:rPr>
                <w:rFonts w:ascii="Times New Roman" w:eastAsia="Times New Roman" w:hAnsi="Times New Roman" w:cs="Times New Roman"/>
                <w:kern w:val="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56FC0F" w14:textId="40052255"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43108359" w14:textId="28B4B8BB"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6B8BB423" w14:textId="2E7BF66C"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698A9581" w14:textId="4E12C18B"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721125F3"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01553" w14:textId="1A87A0E8"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200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F03DE" w14:textId="77777777" w:rsidR="0022564B" w:rsidRPr="00E91D07" w:rsidRDefault="0022564B"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50%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43902"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BE801"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045F4"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88872" w14:textId="1D519208"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52B738FB" w14:textId="2FFB7968"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5A11DE88" w14:textId="4652D51C"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7A92F014" w14:textId="412E5F50"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3BCA0705"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3BF3ED" w14:textId="7D9D06B0"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205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09B259" w14:textId="3235F328" w:rsidR="0022564B" w:rsidRPr="00E91D07" w:rsidRDefault="0022564B"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60%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0BE5DC"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7E077C"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F1DC5E"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9FBE18" w14:textId="6F22B1F7"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394C5E2F" w14:textId="53F49262"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41C60525" w14:textId="76B1E046"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64C02EA3" w14:textId="148EF2CE"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12E28014"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9D0B1" w14:textId="6CA2DD15"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210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7E20E" w14:textId="77777777" w:rsidR="0022564B" w:rsidRPr="00E91D07" w:rsidRDefault="0022564B"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70%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7FF11" w14:textId="2C7BFADD"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0E9B2" w14:textId="490AD8F6"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2262E" w14:textId="5EB48829"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FAEB9" w14:textId="5FB0630B"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029E93ED" w14:textId="512FBB43"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189D9EBA" w14:textId="5A7D2998"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71DEFED1" w14:textId="4E9E3A85"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3CE8016D"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84554" w14:textId="727F3EB2"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220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8549F" w14:textId="77777777" w:rsidR="0022564B" w:rsidRPr="00E91D07" w:rsidRDefault="0022564B"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75%</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33EF0"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25B9A"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0D153"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B47B4" w14:textId="281A3B47"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047A831C" w14:textId="4C660B6A"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6B047DEB" w14:textId="3FB2F6E0"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265F9BC8" w14:textId="0B45D38C"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1B7044D2"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33F960" w14:textId="65274BDF"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225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F2A73A" w14:textId="68CFC028" w:rsidR="0022564B" w:rsidRPr="00E91D07" w:rsidRDefault="0022564B"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80%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061D41"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9D47DD"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DACFCA"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623E71" w14:textId="4B8401BD"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12024886" w14:textId="1551F5EA"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7CA4FD7D" w14:textId="1E97E307"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609DA92E" w14:textId="02FF1778"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39A1274C"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E6BE69" w14:textId="6C063318"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226</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23AA5E" w14:textId="76143CB0" w:rsidR="0022564B" w:rsidRPr="00E91D07" w:rsidRDefault="0022564B"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90%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4BCB64"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C67CBE"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AC4E73"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4A9248" w14:textId="5A22A9D5"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2CDA9B6A" w14:textId="15FF3093"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59890161" w14:textId="1B823C69"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7806D833" w14:textId="338DF142"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0F1E4E76"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B8E29" w14:textId="74925911"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230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99363" w14:textId="77777777" w:rsidR="0022564B" w:rsidRPr="00E91D07" w:rsidRDefault="0022564B"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100%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8044B"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9AE75"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65FB3"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21B6B" w14:textId="658E9499"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01E283A2" w14:textId="3571A22A"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69E09452" w14:textId="7D336358"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67A71004" w14:textId="6E63748B"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7F7B0358"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D2062D" w14:textId="06FAA13D"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231</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43C331" w14:textId="6DBF5DB4" w:rsidR="0022564B" w:rsidRPr="00E91D07" w:rsidRDefault="0022564B"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105%</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A3F648"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2C0CEF"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F91281"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47A4FF" w14:textId="1E50B779"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7F91A512" w14:textId="77B6F4FE"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1176ACF6" w14:textId="2B1DDD5E"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10D611F1" w14:textId="3845AACE"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794A9E07"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4CBAE7" w14:textId="38C8DE17"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232</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AB1B11" w14:textId="373DC0B8" w:rsidR="0022564B" w:rsidRPr="00E91D07" w:rsidRDefault="0022564B"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110%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3A2B47"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9AFCEF"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E65B3B"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46AA64" w14:textId="69BB39F5"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0503B4DE" w14:textId="2068EA2E"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7A3E69E8" w14:textId="58CF7EFE"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4771F180" w14:textId="7BCE3114"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006EAE4E"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FB95D0" w14:textId="51644DC0"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235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AF2342" w14:textId="7AADE811" w:rsidR="0022564B" w:rsidRPr="00E91D07" w:rsidRDefault="0022564B"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130%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E85486"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FF5F56"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F94B19"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C2C471" w14:textId="4CDCF4B9"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7EF6EC07" w14:textId="0212D1FF"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61C9C599" w14:textId="7DC437B3"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14AE5E91" w14:textId="063EC28C"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4B8EF1CB"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4B2A7" w14:textId="09FF7701"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240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66378" w14:textId="77777777" w:rsidR="0022564B" w:rsidRPr="00E91D07" w:rsidRDefault="0022564B"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150%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2D247"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9C5E9"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A4681"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F6196" w14:textId="70767F3D"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46CF7D1A" w14:textId="44D791B4"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20FF29F9" w14:textId="46DC2A32"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77F9F73E" w14:textId="7C2EB536"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791AE025"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EE4B8" w14:textId="2404CB25"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250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936DF" w14:textId="77777777" w:rsidR="0022564B" w:rsidRPr="00E91D07" w:rsidRDefault="0022564B"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250%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ABC2F"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25999"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42C9B"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0110C" w14:textId="18C9766B"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2FCAD1ED" w14:textId="75FD2BA5"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12E43F67" w14:textId="33478DD9"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5960FEC6" w14:textId="7CA93803"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8A3A78" w:rsidRPr="008844AC" w14:paraId="0217D30C"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5F310" w14:textId="16F0C2D2" w:rsidR="008A3A78" w:rsidRPr="00E91D07" w:rsidRDefault="008A3A78"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0260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A7DF6" w14:textId="77777777" w:rsidR="008A3A78" w:rsidRPr="00E91D07" w:rsidRDefault="008A3A78"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370%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5F1557" w14:textId="02FA482D" w:rsidR="008A3A78"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453431">
              <w:rPr>
                <w:rFonts w:ascii="Times New Roman" w:eastAsia="Times New Roman" w:hAnsi="Times New Roman" w:cs="Times New Roman"/>
                <w:kern w:val="0"/>
                <w:lang w:eastAsia="ro-MD"/>
                <w14:ligatures w14:val="none"/>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C295AF" w14:textId="287F49E7" w:rsidR="008A3A78"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453431">
              <w:rPr>
                <w:rFonts w:ascii="Times New Roman" w:eastAsia="Times New Roman" w:hAnsi="Times New Roman" w:cs="Times New Roman"/>
                <w:kern w:val="0"/>
                <w:lang w:eastAsia="ro-MD"/>
                <w14:ligatures w14:val="none"/>
              </w:rPr>
              <w:t>x</w:t>
            </w: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F4FD58" w14:textId="41F03B45" w:rsidR="008A3A78"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453431">
              <w:rPr>
                <w:rFonts w:ascii="Times New Roman" w:eastAsia="Times New Roman" w:hAnsi="Times New Roman" w:cs="Times New Roman"/>
                <w:kern w:val="0"/>
                <w:lang w:eastAsia="ro-MD"/>
                <w14:ligatures w14:val="none"/>
              </w:rPr>
              <w:t>x</w:t>
            </w: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7D73C" w14:textId="0B36C9F4" w:rsidR="008A3A78"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4EF90777" w14:textId="067FF2A8" w:rsidR="008A3A78"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42A04502" w14:textId="352AAFEF" w:rsidR="008A3A78"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19844355" w14:textId="06EBFE43" w:rsidR="008A3A78"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6F64B536"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7EAE38" w14:textId="4199251A"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265</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EE8B08" w14:textId="27A5943C" w:rsidR="0022564B" w:rsidRPr="00E91D07" w:rsidRDefault="0022564B"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400%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58B94D" w14:textId="77777777" w:rsidR="0022564B" w:rsidRPr="008844AC" w:rsidRDefault="0022564B"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C9A180" w14:textId="77777777" w:rsidR="0022564B" w:rsidRPr="008844AC" w:rsidRDefault="0022564B" w:rsidP="00D017A7">
            <w:pPr>
              <w:spacing w:after="0" w:line="240" w:lineRule="auto"/>
              <w:jc w:val="center"/>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45A63B" w14:textId="77777777" w:rsidR="0022564B" w:rsidRPr="008844AC" w:rsidRDefault="0022564B" w:rsidP="00D017A7">
            <w:pPr>
              <w:spacing w:after="0" w:line="240" w:lineRule="auto"/>
              <w:jc w:val="center"/>
              <w:rPr>
                <w:rFonts w:ascii="Times New Roman" w:eastAsia="Times New Roman" w:hAnsi="Times New Roman" w:cs="Times New Roman"/>
                <w:kern w:val="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0713A7" w14:textId="7F2D7082"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5489CEED" w14:textId="3C4A0693"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45D42B18" w14:textId="18B7C617"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77861F1E" w14:textId="250663CB"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1CBE0C84"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82B8E" w14:textId="4CB5F8EB" w:rsidR="0022564B" w:rsidRPr="008844AC" w:rsidRDefault="00895E30"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22564B" w:rsidRPr="008844AC">
              <w:rPr>
                <w:rFonts w:ascii="Times New Roman" w:eastAsia="Times New Roman" w:hAnsi="Times New Roman" w:cs="Times New Roman"/>
                <w:kern w:val="0"/>
                <w:lang w:eastAsia="ro-MD"/>
                <w14:ligatures w14:val="none"/>
              </w:rPr>
              <w:t>270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BC945" w14:textId="77777777" w:rsidR="0022564B" w:rsidRPr="0022564B" w:rsidRDefault="0022564B" w:rsidP="00D017A7">
            <w:pPr>
              <w:spacing w:after="0" w:line="240" w:lineRule="auto"/>
              <w:rPr>
                <w:rFonts w:ascii="Times New Roman" w:eastAsia="Times New Roman" w:hAnsi="Times New Roman" w:cs="Times New Roman"/>
                <w:kern w:val="0"/>
                <w:lang w:val="ro-RO" w:eastAsia="ro-MD"/>
                <w14:ligatures w14:val="none"/>
              </w:rPr>
            </w:pPr>
            <w:r w:rsidRPr="008844AC">
              <w:rPr>
                <w:rFonts w:ascii="Times New Roman" w:eastAsia="Times New Roman" w:hAnsi="Times New Roman" w:cs="Times New Roman"/>
                <w:kern w:val="0"/>
                <w:lang w:eastAsia="ro-MD"/>
                <w14:ligatures w14:val="none"/>
              </w:rPr>
              <w:t>1000%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52F04"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962DB"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21A17"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FB67A" w14:textId="0AE6A72B"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4D584328" w14:textId="3C7C4E83"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4E153165" w14:textId="3B69F102"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1E14BDB2" w14:textId="0C330FAC"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8844AC" w14:paraId="04EF45C6"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2D5EE" w14:textId="229B816B" w:rsidR="0022564B" w:rsidRPr="008844AC" w:rsidRDefault="00895E30"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22564B" w:rsidRPr="008844AC">
              <w:rPr>
                <w:rFonts w:ascii="Times New Roman" w:eastAsia="Times New Roman" w:hAnsi="Times New Roman" w:cs="Times New Roman"/>
                <w:kern w:val="0"/>
                <w:lang w:eastAsia="ro-MD"/>
                <w14:ligatures w14:val="none"/>
              </w:rPr>
              <w:t>280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5EB39"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Alte ponderi de risc</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DA26E"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D1CB1"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29E20"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8F3B5" w14:textId="283F6907"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621A6EE6" w14:textId="3F1671BC"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2B1D490B" w14:textId="75FAB923"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1D87FC85" w14:textId="699A2E5C"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579AC">
              <w:rPr>
                <w:rFonts w:ascii="Times New Roman" w:eastAsia="Times New Roman" w:hAnsi="Times New Roman" w:cs="Times New Roman"/>
                <w:kern w:val="0"/>
                <w:lang w:eastAsia="ro-MD"/>
                <w14:ligatures w14:val="none"/>
              </w:rPr>
              <w:t>x</w:t>
            </w:r>
          </w:p>
        </w:tc>
      </w:tr>
      <w:tr w:rsidR="0022564B" w:rsidRPr="00030347" w14:paraId="53AE1680" w14:textId="77777777" w:rsidTr="00D017A7">
        <w:tc>
          <w:tcPr>
            <w:tcW w:w="5000" w:type="pct"/>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1072A2" w14:textId="77777777" w:rsidR="0022564B" w:rsidRPr="00E91D07" w:rsidRDefault="0022564B" w:rsidP="00D017A7">
            <w:pPr>
              <w:spacing w:after="0" w:line="240" w:lineRule="auto"/>
              <w:rPr>
                <w:rFonts w:ascii="Times New Roman" w:eastAsia="Times New Roman" w:hAnsi="Times New Roman" w:cs="Times New Roman"/>
                <w:b/>
                <w:bCs/>
                <w:kern w:val="0"/>
                <w:lang w:eastAsia="ro-MD"/>
                <w14:ligatures w14:val="none"/>
              </w:rPr>
            </w:pPr>
          </w:p>
          <w:p w14:paraId="3E7CC569" w14:textId="0A5725F5" w:rsidR="0022564B" w:rsidRPr="00E91D07" w:rsidRDefault="0022564B" w:rsidP="00D017A7">
            <w:pPr>
              <w:spacing w:after="0" w:line="240" w:lineRule="auto"/>
              <w:rPr>
                <w:rFonts w:ascii="Times New Roman" w:eastAsia="Times New Roman" w:hAnsi="Times New Roman" w:cs="Times New Roman"/>
                <w:b/>
                <w:bCs/>
                <w:kern w:val="0"/>
                <w:lang w:eastAsia="ro-MD"/>
                <w14:ligatures w14:val="none"/>
              </w:rPr>
            </w:pPr>
            <w:r w:rsidRPr="00E91D07">
              <w:rPr>
                <w:rFonts w:ascii="Times New Roman" w:eastAsia="Times New Roman" w:hAnsi="Times New Roman" w:cs="Times New Roman"/>
                <w:b/>
                <w:bCs/>
                <w:kern w:val="0"/>
                <w:lang w:eastAsia="ro-MD"/>
                <w14:ligatures w14:val="none"/>
              </w:rPr>
              <w:t>DEFALCAREA EXPUNERILOR TOTALE ÎN FUNCȚIE DE ABORDARE (OPC):</w:t>
            </w:r>
          </w:p>
        </w:tc>
      </w:tr>
      <w:tr w:rsidR="0022564B" w:rsidRPr="00030347" w14:paraId="33469C3F"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E2999D" w14:textId="54D9AC2D"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281</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2BE59D" w14:textId="576F2535" w:rsidR="0022564B" w:rsidRPr="00E91D07" w:rsidRDefault="00906FA9"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Abordarea de tip look-</w:t>
            </w:r>
            <w:proofErr w:type="spellStart"/>
            <w:r w:rsidRPr="00E91D07">
              <w:rPr>
                <w:rFonts w:ascii="Times New Roman" w:eastAsia="Times New Roman" w:hAnsi="Times New Roman" w:cs="Times New Roman"/>
                <w:kern w:val="0"/>
                <w:lang w:eastAsia="ro-MD"/>
                <w14:ligatures w14:val="none"/>
              </w:rPr>
              <w:t>through</w:t>
            </w:r>
            <w:proofErr w:type="spellEnd"/>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14A01C" w14:textId="77777777" w:rsidR="0022564B" w:rsidRPr="00030347" w:rsidRDefault="0022564B" w:rsidP="00D017A7">
            <w:pPr>
              <w:spacing w:after="0" w:line="240" w:lineRule="auto"/>
              <w:rPr>
                <w:rFonts w:ascii="Times New Roman" w:eastAsia="Times New Roman" w:hAnsi="Times New Roman" w:cs="Times New Roman"/>
                <w:kern w:val="0"/>
                <w:highlight w:val="yellow"/>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4F377A" w14:textId="77777777" w:rsidR="0022564B" w:rsidRPr="00030347" w:rsidRDefault="0022564B" w:rsidP="00D017A7">
            <w:pPr>
              <w:spacing w:after="0" w:line="240" w:lineRule="auto"/>
              <w:jc w:val="center"/>
              <w:rPr>
                <w:rFonts w:ascii="Times New Roman" w:eastAsia="Times New Roman" w:hAnsi="Times New Roman" w:cs="Times New Roman"/>
                <w:kern w:val="0"/>
                <w:sz w:val="20"/>
                <w:szCs w:val="20"/>
                <w:highlight w:val="yellow"/>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100CF9" w14:textId="77777777" w:rsidR="0022564B" w:rsidRPr="00030347" w:rsidRDefault="0022564B" w:rsidP="00D017A7">
            <w:pPr>
              <w:spacing w:after="0" w:line="240" w:lineRule="auto"/>
              <w:jc w:val="center"/>
              <w:rPr>
                <w:rFonts w:ascii="Times New Roman" w:eastAsia="Times New Roman" w:hAnsi="Times New Roman" w:cs="Times New Roman"/>
                <w:kern w:val="0"/>
                <w:sz w:val="20"/>
                <w:szCs w:val="20"/>
                <w:highlight w:val="yellow"/>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CE9B80" w14:textId="77777777" w:rsidR="0022564B" w:rsidRPr="00030347" w:rsidRDefault="0022564B" w:rsidP="00D017A7">
            <w:pPr>
              <w:spacing w:after="0" w:line="240" w:lineRule="auto"/>
              <w:jc w:val="center"/>
              <w:rPr>
                <w:rFonts w:ascii="Times New Roman" w:eastAsia="Times New Roman" w:hAnsi="Times New Roman" w:cs="Times New Roman"/>
                <w:kern w:val="0"/>
                <w:highlight w:val="yellow"/>
                <w:lang w:eastAsia="ro-MD"/>
                <w14:ligatures w14:val="none"/>
              </w:rPr>
            </w:pPr>
          </w:p>
        </w:tc>
        <w:tc>
          <w:tcPr>
            <w:tcW w:w="510" w:type="pct"/>
            <w:tcBorders>
              <w:top w:val="single" w:sz="6" w:space="0" w:color="000000"/>
              <w:left w:val="single" w:sz="6" w:space="0" w:color="000000"/>
              <w:bottom w:val="single" w:sz="6" w:space="0" w:color="000000"/>
              <w:right w:val="single" w:sz="6" w:space="0" w:color="000000"/>
            </w:tcBorders>
          </w:tcPr>
          <w:p w14:paraId="74305EAE" w14:textId="77777777" w:rsidR="0022564B" w:rsidRPr="00030347" w:rsidRDefault="0022564B" w:rsidP="00D017A7">
            <w:pPr>
              <w:spacing w:after="0" w:line="240" w:lineRule="auto"/>
              <w:jc w:val="center"/>
              <w:rPr>
                <w:rFonts w:ascii="Times New Roman" w:eastAsia="Times New Roman" w:hAnsi="Times New Roman" w:cs="Times New Roman"/>
                <w:kern w:val="0"/>
                <w:highlight w:val="yellow"/>
                <w:lang w:eastAsia="ro-MD"/>
                <w14:ligatures w14:val="none"/>
              </w:rPr>
            </w:pPr>
          </w:p>
        </w:tc>
        <w:tc>
          <w:tcPr>
            <w:tcW w:w="485" w:type="pct"/>
            <w:tcBorders>
              <w:top w:val="single" w:sz="6" w:space="0" w:color="000000"/>
              <w:left w:val="single" w:sz="6" w:space="0" w:color="000000"/>
              <w:bottom w:val="single" w:sz="6" w:space="0" w:color="000000"/>
              <w:right w:val="single" w:sz="6" w:space="0" w:color="000000"/>
            </w:tcBorders>
          </w:tcPr>
          <w:p w14:paraId="7EAD299A" w14:textId="77777777" w:rsidR="0022564B" w:rsidRPr="00030347" w:rsidRDefault="0022564B" w:rsidP="00D017A7">
            <w:pPr>
              <w:spacing w:after="0" w:line="240" w:lineRule="auto"/>
              <w:jc w:val="center"/>
              <w:rPr>
                <w:rFonts w:ascii="Times New Roman" w:eastAsia="Times New Roman" w:hAnsi="Times New Roman" w:cs="Times New Roman"/>
                <w:kern w:val="0"/>
                <w:highlight w:val="yellow"/>
                <w:lang w:eastAsia="ro-MD"/>
                <w14:ligatures w14:val="none"/>
              </w:rPr>
            </w:pPr>
          </w:p>
        </w:tc>
        <w:tc>
          <w:tcPr>
            <w:tcW w:w="415" w:type="pct"/>
            <w:tcBorders>
              <w:top w:val="single" w:sz="6" w:space="0" w:color="000000"/>
              <w:left w:val="single" w:sz="6" w:space="0" w:color="000000"/>
              <w:bottom w:val="single" w:sz="6" w:space="0" w:color="000000"/>
              <w:right w:val="single" w:sz="6" w:space="0" w:color="000000"/>
            </w:tcBorders>
          </w:tcPr>
          <w:p w14:paraId="5421E477" w14:textId="77777777" w:rsidR="0022564B" w:rsidRPr="00030347" w:rsidRDefault="0022564B" w:rsidP="00D017A7">
            <w:pPr>
              <w:spacing w:after="0" w:line="240" w:lineRule="auto"/>
              <w:jc w:val="center"/>
              <w:rPr>
                <w:rFonts w:ascii="Times New Roman" w:eastAsia="Times New Roman" w:hAnsi="Times New Roman" w:cs="Times New Roman"/>
                <w:kern w:val="0"/>
                <w:highlight w:val="yellow"/>
                <w:lang w:eastAsia="ro-MD"/>
                <w14:ligatures w14:val="none"/>
              </w:rPr>
            </w:pPr>
          </w:p>
        </w:tc>
      </w:tr>
      <w:tr w:rsidR="0022564B" w:rsidRPr="00030347" w14:paraId="498441E9"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8842C0" w14:textId="5068402F"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282</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75600C" w14:textId="59109BC1" w:rsidR="0022564B" w:rsidRPr="00E91D07" w:rsidRDefault="00906FA9"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Abordarea pe bază de mandat</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F26ADA" w14:textId="77777777" w:rsidR="0022564B" w:rsidRPr="00030347" w:rsidRDefault="0022564B" w:rsidP="00D017A7">
            <w:pPr>
              <w:spacing w:after="0" w:line="240" w:lineRule="auto"/>
              <w:rPr>
                <w:rFonts w:ascii="Times New Roman" w:eastAsia="Times New Roman" w:hAnsi="Times New Roman" w:cs="Times New Roman"/>
                <w:kern w:val="0"/>
                <w:highlight w:val="yellow"/>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F9F368" w14:textId="77777777" w:rsidR="0022564B" w:rsidRPr="00030347" w:rsidRDefault="0022564B" w:rsidP="00D017A7">
            <w:pPr>
              <w:spacing w:after="0" w:line="240" w:lineRule="auto"/>
              <w:jc w:val="center"/>
              <w:rPr>
                <w:rFonts w:ascii="Times New Roman" w:eastAsia="Times New Roman" w:hAnsi="Times New Roman" w:cs="Times New Roman"/>
                <w:kern w:val="0"/>
                <w:sz w:val="20"/>
                <w:szCs w:val="20"/>
                <w:highlight w:val="yellow"/>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FB97D4" w14:textId="77777777" w:rsidR="0022564B" w:rsidRPr="00030347" w:rsidRDefault="0022564B" w:rsidP="00D017A7">
            <w:pPr>
              <w:spacing w:after="0" w:line="240" w:lineRule="auto"/>
              <w:jc w:val="center"/>
              <w:rPr>
                <w:rFonts w:ascii="Times New Roman" w:eastAsia="Times New Roman" w:hAnsi="Times New Roman" w:cs="Times New Roman"/>
                <w:kern w:val="0"/>
                <w:sz w:val="20"/>
                <w:szCs w:val="20"/>
                <w:highlight w:val="yellow"/>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FC5896" w14:textId="77777777" w:rsidR="0022564B" w:rsidRPr="00030347" w:rsidRDefault="0022564B" w:rsidP="00D017A7">
            <w:pPr>
              <w:spacing w:after="0" w:line="240" w:lineRule="auto"/>
              <w:jc w:val="center"/>
              <w:rPr>
                <w:rFonts w:ascii="Times New Roman" w:eastAsia="Times New Roman" w:hAnsi="Times New Roman" w:cs="Times New Roman"/>
                <w:kern w:val="0"/>
                <w:highlight w:val="yellow"/>
                <w:lang w:eastAsia="ro-MD"/>
                <w14:ligatures w14:val="none"/>
              </w:rPr>
            </w:pPr>
          </w:p>
        </w:tc>
        <w:tc>
          <w:tcPr>
            <w:tcW w:w="510" w:type="pct"/>
            <w:tcBorders>
              <w:top w:val="single" w:sz="6" w:space="0" w:color="000000"/>
              <w:left w:val="single" w:sz="6" w:space="0" w:color="000000"/>
              <w:bottom w:val="single" w:sz="6" w:space="0" w:color="000000"/>
              <w:right w:val="single" w:sz="6" w:space="0" w:color="000000"/>
            </w:tcBorders>
          </w:tcPr>
          <w:p w14:paraId="08DF5D28" w14:textId="77777777" w:rsidR="0022564B" w:rsidRPr="00030347" w:rsidRDefault="0022564B" w:rsidP="00D017A7">
            <w:pPr>
              <w:spacing w:after="0" w:line="240" w:lineRule="auto"/>
              <w:jc w:val="center"/>
              <w:rPr>
                <w:rFonts w:ascii="Times New Roman" w:eastAsia="Times New Roman" w:hAnsi="Times New Roman" w:cs="Times New Roman"/>
                <w:kern w:val="0"/>
                <w:highlight w:val="yellow"/>
                <w:lang w:eastAsia="ro-MD"/>
                <w14:ligatures w14:val="none"/>
              </w:rPr>
            </w:pPr>
          </w:p>
        </w:tc>
        <w:tc>
          <w:tcPr>
            <w:tcW w:w="485" w:type="pct"/>
            <w:tcBorders>
              <w:top w:val="single" w:sz="6" w:space="0" w:color="000000"/>
              <w:left w:val="single" w:sz="6" w:space="0" w:color="000000"/>
              <w:bottom w:val="single" w:sz="6" w:space="0" w:color="000000"/>
              <w:right w:val="single" w:sz="6" w:space="0" w:color="000000"/>
            </w:tcBorders>
          </w:tcPr>
          <w:p w14:paraId="7C057D7A" w14:textId="77777777" w:rsidR="0022564B" w:rsidRPr="00030347" w:rsidRDefault="0022564B" w:rsidP="00D017A7">
            <w:pPr>
              <w:spacing w:after="0" w:line="240" w:lineRule="auto"/>
              <w:jc w:val="center"/>
              <w:rPr>
                <w:rFonts w:ascii="Times New Roman" w:eastAsia="Times New Roman" w:hAnsi="Times New Roman" w:cs="Times New Roman"/>
                <w:kern w:val="0"/>
                <w:highlight w:val="yellow"/>
                <w:lang w:eastAsia="ro-MD"/>
                <w14:ligatures w14:val="none"/>
              </w:rPr>
            </w:pPr>
          </w:p>
        </w:tc>
        <w:tc>
          <w:tcPr>
            <w:tcW w:w="415" w:type="pct"/>
            <w:tcBorders>
              <w:top w:val="single" w:sz="6" w:space="0" w:color="000000"/>
              <w:left w:val="single" w:sz="6" w:space="0" w:color="000000"/>
              <w:bottom w:val="single" w:sz="6" w:space="0" w:color="000000"/>
              <w:right w:val="single" w:sz="6" w:space="0" w:color="000000"/>
            </w:tcBorders>
          </w:tcPr>
          <w:p w14:paraId="79ABA921" w14:textId="77777777" w:rsidR="0022564B" w:rsidRPr="00030347" w:rsidRDefault="0022564B" w:rsidP="00D017A7">
            <w:pPr>
              <w:spacing w:after="0" w:line="240" w:lineRule="auto"/>
              <w:jc w:val="center"/>
              <w:rPr>
                <w:rFonts w:ascii="Times New Roman" w:eastAsia="Times New Roman" w:hAnsi="Times New Roman" w:cs="Times New Roman"/>
                <w:kern w:val="0"/>
                <w:highlight w:val="yellow"/>
                <w:lang w:eastAsia="ro-MD"/>
                <w14:ligatures w14:val="none"/>
              </w:rPr>
            </w:pPr>
          </w:p>
        </w:tc>
      </w:tr>
      <w:tr w:rsidR="0022564B" w:rsidRPr="00030347" w14:paraId="56B9D132"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DE4F0D" w14:textId="5B4BCC65" w:rsidR="0022564B" w:rsidRPr="00E91D07" w:rsidRDefault="00895E30" w:rsidP="00D017A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2564B" w:rsidRPr="00E91D07">
              <w:rPr>
                <w:rFonts w:ascii="Times New Roman" w:eastAsia="Times New Roman" w:hAnsi="Times New Roman" w:cs="Times New Roman"/>
                <w:kern w:val="0"/>
                <w:lang w:eastAsia="ro-MD"/>
                <w14:ligatures w14:val="none"/>
              </w:rPr>
              <w:t>283</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8B5F57" w14:textId="687C8879" w:rsidR="0022564B" w:rsidRPr="00E91D07" w:rsidRDefault="00906FA9" w:rsidP="00D017A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Abordarea de rezervă (</w:t>
            </w:r>
            <w:proofErr w:type="spellStart"/>
            <w:r w:rsidRPr="00E91D07">
              <w:rPr>
                <w:rFonts w:ascii="Times New Roman" w:eastAsia="Times New Roman" w:hAnsi="Times New Roman" w:cs="Times New Roman"/>
                <w:kern w:val="0"/>
                <w:lang w:eastAsia="ro-MD"/>
                <w14:ligatures w14:val="none"/>
              </w:rPr>
              <w:t>fall</w:t>
            </w:r>
            <w:proofErr w:type="spellEnd"/>
            <w:r w:rsidRPr="00E91D07">
              <w:rPr>
                <w:rFonts w:ascii="Times New Roman" w:eastAsia="Times New Roman" w:hAnsi="Times New Roman" w:cs="Times New Roman"/>
                <w:kern w:val="0"/>
                <w:lang w:eastAsia="ro-MD"/>
                <w14:ligatures w14:val="none"/>
              </w:rPr>
              <w:t>-back)</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D58098" w14:textId="77777777" w:rsidR="0022564B" w:rsidRPr="00030347" w:rsidRDefault="0022564B" w:rsidP="00D017A7">
            <w:pPr>
              <w:spacing w:after="0" w:line="240" w:lineRule="auto"/>
              <w:rPr>
                <w:rFonts w:ascii="Times New Roman" w:eastAsia="Times New Roman" w:hAnsi="Times New Roman" w:cs="Times New Roman"/>
                <w:kern w:val="0"/>
                <w:highlight w:val="yellow"/>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B327F4" w14:textId="77777777" w:rsidR="0022564B" w:rsidRPr="00030347" w:rsidRDefault="0022564B" w:rsidP="00D017A7">
            <w:pPr>
              <w:spacing w:after="0" w:line="240" w:lineRule="auto"/>
              <w:jc w:val="center"/>
              <w:rPr>
                <w:rFonts w:ascii="Times New Roman" w:eastAsia="Times New Roman" w:hAnsi="Times New Roman" w:cs="Times New Roman"/>
                <w:kern w:val="0"/>
                <w:sz w:val="20"/>
                <w:szCs w:val="20"/>
                <w:highlight w:val="yellow"/>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108238" w14:textId="77777777" w:rsidR="0022564B" w:rsidRPr="00030347" w:rsidRDefault="0022564B" w:rsidP="00D017A7">
            <w:pPr>
              <w:spacing w:after="0" w:line="240" w:lineRule="auto"/>
              <w:jc w:val="center"/>
              <w:rPr>
                <w:rFonts w:ascii="Times New Roman" w:eastAsia="Times New Roman" w:hAnsi="Times New Roman" w:cs="Times New Roman"/>
                <w:kern w:val="0"/>
                <w:sz w:val="20"/>
                <w:szCs w:val="20"/>
                <w:highlight w:val="yellow"/>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60A298" w14:textId="77777777" w:rsidR="0022564B" w:rsidRPr="00030347" w:rsidRDefault="0022564B" w:rsidP="00D017A7">
            <w:pPr>
              <w:spacing w:after="0" w:line="240" w:lineRule="auto"/>
              <w:jc w:val="center"/>
              <w:rPr>
                <w:rFonts w:ascii="Times New Roman" w:eastAsia="Times New Roman" w:hAnsi="Times New Roman" w:cs="Times New Roman"/>
                <w:kern w:val="0"/>
                <w:highlight w:val="yellow"/>
                <w:lang w:eastAsia="ro-MD"/>
                <w14:ligatures w14:val="none"/>
              </w:rPr>
            </w:pPr>
          </w:p>
        </w:tc>
        <w:tc>
          <w:tcPr>
            <w:tcW w:w="510" w:type="pct"/>
            <w:tcBorders>
              <w:top w:val="single" w:sz="6" w:space="0" w:color="000000"/>
              <w:left w:val="single" w:sz="6" w:space="0" w:color="000000"/>
              <w:bottom w:val="single" w:sz="6" w:space="0" w:color="000000"/>
              <w:right w:val="single" w:sz="6" w:space="0" w:color="000000"/>
            </w:tcBorders>
          </w:tcPr>
          <w:p w14:paraId="114A6BA0" w14:textId="77777777" w:rsidR="0022564B" w:rsidRPr="00030347" w:rsidRDefault="0022564B" w:rsidP="00D017A7">
            <w:pPr>
              <w:spacing w:after="0" w:line="240" w:lineRule="auto"/>
              <w:jc w:val="center"/>
              <w:rPr>
                <w:rFonts w:ascii="Times New Roman" w:eastAsia="Times New Roman" w:hAnsi="Times New Roman" w:cs="Times New Roman"/>
                <w:kern w:val="0"/>
                <w:highlight w:val="yellow"/>
                <w:lang w:eastAsia="ro-MD"/>
                <w14:ligatures w14:val="none"/>
              </w:rPr>
            </w:pPr>
          </w:p>
        </w:tc>
        <w:tc>
          <w:tcPr>
            <w:tcW w:w="485" w:type="pct"/>
            <w:tcBorders>
              <w:top w:val="single" w:sz="6" w:space="0" w:color="000000"/>
              <w:left w:val="single" w:sz="6" w:space="0" w:color="000000"/>
              <w:bottom w:val="single" w:sz="6" w:space="0" w:color="000000"/>
              <w:right w:val="single" w:sz="6" w:space="0" w:color="000000"/>
            </w:tcBorders>
          </w:tcPr>
          <w:p w14:paraId="6F0F9AC2" w14:textId="77777777" w:rsidR="0022564B" w:rsidRPr="00030347" w:rsidRDefault="0022564B" w:rsidP="00D017A7">
            <w:pPr>
              <w:spacing w:after="0" w:line="240" w:lineRule="auto"/>
              <w:jc w:val="center"/>
              <w:rPr>
                <w:rFonts w:ascii="Times New Roman" w:eastAsia="Times New Roman" w:hAnsi="Times New Roman" w:cs="Times New Roman"/>
                <w:kern w:val="0"/>
                <w:highlight w:val="yellow"/>
                <w:lang w:eastAsia="ro-MD"/>
                <w14:ligatures w14:val="none"/>
              </w:rPr>
            </w:pPr>
          </w:p>
        </w:tc>
        <w:tc>
          <w:tcPr>
            <w:tcW w:w="415" w:type="pct"/>
            <w:tcBorders>
              <w:top w:val="single" w:sz="6" w:space="0" w:color="000000"/>
              <w:left w:val="single" w:sz="6" w:space="0" w:color="000000"/>
              <w:bottom w:val="single" w:sz="6" w:space="0" w:color="000000"/>
              <w:right w:val="single" w:sz="6" w:space="0" w:color="000000"/>
            </w:tcBorders>
          </w:tcPr>
          <w:p w14:paraId="44B1092D" w14:textId="77777777" w:rsidR="0022564B" w:rsidRPr="00030347" w:rsidRDefault="0022564B" w:rsidP="00D017A7">
            <w:pPr>
              <w:spacing w:after="0" w:line="240" w:lineRule="auto"/>
              <w:jc w:val="center"/>
              <w:rPr>
                <w:rFonts w:ascii="Times New Roman" w:eastAsia="Times New Roman" w:hAnsi="Times New Roman" w:cs="Times New Roman"/>
                <w:kern w:val="0"/>
                <w:highlight w:val="yellow"/>
                <w:lang w:eastAsia="ro-MD"/>
                <w14:ligatures w14:val="none"/>
              </w:rPr>
            </w:pPr>
          </w:p>
        </w:tc>
      </w:tr>
      <w:tr w:rsidR="0022564B" w:rsidRPr="008844AC" w14:paraId="64CAA27E" w14:textId="77777777" w:rsidTr="00D017A7">
        <w:tc>
          <w:tcPr>
            <w:tcW w:w="5000" w:type="pct"/>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D3316"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  </w:t>
            </w:r>
          </w:p>
          <w:p w14:paraId="3F381000" w14:textId="779DC03C"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ELEMENTE MEMORANDUM</w:t>
            </w:r>
          </w:p>
        </w:tc>
      </w:tr>
      <w:tr w:rsidR="0022564B" w:rsidRPr="008844AC" w14:paraId="62603953"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8BB73" w14:textId="5B71E96D" w:rsidR="0022564B" w:rsidRPr="008844AC" w:rsidRDefault="00895E30"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22564B" w:rsidRPr="008844AC">
              <w:rPr>
                <w:rFonts w:ascii="Times New Roman" w:eastAsia="Times New Roman" w:hAnsi="Times New Roman" w:cs="Times New Roman"/>
                <w:kern w:val="0"/>
                <w:lang w:eastAsia="ro-MD"/>
                <w14:ligatures w14:val="none"/>
              </w:rPr>
              <w:t>290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C1866"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Expuneri garantate cu ipoteci asupra bunurilor imobile comerciale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0D0ED"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C0610"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1784A"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09EFA" w14:textId="7B6129D3"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35BFAC78" w14:textId="482C3F59"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5773C9">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154854A8" w14:textId="2BEBFCAF"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5773C9">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12E47B70" w14:textId="7E55D899"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5773C9">
              <w:rPr>
                <w:rFonts w:ascii="Times New Roman" w:eastAsia="Times New Roman" w:hAnsi="Times New Roman" w:cs="Times New Roman"/>
                <w:kern w:val="0"/>
                <w:lang w:eastAsia="ro-MD"/>
                <w14:ligatures w14:val="none"/>
              </w:rPr>
              <w:t>x</w:t>
            </w:r>
          </w:p>
        </w:tc>
      </w:tr>
      <w:tr w:rsidR="0022564B" w:rsidRPr="008844AC" w14:paraId="1D876A98"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4037D" w14:textId="6C694D5C" w:rsidR="0022564B" w:rsidRPr="008844AC" w:rsidRDefault="00895E30"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22564B" w:rsidRPr="008844AC">
              <w:rPr>
                <w:rFonts w:ascii="Times New Roman" w:eastAsia="Times New Roman" w:hAnsi="Times New Roman" w:cs="Times New Roman"/>
                <w:kern w:val="0"/>
                <w:lang w:eastAsia="ro-MD"/>
                <w14:ligatures w14:val="none"/>
              </w:rPr>
              <w:t>300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6A031"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Expuneri în stare de nerambursare supuse unei ponderi de risc de 100%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C19BE"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472B9"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22835"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D3C9E" w14:textId="073EB698"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52BB3830" w14:textId="01CA55F4"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5773C9">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73676B84" w14:textId="7DC137AF"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5773C9">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61949E3D" w14:textId="35F04AE3"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5773C9">
              <w:rPr>
                <w:rFonts w:ascii="Times New Roman" w:eastAsia="Times New Roman" w:hAnsi="Times New Roman" w:cs="Times New Roman"/>
                <w:kern w:val="0"/>
                <w:lang w:eastAsia="ro-MD"/>
                <w14:ligatures w14:val="none"/>
              </w:rPr>
              <w:t>x</w:t>
            </w:r>
          </w:p>
        </w:tc>
      </w:tr>
      <w:tr w:rsidR="0022564B" w:rsidRPr="008844AC" w14:paraId="1CE25475"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11A4A" w14:textId="10873A83" w:rsidR="0022564B" w:rsidRPr="008844AC" w:rsidRDefault="00895E30"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22564B" w:rsidRPr="008844AC">
              <w:rPr>
                <w:rFonts w:ascii="Times New Roman" w:eastAsia="Times New Roman" w:hAnsi="Times New Roman" w:cs="Times New Roman"/>
                <w:kern w:val="0"/>
                <w:lang w:eastAsia="ro-MD"/>
                <w14:ligatures w14:val="none"/>
              </w:rPr>
              <w:t>310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A7740"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Expuneri garantate cu ipoteci asupra bunurilor imobile locative</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DC185"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5DB1D"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3D288"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093EE" w14:textId="63B320C9"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6537FA35" w14:textId="440E5CDE"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5773C9">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2F86C0E9" w14:textId="7D8A117B"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5773C9">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5FA37592" w14:textId="4C5E422E"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5773C9">
              <w:rPr>
                <w:rFonts w:ascii="Times New Roman" w:eastAsia="Times New Roman" w:hAnsi="Times New Roman" w:cs="Times New Roman"/>
                <w:kern w:val="0"/>
                <w:lang w:eastAsia="ro-MD"/>
                <w14:ligatures w14:val="none"/>
              </w:rPr>
              <w:t>x</w:t>
            </w:r>
          </w:p>
        </w:tc>
      </w:tr>
      <w:tr w:rsidR="0022564B" w:rsidRPr="008844AC" w14:paraId="12A67724"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ECDFE" w14:textId="5DEB5863" w:rsidR="0022564B" w:rsidRPr="008844AC" w:rsidRDefault="00895E30"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22564B" w:rsidRPr="008844AC">
              <w:rPr>
                <w:rFonts w:ascii="Times New Roman" w:eastAsia="Times New Roman" w:hAnsi="Times New Roman" w:cs="Times New Roman"/>
                <w:kern w:val="0"/>
                <w:lang w:eastAsia="ro-MD"/>
                <w14:ligatures w14:val="none"/>
              </w:rPr>
              <w:t>320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159AB"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Expuneri în stare de nerambursare supuse unei ponderi de risc de 150%</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9F181" w14:textId="77777777" w:rsidR="0022564B" w:rsidRPr="008844AC" w:rsidRDefault="0022564B"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2A96C"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A599E" w14:textId="77777777" w:rsidR="0022564B" w:rsidRPr="008844AC" w:rsidRDefault="0022564B"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CE3E1" w14:textId="2B93DB82"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2E8F14A4" w14:textId="02A0467D"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5773C9">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4217B29E" w14:textId="3BC67569"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5773C9">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222C257A" w14:textId="6E8FAE1E" w:rsidR="0022564B"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sidRPr="005773C9">
              <w:rPr>
                <w:rFonts w:ascii="Times New Roman" w:eastAsia="Times New Roman" w:hAnsi="Times New Roman" w:cs="Times New Roman"/>
                <w:kern w:val="0"/>
                <w:lang w:eastAsia="ro-MD"/>
                <w14:ligatures w14:val="none"/>
              </w:rPr>
              <w:t>x</w:t>
            </w:r>
          </w:p>
        </w:tc>
      </w:tr>
      <w:tr w:rsidR="008373B4" w:rsidRPr="008844AC" w14:paraId="5D2C4E08" w14:textId="77777777" w:rsidTr="00D017A7">
        <w:tc>
          <w:tcPr>
            <w:tcW w:w="4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384FA0" w14:textId="7EDE68B8" w:rsidR="008373B4" w:rsidRDefault="008373B4"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0330</w:t>
            </w:r>
          </w:p>
        </w:tc>
        <w:tc>
          <w:tcPr>
            <w:tcW w:w="126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5350B8" w14:textId="16721F37" w:rsidR="008373B4" w:rsidRPr="008844AC" w:rsidRDefault="008373B4" w:rsidP="00D017A7">
            <w:pPr>
              <w:spacing w:after="0" w:line="240" w:lineRule="auto"/>
              <w:rPr>
                <w:rFonts w:ascii="Times New Roman" w:eastAsia="Times New Roman" w:hAnsi="Times New Roman" w:cs="Times New Roman"/>
                <w:kern w:val="0"/>
                <w:lang w:eastAsia="ro-MD"/>
                <w14:ligatures w14:val="none"/>
              </w:rPr>
            </w:pPr>
            <w:r w:rsidRPr="008373B4">
              <w:rPr>
                <w:rFonts w:ascii="Times New Roman" w:eastAsia="Times New Roman" w:hAnsi="Times New Roman" w:cs="Times New Roman"/>
                <w:kern w:val="0"/>
                <w:lang w:eastAsia="ro-MD"/>
                <w14:ligatures w14:val="none"/>
              </w:rPr>
              <w:t>Achiziții, dezvoltare și construcții (ADC)</w:t>
            </w:r>
          </w:p>
        </w:tc>
        <w:tc>
          <w:tcPr>
            <w:tcW w:w="53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4C610A" w14:textId="77777777" w:rsidR="008373B4" w:rsidRPr="008844AC" w:rsidRDefault="008373B4" w:rsidP="00D017A7">
            <w:pPr>
              <w:spacing w:after="0" w:line="240" w:lineRule="auto"/>
              <w:rPr>
                <w:rFonts w:ascii="Times New Roman" w:eastAsia="Times New Roman" w:hAnsi="Times New Roman" w:cs="Times New Roman"/>
                <w:kern w:val="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337559" w14:textId="77777777" w:rsidR="008373B4" w:rsidRPr="008844AC" w:rsidRDefault="008373B4"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298ED1" w14:textId="77777777" w:rsidR="008373B4" w:rsidRPr="008844AC" w:rsidRDefault="008373B4" w:rsidP="00D017A7">
            <w:pPr>
              <w:spacing w:after="0" w:line="240" w:lineRule="auto"/>
              <w:jc w:val="center"/>
              <w:rPr>
                <w:rFonts w:ascii="Times New Roman" w:eastAsia="Times New Roman" w:hAnsi="Times New Roman" w:cs="Times New Roman"/>
                <w:kern w:val="0"/>
                <w:sz w:val="20"/>
                <w:szCs w:val="20"/>
                <w:lang w:eastAsia="ro-MD"/>
                <w14:ligatures w14:val="none"/>
              </w:rPr>
            </w:pPr>
          </w:p>
        </w:tc>
        <w:tc>
          <w:tcPr>
            <w:tcW w:w="4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58C1F3" w14:textId="39B4646C" w:rsidR="008373B4" w:rsidRPr="008844AC" w:rsidRDefault="000006E9"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10" w:type="pct"/>
            <w:tcBorders>
              <w:top w:val="single" w:sz="6" w:space="0" w:color="000000"/>
              <w:left w:val="single" w:sz="6" w:space="0" w:color="000000"/>
              <w:bottom w:val="single" w:sz="6" w:space="0" w:color="000000"/>
              <w:right w:val="single" w:sz="6" w:space="0" w:color="000000"/>
            </w:tcBorders>
          </w:tcPr>
          <w:p w14:paraId="19157D84" w14:textId="5BE159A7" w:rsidR="008373B4" w:rsidRPr="005773C9" w:rsidRDefault="000006E9"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485" w:type="pct"/>
            <w:tcBorders>
              <w:top w:val="single" w:sz="6" w:space="0" w:color="000000"/>
              <w:left w:val="single" w:sz="6" w:space="0" w:color="000000"/>
              <w:bottom w:val="single" w:sz="6" w:space="0" w:color="000000"/>
              <w:right w:val="single" w:sz="6" w:space="0" w:color="000000"/>
            </w:tcBorders>
          </w:tcPr>
          <w:p w14:paraId="687CFC8E" w14:textId="00FD2B72" w:rsidR="008373B4" w:rsidRPr="005773C9" w:rsidRDefault="000006E9"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415" w:type="pct"/>
            <w:tcBorders>
              <w:top w:val="single" w:sz="6" w:space="0" w:color="000000"/>
              <w:left w:val="single" w:sz="6" w:space="0" w:color="000000"/>
              <w:bottom w:val="single" w:sz="6" w:space="0" w:color="000000"/>
              <w:right w:val="single" w:sz="6" w:space="0" w:color="000000"/>
            </w:tcBorders>
          </w:tcPr>
          <w:p w14:paraId="1DF1B7FE" w14:textId="24EBAADE" w:rsidR="008373B4" w:rsidRPr="005773C9" w:rsidRDefault="000006E9" w:rsidP="00D017A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r>
    </w:tbl>
    <w:p w14:paraId="170CA022" w14:textId="77777777" w:rsidR="00061B39" w:rsidRDefault="00061B39" w:rsidP="00061B39">
      <w:pPr>
        <w:spacing w:after="0" w:line="240" w:lineRule="auto"/>
        <w:jc w:val="center"/>
        <w:rPr>
          <w:rFonts w:ascii="Times New Roman" w:eastAsia="Times New Roman" w:hAnsi="Times New Roman" w:cs="Times New Roman"/>
          <w:b/>
          <w:bCs/>
          <w:kern w:val="0"/>
          <w:lang w:eastAsia="ro-MD"/>
          <w14:ligatures w14:val="none"/>
        </w:rPr>
        <w:sectPr w:rsidR="00061B39" w:rsidSect="001D5512">
          <w:footerReference w:type="default" r:id="rId10"/>
          <w:pgSz w:w="11906" w:h="16838"/>
          <w:pgMar w:top="1134" w:right="851" w:bottom="992" w:left="1560" w:header="709" w:footer="709" w:gutter="0"/>
          <w:cols w:space="708"/>
          <w:docGrid w:linePitch="360"/>
        </w:sectPr>
      </w:pPr>
    </w:p>
    <w:p w14:paraId="5A67FCC3" w14:textId="77777777" w:rsidR="00061B39" w:rsidRDefault="00061B39" w:rsidP="00061B39">
      <w:pPr>
        <w:spacing w:after="0" w:line="240" w:lineRule="auto"/>
        <w:jc w:val="center"/>
        <w:rPr>
          <w:rFonts w:ascii="Times New Roman" w:eastAsia="Times New Roman" w:hAnsi="Times New Roman" w:cs="Times New Roman"/>
          <w:b/>
          <w:bCs/>
          <w:kern w:val="0"/>
          <w:lang w:eastAsia="ro-MD"/>
          <w14:ligatures w14:val="none"/>
        </w:rPr>
        <w:sectPr w:rsidR="00061B39" w:rsidSect="00061B39">
          <w:type w:val="continuous"/>
          <w:pgSz w:w="11906" w:h="16838"/>
          <w:pgMar w:top="1134" w:right="851" w:bottom="992" w:left="1701" w:header="709" w:footer="709" w:gutter="0"/>
          <w:cols w:space="708"/>
          <w:docGrid w:linePitch="360"/>
        </w:sect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635"/>
        <w:gridCol w:w="2174"/>
        <w:gridCol w:w="635"/>
        <w:gridCol w:w="577"/>
        <w:gridCol w:w="1038"/>
        <w:gridCol w:w="966"/>
        <w:gridCol w:w="988"/>
        <w:gridCol w:w="1210"/>
        <w:gridCol w:w="1115"/>
      </w:tblGrid>
      <w:tr w:rsidR="006D2818" w:rsidRPr="008844AC" w14:paraId="78A4D0F6" w14:textId="77777777" w:rsidTr="00061B39">
        <w:tc>
          <w:tcPr>
            <w:tcW w:w="340"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2CF8D0" w14:textId="36C99D9B" w:rsidR="004E442A" w:rsidRPr="008844AC" w:rsidRDefault="004E442A" w:rsidP="00061B3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lastRenderedPageBreak/>
              <w:t xml:space="preserve">Cod </w:t>
            </w:r>
            <w:proofErr w:type="spellStart"/>
            <w:r w:rsidRPr="008844AC">
              <w:rPr>
                <w:rFonts w:ascii="Times New Roman" w:eastAsia="Times New Roman" w:hAnsi="Times New Roman" w:cs="Times New Roman"/>
                <w:b/>
                <w:bCs/>
                <w:kern w:val="0"/>
                <w:lang w:eastAsia="ro-MD"/>
                <w14:ligatures w14:val="none"/>
              </w:rPr>
              <w:t>poziţie</w:t>
            </w:r>
            <w:proofErr w:type="spellEnd"/>
          </w:p>
        </w:tc>
        <w:tc>
          <w:tcPr>
            <w:tcW w:w="1164"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5202B9" w14:textId="70004F2B" w:rsidR="004E442A" w:rsidRPr="00AE51FE" w:rsidRDefault="00B47F18" w:rsidP="00061B39">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Clasele de expuneri din SA</w:t>
            </w:r>
          </w:p>
        </w:tc>
        <w:tc>
          <w:tcPr>
            <w:tcW w:w="649" w:type="pct"/>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7D3F7820" w14:textId="77777777" w:rsidR="004E442A" w:rsidRPr="008844AC" w:rsidRDefault="004E442A" w:rsidP="00061B39">
            <w:pPr>
              <w:spacing w:after="0" w:line="240" w:lineRule="auto"/>
              <w:jc w:val="center"/>
              <w:rPr>
                <w:rFonts w:ascii="Times New Roman" w:eastAsia="Times New Roman" w:hAnsi="Times New Roman" w:cs="Times New Roman"/>
                <w:b/>
                <w:bCs/>
                <w:kern w:val="0"/>
                <w:lang w:eastAsia="ro-MD"/>
                <w14:ligatures w14:val="none"/>
              </w:rPr>
            </w:pPr>
          </w:p>
        </w:tc>
        <w:tc>
          <w:tcPr>
            <w:tcW w:w="556"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F06CD3" w14:textId="77777777" w:rsidR="004E442A" w:rsidRPr="008844AC" w:rsidRDefault="004E442A" w:rsidP="00061B39">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 xml:space="preserve">Expunere netă după efectele de </w:t>
            </w:r>
            <w:proofErr w:type="spellStart"/>
            <w:r w:rsidRPr="008844AC">
              <w:rPr>
                <w:rFonts w:ascii="Times New Roman" w:eastAsia="Times New Roman" w:hAnsi="Times New Roman" w:cs="Times New Roman"/>
                <w:b/>
                <w:bCs/>
                <w:kern w:val="0"/>
                <w:lang w:eastAsia="ro-MD"/>
                <w14:ligatures w14:val="none"/>
              </w:rPr>
              <w:t>substituţie</w:t>
            </w:r>
            <w:proofErr w:type="spellEnd"/>
            <w:r w:rsidRPr="008844AC">
              <w:rPr>
                <w:rFonts w:ascii="Times New Roman" w:eastAsia="Times New Roman" w:hAnsi="Times New Roman" w:cs="Times New Roman"/>
                <w:b/>
                <w:bCs/>
                <w:kern w:val="0"/>
                <w:lang w:eastAsia="ro-MD"/>
                <w14:ligatures w14:val="none"/>
              </w:rPr>
              <w:t xml:space="preserve"> ale diminuării riscului de credit înainte de aplicarea factorilor de conversie</w:t>
            </w:r>
          </w:p>
        </w:tc>
        <w:tc>
          <w:tcPr>
            <w:tcW w:w="1694" w:type="pct"/>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8B7E3E" w14:textId="39EB6867" w:rsidR="004E442A" w:rsidRPr="008844AC" w:rsidRDefault="004E442A" w:rsidP="00061B39">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 xml:space="preserve">Tehnicile de diminuare a riscului de credit care afectează cuantumul expunerii: </w:t>
            </w:r>
            <w:r w:rsidR="008701E3" w:rsidRPr="008844AC">
              <w:rPr>
                <w:rFonts w:ascii="Times New Roman" w:eastAsia="Times New Roman" w:hAnsi="Times New Roman" w:cs="Times New Roman"/>
                <w:b/>
                <w:bCs/>
                <w:kern w:val="0"/>
                <w:lang w:eastAsia="ro-MD"/>
                <w14:ligatures w14:val="none"/>
              </w:rPr>
              <w:t>protecția</w:t>
            </w:r>
            <w:r w:rsidRPr="008844AC">
              <w:rPr>
                <w:rFonts w:ascii="Times New Roman" w:eastAsia="Times New Roman" w:hAnsi="Times New Roman" w:cs="Times New Roman"/>
                <w:b/>
                <w:bCs/>
                <w:kern w:val="0"/>
                <w:lang w:eastAsia="ro-MD"/>
                <w14:ligatures w14:val="none"/>
              </w:rPr>
              <w:t xml:space="preserve"> </w:t>
            </w:r>
            <w:proofErr w:type="spellStart"/>
            <w:r w:rsidRPr="008844AC">
              <w:rPr>
                <w:rFonts w:ascii="Times New Roman" w:eastAsia="Times New Roman" w:hAnsi="Times New Roman" w:cs="Times New Roman"/>
                <w:b/>
                <w:bCs/>
                <w:kern w:val="0"/>
                <w:lang w:eastAsia="ro-MD"/>
                <w14:ligatures w14:val="none"/>
              </w:rPr>
              <w:t>finanţată</w:t>
            </w:r>
            <w:proofErr w:type="spellEnd"/>
            <w:r w:rsidRPr="008844AC">
              <w:rPr>
                <w:rFonts w:ascii="Times New Roman" w:eastAsia="Times New Roman" w:hAnsi="Times New Roman" w:cs="Times New Roman"/>
                <w:b/>
                <w:bCs/>
                <w:kern w:val="0"/>
                <w:lang w:eastAsia="ro-MD"/>
                <w14:ligatures w14:val="none"/>
              </w:rPr>
              <w:t xml:space="preserve"> a creditului. Metoda extinsă a </w:t>
            </w:r>
            <w:proofErr w:type="spellStart"/>
            <w:r w:rsidRPr="008844AC">
              <w:rPr>
                <w:rFonts w:ascii="Times New Roman" w:eastAsia="Times New Roman" w:hAnsi="Times New Roman" w:cs="Times New Roman"/>
                <w:b/>
                <w:bCs/>
                <w:kern w:val="0"/>
                <w:lang w:eastAsia="ro-MD"/>
                <w14:ligatures w14:val="none"/>
              </w:rPr>
              <w:t>garanţiilor</w:t>
            </w:r>
            <w:proofErr w:type="spellEnd"/>
            <w:r w:rsidRPr="008844AC">
              <w:rPr>
                <w:rFonts w:ascii="Times New Roman" w:eastAsia="Times New Roman" w:hAnsi="Times New Roman" w:cs="Times New Roman"/>
                <w:b/>
                <w:bCs/>
                <w:kern w:val="0"/>
                <w:lang w:eastAsia="ro-MD"/>
                <w14:ligatures w14:val="none"/>
              </w:rPr>
              <w:t xml:space="preserve"> financiare</w:t>
            </w:r>
          </w:p>
        </w:tc>
        <w:tc>
          <w:tcPr>
            <w:tcW w:w="597" w:type="pct"/>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1276F515" w14:textId="77777777" w:rsidR="004E442A" w:rsidRPr="008844AC" w:rsidRDefault="004E442A" w:rsidP="00061B39">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Valoarea ajustată integral a expunerii (E*)</w:t>
            </w:r>
          </w:p>
        </w:tc>
      </w:tr>
      <w:tr w:rsidR="006D2818" w:rsidRPr="008844AC" w14:paraId="726A3315" w14:textId="77777777" w:rsidTr="00061B39">
        <w:tc>
          <w:tcPr>
            <w:tcW w:w="340" w:type="pct"/>
            <w:vMerge/>
            <w:tcBorders>
              <w:top w:val="single" w:sz="6" w:space="0" w:color="000000"/>
              <w:left w:val="single" w:sz="6" w:space="0" w:color="000000"/>
              <w:bottom w:val="single" w:sz="6" w:space="0" w:color="000000"/>
              <w:right w:val="single" w:sz="6" w:space="0" w:color="000000"/>
            </w:tcBorders>
            <w:vAlign w:val="center"/>
            <w:hideMark/>
          </w:tcPr>
          <w:p w14:paraId="65F15F42" w14:textId="77777777" w:rsidR="006D2818" w:rsidRPr="008844AC" w:rsidRDefault="006D2818" w:rsidP="00061B39">
            <w:pPr>
              <w:spacing w:after="0" w:line="240" w:lineRule="auto"/>
              <w:rPr>
                <w:rFonts w:ascii="Times New Roman" w:eastAsia="Times New Roman" w:hAnsi="Times New Roman" w:cs="Times New Roman"/>
                <w:kern w:val="0"/>
                <w:lang w:eastAsia="ro-MD"/>
                <w14:ligatures w14:val="none"/>
              </w:rPr>
            </w:pPr>
          </w:p>
        </w:tc>
        <w:tc>
          <w:tcPr>
            <w:tcW w:w="1164" w:type="pct"/>
            <w:vMerge/>
            <w:tcBorders>
              <w:top w:val="single" w:sz="6" w:space="0" w:color="000000"/>
              <w:left w:val="single" w:sz="6" w:space="0" w:color="000000"/>
              <w:bottom w:val="single" w:sz="6" w:space="0" w:color="000000"/>
              <w:right w:val="single" w:sz="6" w:space="0" w:color="000000"/>
            </w:tcBorders>
            <w:vAlign w:val="center"/>
            <w:hideMark/>
          </w:tcPr>
          <w:p w14:paraId="77E04469" w14:textId="77777777" w:rsidR="006D2818" w:rsidRPr="00AE51FE" w:rsidRDefault="006D2818" w:rsidP="00061B39">
            <w:pPr>
              <w:spacing w:after="0" w:line="240" w:lineRule="auto"/>
              <w:jc w:val="center"/>
              <w:rPr>
                <w:rFonts w:ascii="Times New Roman" w:eastAsia="Times New Roman" w:hAnsi="Times New Roman" w:cs="Times New Roman"/>
                <w:b/>
                <w:bCs/>
                <w:kern w:val="0"/>
                <w:lang w:eastAsia="ro-MD"/>
                <w14:ligatures w14:val="none"/>
              </w:rPr>
            </w:pPr>
          </w:p>
        </w:tc>
        <w:tc>
          <w:tcPr>
            <w:tcW w:w="649" w:type="pct"/>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71AD5D63" w14:textId="77777777" w:rsidR="006D2818" w:rsidRPr="008844AC" w:rsidRDefault="006D2818" w:rsidP="00061B39">
            <w:pPr>
              <w:spacing w:after="0" w:line="240" w:lineRule="auto"/>
              <w:jc w:val="center"/>
              <w:rPr>
                <w:rFonts w:ascii="Times New Roman" w:eastAsia="Times New Roman" w:hAnsi="Times New Roman" w:cs="Times New Roman"/>
                <w:b/>
                <w:bCs/>
                <w:kern w:val="0"/>
                <w:lang w:eastAsia="ro-MD"/>
                <w14:ligatures w14:val="none"/>
              </w:rPr>
            </w:pPr>
            <w:proofErr w:type="spellStart"/>
            <w:r w:rsidRPr="008844AC">
              <w:rPr>
                <w:rFonts w:ascii="Times New Roman" w:eastAsia="Times New Roman" w:hAnsi="Times New Roman" w:cs="Times New Roman"/>
                <w:b/>
                <w:bCs/>
                <w:kern w:val="0"/>
                <w:lang w:eastAsia="ro-MD"/>
                <w14:ligatures w14:val="none"/>
              </w:rPr>
              <w:t>Substituţia</w:t>
            </w:r>
            <w:proofErr w:type="spellEnd"/>
            <w:r w:rsidRPr="008844AC">
              <w:rPr>
                <w:rFonts w:ascii="Times New Roman" w:eastAsia="Times New Roman" w:hAnsi="Times New Roman" w:cs="Times New Roman"/>
                <w:b/>
                <w:bCs/>
                <w:kern w:val="0"/>
                <w:lang w:eastAsia="ro-MD"/>
                <w14:ligatures w14:val="none"/>
              </w:rPr>
              <w:t xml:space="preserve"> expunerii ca urmare a aplicării tehnicilor de diminuare a riscului de credit</w:t>
            </w:r>
          </w:p>
        </w:tc>
        <w:tc>
          <w:tcPr>
            <w:tcW w:w="556" w:type="pct"/>
            <w:vMerge/>
            <w:tcBorders>
              <w:top w:val="single" w:sz="6" w:space="0" w:color="000000"/>
              <w:left w:val="single" w:sz="6" w:space="0" w:color="000000"/>
              <w:bottom w:val="single" w:sz="6" w:space="0" w:color="000000"/>
              <w:right w:val="single" w:sz="6" w:space="0" w:color="000000"/>
            </w:tcBorders>
            <w:vAlign w:val="center"/>
            <w:hideMark/>
          </w:tcPr>
          <w:p w14:paraId="22E498E0" w14:textId="77777777" w:rsidR="006D2818" w:rsidRPr="008844AC" w:rsidRDefault="006D2818" w:rsidP="00061B39">
            <w:pPr>
              <w:spacing w:after="0" w:line="240" w:lineRule="auto"/>
              <w:rPr>
                <w:rFonts w:ascii="Times New Roman" w:eastAsia="Times New Roman" w:hAnsi="Times New Roman" w:cs="Times New Roman"/>
                <w:b/>
                <w:bCs/>
                <w:kern w:val="0"/>
                <w:lang w:eastAsia="ro-MD"/>
                <w14:ligatures w14:val="none"/>
              </w:rPr>
            </w:pPr>
          </w:p>
        </w:tc>
        <w:tc>
          <w:tcPr>
            <w:tcW w:w="517"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C9913B" w14:textId="77777777" w:rsidR="006D2818" w:rsidRPr="008844AC" w:rsidRDefault="006D2818" w:rsidP="00061B39">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Ajustarea de volatilitate aplicată expunerii</w:t>
            </w:r>
          </w:p>
        </w:tc>
        <w:tc>
          <w:tcPr>
            <w:tcW w:w="529" w:type="pct"/>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5C51870F" w14:textId="57601733" w:rsidR="006D2818" w:rsidRPr="008844AC" w:rsidRDefault="006D2818" w:rsidP="00061B39">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w:t>
            </w:r>
            <w:r w:rsidR="001E6561">
              <w:rPr>
                <w:rFonts w:ascii="Times New Roman" w:eastAsia="Times New Roman" w:hAnsi="Times New Roman" w:cs="Times New Roman"/>
                <w:b/>
                <w:bCs/>
                <w:kern w:val="0"/>
                <w:lang w:eastAsia="ro-MD"/>
                <w14:ligatures w14:val="none"/>
              </w:rPr>
              <w:t xml:space="preserve"> V</w:t>
            </w:r>
            <w:r w:rsidRPr="008844AC">
              <w:rPr>
                <w:rFonts w:ascii="Times New Roman" w:eastAsia="Times New Roman" w:hAnsi="Times New Roman" w:cs="Times New Roman"/>
                <w:b/>
                <w:bCs/>
                <w:kern w:val="0"/>
                <w:lang w:eastAsia="ro-MD"/>
                <w14:ligatures w14:val="none"/>
              </w:rPr>
              <w:t>aloarea ajustată</w:t>
            </w:r>
            <w:r w:rsidR="001E6561">
              <w:rPr>
                <w:rFonts w:ascii="Times New Roman" w:eastAsia="Times New Roman" w:hAnsi="Times New Roman" w:cs="Times New Roman"/>
                <w:b/>
                <w:bCs/>
                <w:kern w:val="0"/>
                <w:lang w:eastAsia="ro-MD"/>
                <w14:ligatures w14:val="none"/>
              </w:rPr>
              <w:t xml:space="preserve"> a </w:t>
            </w:r>
            <w:r w:rsidRPr="008844AC">
              <w:rPr>
                <w:rFonts w:ascii="Times New Roman" w:eastAsia="Times New Roman" w:hAnsi="Times New Roman" w:cs="Times New Roman"/>
                <w:b/>
                <w:bCs/>
                <w:kern w:val="0"/>
                <w:lang w:eastAsia="ro-MD"/>
                <w14:ligatures w14:val="none"/>
              </w:rPr>
              <w:t xml:space="preserve"> </w:t>
            </w:r>
            <w:proofErr w:type="spellStart"/>
            <w:r w:rsidR="001E6561">
              <w:rPr>
                <w:rFonts w:ascii="Times New Roman" w:eastAsia="Times New Roman" w:hAnsi="Times New Roman" w:cs="Times New Roman"/>
                <w:b/>
                <w:bCs/>
                <w:kern w:val="0"/>
                <w:lang w:eastAsia="ro-MD"/>
                <w14:ligatures w14:val="none"/>
              </w:rPr>
              <w:t>g</w:t>
            </w:r>
            <w:r w:rsidR="001E6561" w:rsidRPr="008844AC">
              <w:rPr>
                <w:rFonts w:ascii="Times New Roman" w:eastAsia="Times New Roman" w:hAnsi="Times New Roman" w:cs="Times New Roman"/>
                <w:b/>
                <w:bCs/>
                <w:kern w:val="0"/>
                <w:lang w:eastAsia="ro-MD"/>
                <w14:ligatures w14:val="none"/>
              </w:rPr>
              <w:t>aranţi</w:t>
            </w:r>
            <w:r w:rsidR="001E6561">
              <w:rPr>
                <w:rFonts w:ascii="Times New Roman" w:eastAsia="Times New Roman" w:hAnsi="Times New Roman" w:cs="Times New Roman"/>
                <w:b/>
                <w:bCs/>
                <w:kern w:val="0"/>
                <w:lang w:eastAsia="ro-MD"/>
                <w14:ligatures w14:val="none"/>
              </w:rPr>
              <w:t>e</w:t>
            </w:r>
            <w:r w:rsidR="001E6561" w:rsidRPr="008844AC">
              <w:rPr>
                <w:rFonts w:ascii="Times New Roman" w:eastAsia="Times New Roman" w:hAnsi="Times New Roman" w:cs="Times New Roman"/>
                <w:b/>
                <w:bCs/>
                <w:kern w:val="0"/>
                <w:lang w:eastAsia="ro-MD"/>
                <w14:ligatures w14:val="none"/>
              </w:rPr>
              <w:t>i</w:t>
            </w:r>
            <w:proofErr w:type="spellEnd"/>
            <w:r w:rsidR="001E6561" w:rsidRPr="008844AC">
              <w:rPr>
                <w:rFonts w:ascii="Times New Roman" w:eastAsia="Times New Roman" w:hAnsi="Times New Roman" w:cs="Times New Roman"/>
                <w:b/>
                <w:bCs/>
                <w:kern w:val="0"/>
                <w:lang w:eastAsia="ro-MD"/>
                <w14:ligatures w14:val="none"/>
              </w:rPr>
              <w:t xml:space="preserve"> financiare </w:t>
            </w:r>
            <w:r w:rsidRPr="008844AC">
              <w:rPr>
                <w:rFonts w:ascii="Times New Roman" w:eastAsia="Times New Roman" w:hAnsi="Times New Roman" w:cs="Times New Roman"/>
                <w:b/>
                <w:bCs/>
                <w:kern w:val="0"/>
                <w:lang w:eastAsia="ro-MD"/>
                <w14:ligatures w14:val="none"/>
              </w:rPr>
              <w:t>(</w:t>
            </w:r>
            <w:proofErr w:type="spellStart"/>
            <w:r w:rsidRPr="008844AC">
              <w:rPr>
                <w:rFonts w:ascii="Times New Roman" w:eastAsia="Times New Roman" w:hAnsi="Times New Roman" w:cs="Times New Roman"/>
                <w:b/>
                <w:bCs/>
                <w:kern w:val="0"/>
                <w:lang w:eastAsia="ro-MD"/>
                <w14:ligatures w14:val="none"/>
              </w:rPr>
              <w:t>Cvam</w:t>
            </w:r>
            <w:proofErr w:type="spellEnd"/>
            <w:r w:rsidRPr="008844AC">
              <w:rPr>
                <w:rFonts w:ascii="Times New Roman" w:eastAsia="Times New Roman" w:hAnsi="Times New Roman" w:cs="Times New Roman"/>
                <w:b/>
                <w:bCs/>
                <w:kern w:val="0"/>
                <w:lang w:eastAsia="ro-MD"/>
                <w14:ligatures w14:val="none"/>
              </w:rPr>
              <w:t>)</w:t>
            </w:r>
          </w:p>
        </w:tc>
        <w:tc>
          <w:tcPr>
            <w:tcW w:w="648" w:type="pct"/>
            <w:tcBorders>
              <w:top w:val="single" w:sz="6" w:space="0" w:color="000000"/>
              <w:left w:val="single" w:sz="6" w:space="0" w:color="000000"/>
              <w:bottom w:val="single" w:sz="6" w:space="0" w:color="000000"/>
              <w:right w:val="single" w:sz="6" w:space="0" w:color="000000"/>
            </w:tcBorders>
            <w:shd w:val="clear" w:color="auto" w:fill="F0F0F0"/>
          </w:tcPr>
          <w:p w14:paraId="6DD565B0" w14:textId="0E8696BD" w:rsidR="006D2818" w:rsidRPr="008844AC" w:rsidRDefault="006D2818" w:rsidP="00061B39">
            <w:pPr>
              <w:spacing w:after="0" w:line="240" w:lineRule="auto"/>
              <w:jc w:val="center"/>
              <w:rPr>
                <w:rFonts w:ascii="Times New Roman" w:eastAsia="Times New Roman" w:hAnsi="Times New Roman" w:cs="Times New Roman"/>
                <w:b/>
                <w:bCs/>
                <w:kern w:val="0"/>
                <w:lang w:eastAsia="ro-MD"/>
                <w14:ligatures w14:val="none"/>
              </w:rPr>
            </w:pPr>
          </w:p>
        </w:tc>
        <w:tc>
          <w:tcPr>
            <w:tcW w:w="597" w:type="pct"/>
            <w:vMerge/>
            <w:tcBorders>
              <w:left w:val="single" w:sz="6" w:space="0" w:color="000000"/>
              <w:right w:val="single" w:sz="6" w:space="0" w:color="000000"/>
            </w:tcBorders>
            <w:shd w:val="clear" w:color="auto" w:fill="F0F0F0"/>
            <w:tcMar>
              <w:top w:w="24" w:type="dxa"/>
              <w:left w:w="48" w:type="dxa"/>
              <w:bottom w:w="24" w:type="dxa"/>
              <w:right w:w="48" w:type="dxa"/>
            </w:tcMar>
            <w:hideMark/>
          </w:tcPr>
          <w:p w14:paraId="2EAB084D" w14:textId="77777777" w:rsidR="006D2818" w:rsidRPr="008844AC" w:rsidRDefault="006D2818" w:rsidP="00061B39">
            <w:pPr>
              <w:spacing w:after="0" w:line="240" w:lineRule="auto"/>
              <w:jc w:val="center"/>
              <w:rPr>
                <w:rFonts w:ascii="Times New Roman" w:eastAsia="Times New Roman" w:hAnsi="Times New Roman" w:cs="Times New Roman"/>
                <w:b/>
                <w:bCs/>
                <w:kern w:val="0"/>
                <w:lang w:eastAsia="ro-MD"/>
                <w14:ligatures w14:val="none"/>
              </w:rPr>
            </w:pPr>
          </w:p>
        </w:tc>
      </w:tr>
      <w:tr w:rsidR="00286890" w:rsidRPr="008844AC" w14:paraId="2691C41F" w14:textId="77777777" w:rsidTr="00061B39">
        <w:tc>
          <w:tcPr>
            <w:tcW w:w="340" w:type="pct"/>
            <w:vMerge/>
            <w:tcBorders>
              <w:top w:val="single" w:sz="6" w:space="0" w:color="000000"/>
              <w:left w:val="single" w:sz="6" w:space="0" w:color="000000"/>
              <w:bottom w:val="single" w:sz="6" w:space="0" w:color="000000"/>
              <w:right w:val="single" w:sz="6" w:space="0" w:color="000000"/>
            </w:tcBorders>
            <w:vAlign w:val="center"/>
            <w:hideMark/>
          </w:tcPr>
          <w:p w14:paraId="6F36A6E9" w14:textId="77777777" w:rsidR="006D2818" w:rsidRPr="008844AC" w:rsidRDefault="006D2818" w:rsidP="00061B39">
            <w:pPr>
              <w:spacing w:after="0" w:line="240" w:lineRule="auto"/>
              <w:rPr>
                <w:rFonts w:ascii="Times New Roman" w:eastAsia="Times New Roman" w:hAnsi="Times New Roman" w:cs="Times New Roman"/>
                <w:kern w:val="0"/>
                <w:lang w:eastAsia="ro-MD"/>
                <w14:ligatures w14:val="none"/>
              </w:rPr>
            </w:pPr>
          </w:p>
        </w:tc>
        <w:tc>
          <w:tcPr>
            <w:tcW w:w="1164" w:type="pct"/>
            <w:vMerge/>
            <w:tcBorders>
              <w:top w:val="single" w:sz="6" w:space="0" w:color="000000"/>
              <w:left w:val="single" w:sz="6" w:space="0" w:color="000000"/>
              <w:bottom w:val="single" w:sz="6" w:space="0" w:color="000000"/>
              <w:right w:val="single" w:sz="6" w:space="0" w:color="000000"/>
            </w:tcBorders>
            <w:vAlign w:val="center"/>
            <w:hideMark/>
          </w:tcPr>
          <w:p w14:paraId="1EAE2345" w14:textId="77777777" w:rsidR="006D2818" w:rsidRPr="00AE51FE" w:rsidRDefault="006D2818" w:rsidP="00061B39">
            <w:pPr>
              <w:spacing w:after="0" w:line="240" w:lineRule="auto"/>
              <w:jc w:val="center"/>
              <w:rPr>
                <w:rFonts w:ascii="Times New Roman" w:eastAsia="Times New Roman" w:hAnsi="Times New Roman" w:cs="Times New Roman"/>
                <w:b/>
                <w:bCs/>
                <w:kern w:val="0"/>
                <w:lang w:eastAsia="ro-MD"/>
                <w14:ligatures w14:val="none"/>
              </w:rPr>
            </w:pPr>
          </w:p>
        </w:tc>
        <w:tc>
          <w:tcPr>
            <w:tcW w:w="34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98BD3D4" w14:textId="77777777" w:rsidR="006D2818" w:rsidRPr="008844AC" w:rsidRDefault="006D2818" w:rsidP="00061B39">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 xml:space="preserve">(–) total </w:t>
            </w:r>
            <w:proofErr w:type="spellStart"/>
            <w:r w:rsidRPr="008844AC">
              <w:rPr>
                <w:rFonts w:ascii="Times New Roman" w:eastAsia="Times New Roman" w:hAnsi="Times New Roman" w:cs="Times New Roman"/>
                <w:b/>
                <w:bCs/>
                <w:kern w:val="0"/>
                <w:lang w:eastAsia="ro-MD"/>
                <w14:ligatures w14:val="none"/>
              </w:rPr>
              <w:t>ieşiri</w:t>
            </w:r>
            <w:proofErr w:type="spellEnd"/>
          </w:p>
        </w:tc>
        <w:tc>
          <w:tcPr>
            <w:tcW w:w="309"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244A239D" w14:textId="77777777" w:rsidR="006D2818" w:rsidRPr="008844AC" w:rsidRDefault="006D2818" w:rsidP="00061B39">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total intrări (+)</w:t>
            </w:r>
          </w:p>
        </w:tc>
        <w:tc>
          <w:tcPr>
            <w:tcW w:w="556" w:type="pct"/>
            <w:vMerge/>
            <w:tcBorders>
              <w:top w:val="single" w:sz="6" w:space="0" w:color="000000"/>
              <w:left w:val="single" w:sz="6" w:space="0" w:color="000000"/>
              <w:bottom w:val="single" w:sz="6" w:space="0" w:color="000000"/>
              <w:right w:val="single" w:sz="6" w:space="0" w:color="000000"/>
            </w:tcBorders>
            <w:vAlign w:val="center"/>
            <w:hideMark/>
          </w:tcPr>
          <w:p w14:paraId="4B450F55" w14:textId="77777777" w:rsidR="006D2818" w:rsidRPr="008844AC" w:rsidRDefault="006D2818" w:rsidP="00061B39">
            <w:pPr>
              <w:spacing w:after="0" w:line="240" w:lineRule="auto"/>
              <w:rPr>
                <w:rFonts w:ascii="Times New Roman" w:eastAsia="Times New Roman" w:hAnsi="Times New Roman" w:cs="Times New Roman"/>
                <w:b/>
                <w:bCs/>
                <w:kern w:val="0"/>
                <w:lang w:eastAsia="ro-MD"/>
                <w14:ligatures w14:val="none"/>
              </w:rPr>
            </w:pPr>
          </w:p>
        </w:tc>
        <w:tc>
          <w:tcPr>
            <w:tcW w:w="517" w:type="pct"/>
            <w:vMerge/>
            <w:tcBorders>
              <w:top w:val="single" w:sz="6" w:space="0" w:color="000000"/>
              <w:left w:val="single" w:sz="6" w:space="0" w:color="000000"/>
              <w:bottom w:val="single" w:sz="6" w:space="0" w:color="000000"/>
              <w:right w:val="single" w:sz="6" w:space="0" w:color="000000"/>
            </w:tcBorders>
            <w:vAlign w:val="center"/>
            <w:hideMark/>
          </w:tcPr>
          <w:p w14:paraId="336A0CCB" w14:textId="77777777" w:rsidR="006D2818" w:rsidRPr="008844AC" w:rsidRDefault="006D2818" w:rsidP="00061B39">
            <w:pPr>
              <w:spacing w:after="0" w:line="240" w:lineRule="auto"/>
              <w:rPr>
                <w:rFonts w:ascii="Times New Roman" w:eastAsia="Times New Roman" w:hAnsi="Times New Roman" w:cs="Times New Roman"/>
                <w:b/>
                <w:bCs/>
                <w:kern w:val="0"/>
                <w:lang w:eastAsia="ro-MD"/>
                <w14:ligatures w14:val="none"/>
              </w:rPr>
            </w:pPr>
          </w:p>
        </w:tc>
        <w:tc>
          <w:tcPr>
            <w:tcW w:w="529" w:type="pct"/>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798438" w14:textId="77777777" w:rsidR="006D2818" w:rsidRPr="008844AC" w:rsidRDefault="006D2818"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64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D1FBDB" w14:textId="77777777" w:rsidR="006D2818" w:rsidRPr="008844AC" w:rsidRDefault="006D2818" w:rsidP="00061B39">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 xml:space="preserve">(–) din care: ajustările de volatilitate </w:t>
            </w:r>
            <w:proofErr w:type="spellStart"/>
            <w:r w:rsidRPr="008844AC">
              <w:rPr>
                <w:rFonts w:ascii="Times New Roman" w:eastAsia="Times New Roman" w:hAnsi="Times New Roman" w:cs="Times New Roman"/>
                <w:b/>
                <w:bCs/>
                <w:kern w:val="0"/>
                <w:lang w:eastAsia="ro-MD"/>
                <w14:ligatures w14:val="none"/>
              </w:rPr>
              <w:t>şi</w:t>
            </w:r>
            <w:proofErr w:type="spellEnd"/>
            <w:r w:rsidRPr="008844AC">
              <w:rPr>
                <w:rFonts w:ascii="Times New Roman" w:eastAsia="Times New Roman" w:hAnsi="Times New Roman" w:cs="Times New Roman"/>
                <w:b/>
                <w:bCs/>
                <w:kern w:val="0"/>
                <w:lang w:eastAsia="ro-MD"/>
                <w14:ligatures w14:val="none"/>
              </w:rPr>
              <w:t xml:space="preserve"> de </w:t>
            </w:r>
            <w:proofErr w:type="spellStart"/>
            <w:r w:rsidRPr="008844AC">
              <w:rPr>
                <w:rFonts w:ascii="Times New Roman" w:eastAsia="Times New Roman" w:hAnsi="Times New Roman" w:cs="Times New Roman"/>
                <w:b/>
                <w:bCs/>
                <w:kern w:val="0"/>
                <w:lang w:eastAsia="ro-MD"/>
                <w14:ligatures w14:val="none"/>
              </w:rPr>
              <w:t>scadenţă</w:t>
            </w:r>
            <w:proofErr w:type="spellEnd"/>
          </w:p>
        </w:tc>
        <w:tc>
          <w:tcPr>
            <w:tcW w:w="597" w:type="pct"/>
            <w:vMerge/>
            <w:tcBorders>
              <w:left w:val="single" w:sz="6" w:space="0" w:color="000000"/>
              <w:bottom w:val="single" w:sz="6" w:space="0" w:color="000000"/>
              <w:right w:val="single" w:sz="6" w:space="0" w:color="000000"/>
            </w:tcBorders>
            <w:vAlign w:val="center"/>
            <w:hideMark/>
          </w:tcPr>
          <w:p w14:paraId="58B80482" w14:textId="77777777" w:rsidR="006D2818" w:rsidRPr="008844AC" w:rsidRDefault="006D2818" w:rsidP="00061B39">
            <w:pPr>
              <w:spacing w:after="0" w:line="240" w:lineRule="auto"/>
              <w:rPr>
                <w:rFonts w:ascii="Times New Roman" w:eastAsia="Times New Roman" w:hAnsi="Times New Roman" w:cs="Times New Roman"/>
                <w:b/>
                <w:bCs/>
                <w:kern w:val="0"/>
                <w:lang w:eastAsia="ro-MD"/>
                <w14:ligatures w14:val="none"/>
              </w:rPr>
            </w:pPr>
          </w:p>
        </w:tc>
      </w:tr>
      <w:tr w:rsidR="006D2818" w:rsidRPr="008844AC" w14:paraId="0171439C" w14:textId="77777777" w:rsidTr="00061B39">
        <w:tc>
          <w:tcPr>
            <w:tcW w:w="34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1DAB62" w14:textId="5BE2A759" w:rsidR="004E442A" w:rsidRPr="008844AC" w:rsidRDefault="004E442A" w:rsidP="00061B39">
            <w:pPr>
              <w:spacing w:after="0" w:line="240" w:lineRule="auto"/>
              <w:jc w:val="center"/>
              <w:rPr>
                <w:rFonts w:ascii="Times New Roman" w:eastAsia="Times New Roman" w:hAnsi="Times New Roman" w:cs="Times New Roman"/>
                <w:kern w:val="0"/>
                <w:lang w:eastAsia="ro-MD"/>
                <w14:ligatures w14:val="none"/>
              </w:rPr>
            </w:pPr>
          </w:p>
        </w:tc>
        <w:tc>
          <w:tcPr>
            <w:tcW w:w="116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44AB70" w14:textId="77777777" w:rsidR="004E442A" w:rsidRPr="008844AC" w:rsidRDefault="004E442A" w:rsidP="00061B39">
            <w:pPr>
              <w:spacing w:after="0" w:line="240" w:lineRule="auto"/>
              <w:jc w:val="center"/>
              <w:rPr>
                <w:rFonts w:ascii="Times New Roman" w:eastAsia="Times New Roman" w:hAnsi="Times New Roman" w:cs="Times New Roman"/>
                <w:kern w:val="0"/>
                <w:lang w:eastAsia="ro-MD"/>
                <w14:ligatures w14:val="none"/>
              </w:rPr>
            </w:pPr>
          </w:p>
        </w:tc>
        <w:tc>
          <w:tcPr>
            <w:tcW w:w="340" w:type="pct"/>
            <w:tcBorders>
              <w:top w:val="single" w:sz="6" w:space="0" w:color="000000"/>
              <w:left w:val="single" w:sz="6" w:space="0" w:color="000000"/>
              <w:bottom w:val="single" w:sz="6" w:space="0" w:color="000000"/>
              <w:right w:val="single" w:sz="6" w:space="0" w:color="000000"/>
            </w:tcBorders>
            <w:shd w:val="clear" w:color="auto" w:fill="F0F0F0"/>
          </w:tcPr>
          <w:p w14:paraId="2771C38D" w14:textId="6AA939F5" w:rsidR="004E442A" w:rsidRPr="008844AC" w:rsidRDefault="004E442A" w:rsidP="00061B39">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0</w:t>
            </w:r>
            <w:r w:rsidR="00895E30">
              <w:rPr>
                <w:rFonts w:ascii="Times New Roman" w:eastAsia="Times New Roman" w:hAnsi="Times New Roman" w:cs="Times New Roman"/>
                <w:b/>
                <w:bCs/>
                <w:kern w:val="0"/>
                <w:lang w:eastAsia="ro-MD"/>
                <w14:ligatures w14:val="none"/>
              </w:rPr>
              <w:t>0</w:t>
            </w:r>
            <w:r w:rsidRPr="008844AC">
              <w:rPr>
                <w:rFonts w:ascii="Times New Roman" w:eastAsia="Times New Roman" w:hAnsi="Times New Roman" w:cs="Times New Roman"/>
                <w:b/>
                <w:bCs/>
                <w:kern w:val="0"/>
                <w:lang w:eastAsia="ro-MD"/>
                <w14:ligatures w14:val="none"/>
              </w:rPr>
              <w:t>90</w:t>
            </w:r>
          </w:p>
        </w:tc>
        <w:tc>
          <w:tcPr>
            <w:tcW w:w="309" w:type="pct"/>
            <w:tcBorders>
              <w:top w:val="single" w:sz="6" w:space="0" w:color="000000"/>
              <w:left w:val="single" w:sz="6" w:space="0" w:color="000000"/>
              <w:bottom w:val="single" w:sz="6" w:space="0" w:color="000000"/>
              <w:right w:val="single" w:sz="6" w:space="0" w:color="000000"/>
            </w:tcBorders>
            <w:shd w:val="clear" w:color="auto" w:fill="F0F0F0"/>
          </w:tcPr>
          <w:p w14:paraId="5267C639" w14:textId="7E63E89F" w:rsidR="004E442A" w:rsidRPr="008844AC" w:rsidRDefault="00895E30" w:rsidP="00061B39">
            <w:pPr>
              <w:spacing w:after="0" w:line="240" w:lineRule="auto"/>
              <w:jc w:val="center"/>
              <w:rPr>
                <w:rFonts w:ascii="Times New Roman" w:eastAsia="Times New Roman" w:hAnsi="Times New Roman" w:cs="Times New Roman"/>
                <w:b/>
                <w:bCs/>
                <w:kern w:val="0"/>
                <w:lang w:eastAsia="ro-MD"/>
                <w14:ligatures w14:val="none"/>
              </w:rPr>
            </w:pPr>
            <w:r>
              <w:rPr>
                <w:rFonts w:ascii="Times New Roman" w:eastAsia="Times New Roman" w:hAnsi="Times New Roman" w:cs="Times New Roman"/>
                <w:b/>
                <w:bCs/>
                <w:kern w:val="0"/>
                <w:lang w:eastAsia="ro-MD"/>
                <w14:ligatures w14:val="none"/>
              </w:rPr>
              <w:t>0</w:t>
            </w:r>
            <w:r w:rsidR="004E442A" w:rsidRPr="008844AC">
              <w:rPr>
                <w:rFonts w:ascii="Times New Roman" w:eastAsia="Times New Roman" w:hAnsi="Times New Roman" w:cs="Times New Roman"/>
                <w:b/>
                <w:bCs/>
                <w:kern w:val="0"/>
                <w:lang w:eastAsia="ro-MD"/>
                <w14:ligatures w14:val="none"/>
              </w:rPr>
              <w:t>100</w:t>
            </w:r>
          </w:p>
        </w:tc>
        <w:tc>
          <w:tcPr>
            <w:tcW w:w="55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2C55EA" w14:textId="0696B80C" w:rsidR="004E442A" w:rsidRPr="008844AC" w:rsidRDefault="00895E30" w:rsidP="00061B39">
            <w:pPr>
              <w:spacing w:after="0" w:line="240" w:lineRule="auto"/>
              <w:jc w:val="center"/>
              <w:rPr>
                <w:rFonts w:ascii="Times New Roman" w:eastAsia="Times New Roman" w:hAnsi="Times New Roman" w:cs="Times New Roman"/>
                <w:b/>
                <w:bCs/>
                <w:kern w:val="0"/>
                <w:lang w:eastAsia="ro-MD"/>
                <w14:ligatures w14:val="none"/>
              </w:rPr>
            </w:pPr>
            <w:r>
              <w:rPr>
                <w:rFonts w:ascii="Times New Roman" w:eastAsia="Times New Roman" w:hAnsi="Times New Roman" w:cs="Times New Roman"/>
                <w:b/>
                <w:bCs/>
                <w:kern w:val="0"/>
                <w:lang w:eastAsia="ro-MD"/>
                <w14:ligatures w14:val="none"/>
              </w:rPr>
              <w:t>0</w:t>
            </w:r>
            <w:r w:rsidR="004E442A" w:rsidRPr="008844AC">
              <w:rPr>
                <w:rFonts w:ascii="Times New Roman" w:eastAsia="Times New Roman" w:hAnsi="Times New Roman" w:cs="Times New Roman"/>
                <w:b/>
                <w:bCs/>
                <w:kern w:val="0"/>
                <w:lang w:eastAsia="ro-MD"/>
                <w14:ligatures w14:val="none"/>
              </w:rPr>
              <w:t>110</w:t>
            </w:r>
          </w:p>
        </w:tc>
        <w:tc>
          <w:tcPr>
            <w:tcW w:w="51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E8F0B7" w14:textId="5A229BA6" w:rsidR="004E442A" w:rsidRPr="008844AC" w:rsidRDefault="00895E30" w:rsidP="00061B39">
            <w:pPr>
              <w:spacing w:after="0" w:line="240" w:lineRule="auto"/>
              <w:jc w:val="center"/>
              <w:rPr>
                <w:rFonts w:ascii="Times New Roman" w:eastAsia="Times New Roman" w:hAnsi="Times New Roman" w:cs="Times New Roman"/>
                <w:b/>
                <w:bCs/>
                <w:kern w:val="0"/>
                <w:lang w:eastAsia="ro-MD"/>
                <w14:ligatures w14:val="none"/>
              </w:rPr>
            </w:pPr>
            <w:r>
              <w:rPr>
                <w:rFonts w:ascii="Times New Roman" w:eastAsia="Times New Roman" w:hAnsi="Times New Roman" w:cs="Times New Roman"/>
                <w:b/>
                <w:bCs/>
                <w:kern w:val="0"/>
                <w:lang w:eastAsia="ro-MD"/>
                <w14:ligatures w14:val="none"/>
              </w:rPr>
              <w:t>0</w:t>
            </w:r>
            <w:r w:rsidR="004E442A" w:rsidRPr="008844AC">
              <w:rPr>
                <w:rFonts w:ascii="Times New Roman" w:eastAsia="Times New Roman" w:hAnsi="Times New Roman" w:cs="Times New Roman"/>
                <w:b/>
                <w:bCs/>
                <w:kern w:val="0"/>
                <w:lang w:eastAsia="ro-MD"/>
                <w14:ligatures w14:val="none"/>
              </w:rPr>
              <w:t>120</w:t>
            </w:r>
          </w:p>
        </w:tc>
        <w:tc>
          <w:tcPr>
            <w:tcW w:w="52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6755F3" w14:textId="13B60DD5" w:rsidR="004E442A" w:rsidRPr="008844AC" w:rsidRDefault="00895E30" w:rsidP="00061B39">
            <w:pPr>
              <w:spacing w:after="0" w:line="240" w:lineRule="auto"/>
              <w:jc w:val="center"/>
              <w:rPr>
                <w:rFonts w:ascii="Times New Roman" w:eastAsia="Times New Roman" w:hAnsi="Times New Roman" w:cs="Times New Roman"/>
                <w:b/>
                <w:bCs/>
                <w:kern w:val="0"/>
                <w:lang w:eastAsia="ro-MD"/>
                <w14:ligatures w14:val="none"/>
              </w:rPr>
            </w:pPr>
            <w:r>
              <w:rPr>
                <w:rFonts w:ascii="Times New Roman" w:eastAsia="Times New Roman" w:hAnsi="Times New Roman" w:cs="Times New Roman"/>
                <w:b/>
                <w:bCs/>
                <w:kern w:val="0"/>
                <w:lang w:eastAsia="ro-MD"/>
                <w14:ligatures w14:val="none"/>
              </w:rPr>
              <w:t>0</w:t>
            </w:r>
            <w:r w:rsidR="004E442A" w:rsidRPr="008844AC">
              <w:rPr>
                <w:rFonts w:ascii="Times New Roman" w:eastAsia="Times New Roman" w:hAnsi="Times New Roman" w:cs="Times New Roman"/>
                <w:b/>
                <w:bCs/>
                <w:kern w:val="0"/>
                <w:lang w:eastAsia="ro-MD"/>
                <w14:ligatures w14:val="none"/>
              </w:rPr>
              <w:t>130</w:t>
            </w:r>
          </w:p>
        </w:tc>
        <w:tc>
          <w:tcPr>
            <w:tcW w:w="64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593154" w14:textId="426D9535" w:rsidR="004E442A" w:rsidRPr="008844AC" w:rsidRDefault="00895E30" w:rsidP="00061B39">
            <w:pPr>
              <w:spacing w:after="0" w:line="240" w:lineRule="auto"/>
              <w:jc w:val="center"/>
              <w:rPr>
                <w:rFonts w:ascii="Times New Roman" w:eastAsia="Times New Roman" w:hAnsi="Times New Roman" w:cs="Times New Roman"/>
                <w:b/>
                <w:bCs/>
                <w:kern w:val="0"/>
                <w:lang w:eastAsia="ro-MD"/>
                <w14:ligatures w14:val="none"/>
              </w:rPr>
            </w:pPr>
            <w:r>
              <w:rPr>
                <w:rFonts w:ascii="Times New Roman" w:eastAsia="Times New Roman" w:hAnsi="Times New Roman" w:cs="Times New Roman"/>
                <w:b/>
                <w:bCs/>
                <w:kern w:val="0"/>
                <w:lang w:eastAsia="ro-MD"/>
                <w14:ligatures w14:val="none"/>
              </w:rPr>
              <w:t>0</w:t>
            </w:r>
            <w:r w:rsidR="004E442A" w:rsidRPr="008844AC">
              <w:rPr>
                <w:rFonts w:ascii="Times New Roman" w:eastAsia="Times New Roman" w:hAnsi="Times New Roman" w:cs="Times New Roman"/>
                <w:b/>
                <w:bCs/>
                <w:kern w:val="0"/>
                <w:lang w:eastAsia="ro-MD"/>
                <w14:ligatures w14:val="none"/>
              </w:rPr>
              <w:t>140</w:t>
            </w:r>
          </w:p>
        </w:tc>
        <w:tc>
          <w:tcPr>
            <w:tcW w:w="59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C64C7D" w14:textId="5567F54F" w:rsidR="004E442A" w:rsidRPr="008844AC" w:rsidRDefault="00895E30" w:rsidP="00061B39">
            <w:pPr>
              <w:spacing w:after="0" w:line="240" w:lineRule="auto"/>
              <w:jc w:val="center"/>
              <w:rPr>
                <w:rFonts w:ascii="Times New Roman" w:eastAsia="Times New Roman" w:hAnsi="Times New Roman" w:cs="Times New Roman"/>
                <w:b/>
                <w:bCs/>
                <w:kern w:val="0"/>
                <w:lang w:eastAsia="ro-MD"/>
                <w14:ligatures w14:val="none"/>
              </w:rPr>
            </w:pPr>
            <w:r>
              <w:rPr>
                <w:rFonts w:ascii="Times New Roman" w:eastAsia="Times New Roman" w:hAnsi="Times New Roman" w:cs="Times New Roman"/>
                <w:b/>
                <w:bCs/>
                <w:kern w:val="0"/>
                <w:lang w:eastAsia="ro-MD"/>
                <w14:ligatures w14:val="none"/>
              </w:rPr>
              <w:t>0</w:t>
            </w:r>
            <w:r w:rsidR="004E442A" w:rsidRPr="008844AC">
              <w:rPr>
                <w:rFonts w:ascii="Times New Roman" w:eastAsia="Times New Roman" w:hAnsi="Times New Roman" w:cs="Times New Roman"/>
                <w:b/>
                <w:bCs/>
                <w:kern w:val="0"/>
                <w:lang w:eastAsia="ro-MD"/>
                <w14:ligatures w14:val="none"/>
              </w:rPr>
              <w:t>150</w:t>
            </w:r>
          </w:p>
        </w:tc>
      </w:tr>
      <w:tr w:rsidR="006D2818" w:rsidRPr="008844AC" w14:paraId="16034A1F"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B763C" w14:textId="213D63CE" w:rsidR="004E442A" w:rsidRPr="008844AC" w:rsidRDefault="00895E30" w:rsidP="00061B3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4E442A" w:rsidRPr="008844AC">
              <w:rPr>
                <w:rFonts w:ascii="Times New Roman" w:eastAsia="Times New Roman" w:hAnsi="Times New Roman" w:cs="Times New Roman"/>
                <w:kern w:val="0"/>
                <w:lang w:eastAsia="ro-MD"/>
                <w14:ligatures w14:val="none"/>
              </w:rPr>
              <w:t>010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3CF57" w14:textId="77777777" w:rsidR="004E442A" w:rsidRPr="008844AC" w:rsidRDefault="004E442A" w:rsidP="00061B39">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EXPUNERI TOTALE</w:t>
            </w:r>
          </w:p>
        </w:tc>
        <w:tc>
          <w:tcPr>
            <w:tcW w:w="340" w:type="pct"/>
            <w:tcBorders>
              <w:top w:val="single" w:sz="6" w:space="0" w:color="000000"/>
              <w:left w:val="single" w:sz="6" w:space="0" w:color="000000"/>
              <w:bottom w:val="single" w:sz="6" w:space="0" w:color="000000"/>
              <w:right w:val="single" w:sz="6" w:space="0" w:color="000000"/>
            </w:tcBorders>
          </w:tcPr>
          <w:p w14:paraId="0BA5FF12" w14:textId="77777777" w:rsidR="004E442A" w:rsidRPr="008844AC" w:rsidRDefault="004E442A" w:rsidP="00061B39">
            <w:pPr>
              <w:spacing w:after="0" w:line="240" w:lineRule="auto"/>
              <w:rPr>
                <w:rFonts w:ascii="Times New Roman" w:eastAsia="Times New Roman" w:hAnsi="Times New Roman" w:cs="Times New Roman"/>
                <w:kern w:val="0"/>
                <w:lang w:eastAsia="ro-MD"/>
                <w14:ligatures w14:val="none"/>
              </w:rPr>
            </w:pPr>
          </w:p>
        </w:tc>
        <w:tc>
          <w:tcPr>
            <w:tcW w:w="309" w:type="pct"/>
            <w:tcBorders>
              <w:top w:val="single" w:sz="6" w:space="0" w:color="000000"/>
              <w:left w:val="single" w:sz="6" w:space="0" w:color="000000"/>
              <w:bottom w:val="single" w:sz="6" w:space="0" w:color="000000"/>
              <w:right w:val="single" w:sz="6" w:space="0" w:color="000000"/>
            </w:tcBorders>
          </w:tcPr>
          <w:p w14:paraId="7A370D6F" w14:textId="77777777" w:rsidR="004E442A" w:rsidRPr="008844AC" w:rsidRDefault="004E442A" w:rsidP="00061B39">
            <w:pPr>
              <w:spacing w:after="0" w:line="240" w:lineRule="auto"/>
              <w:rPr>
                <w:rFonts w:ascii="Times New Roman" w:eastAsia="Times New Roman" w:hAnsi="Times New Roman" w:cs="Times New Roman"/>
                <w:kern w:val="0"/>
                <w:lang w:eastAsia="ro-MD"/>
                <w14:ligatures w14:val="none"/>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B487F" w14:textId="77777777" w:rsidR="004E442A" w:rsidRPr="008844AC" w:rsidRDefault="004E442A" w:rsidP="00061B39">
            <w:pPr>
              <w:spacing w:after="0" w:line="240" w:lineRule="auto"/>
              <w:rPr>
                <w:rFonts w:ascii="Times New Roman" w:eastAsia="Times New Roman" w:hAnsi="Times New Roman" w:cs="Times New Roman"/>
                <w:kern w:val="0"/>
                <w:lang w:eastAsia="ro-MD"/>
                <w14:ligatures w14:val="none"/>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8FCA4" w14:textId="77777777" w:rsidR="004E442A" w:rsidRPr="008844AC" w:rsidRDefault="004E442A"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0E484" w14:textId="77777777" w:rsidR="004E442A" w:rsidRPr="008844AC" w:rsidRDefault="004E442A"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B53A1" w14:textId="77777777" w:rsidR="004E442A" w:rsidRPr="008844AC" w:rsidRDefault="004E442A"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3F964" w14:textId="77777777" w:rsidR="004E442A" w:rsidRPr="008844AC" w:rsidRDefault="004E442A" w:rsidP="00061B39">
            <w:pPr>
              <w:spacing w:after="0" w:line="240" w:lineRule="auto"/>
              <w:jc w:val="center"/>
              <w:rPr>
                <w:rFonts w:ascii="Times New Roman" w:eastAsia="Times New Roman" w:hAnsi="Times New Roman" w:cs="Times New Roman"/>
                <w:kern w:val="0"/>
                <w:sz w:val="20"/>
                <w:szCs w:val="20"/>
                <w:lang w:eastAsia="ro-MD"/>
                <w14:ligatures w14:val="none"/>
              </w:rPr>
            </w:pPr>
          </w:p>
        </w:tc>
      </w:tr>
      <w:tr w:rsidR="00001A29" w:rsidRPr="008844AC" w14:paraId="357FD365"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D1887F" w14:textId="10A2C134" w:rsidR="00001A29" w:rsidRPr="00E91D07" w:rsidRDefault="00895E30" w:rsidP="00061B39">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001A29" w:rsidRPr="00E91D07">
              <w:rPr>
                <w:rFonts w:ascii="Times New Roman" w:eastAsia="Times New Roman" w:hAnsi="Times New Roman" w:cs="Times New Roman"/>
                <w:kern w:val="0"/>
                <w:lang w:eastAsia="ro-MD"/>
                <w14:ligatures w14:val="none"/>
              </w:rPr>
              <w:t>011</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6E35D1" w14:textId="65CFB039" w:rsidR="00001A29" w:rsidRPr="008844AC" w:rsidRDefault="00001A29" w:rsidP="00061B39">
            <w:pPr>
              <w:spacing w:after="0" w:line="240" w:lineRule="auto"/>
              <w:rPr>
                <w:rFonts w:ascii="Times New Roman" w:eastAsia="Times New Roman" w:hAnsi="Times New Roman" w:cs="Times New Roman"/>
                <w:b/>
                <w:bCs/>
                <w:kern w:val="0"/>
                <w:lang w:eastAsia="ro-MD"/>
                <w14:ligatures w14:val="none"/>
              </w:rPr>
            </w:pPr>
            <w:r w:rsidRPr="00E91D07">
              <w:rPr>
                <w:rFonts w:ascii="Times New Roman" w:eastAsia="Times New Roman" w:hAnsi="Times New Roman" w:cs="Times New Roman"/>
                <w:kern w:val="0"/>
                <w:lang w:eastAsia="ro-MD"/>
                <w14:ligatures w14:val="none"/>
              </w:rPr>
              <w:t>din care: expuneri față de bănci centrale</w:t>
            </w:r>
          </w:p>
        </w:tc>
        <w:tc>
          <w:tcPr>
            <w:tcW w:w="340" w:type="pct"/>
            <w:tcBorders>
              <w:top w:val="single" w:sz="6" w:space="0" w:color="000000"/>
              <w:left w:val="single" w:sz="6" w:space="0" w:color="000000"/>
              <w:bottom w:val="single" w:sz="6" w:space="0" w:color="000000"/>
              <w:right w:val="single" w:sz="6" w:space="0" w:color="000000"/>
            </w:tcBorders>
          </w:tcPr>
          <w:p w14:paraId="2C139048" w14:textId="77777777" w:rsidR="00001A29" w:rsidRPr="008844AC" w:rsidRDefault="00001A29" w:rsidP="00061B39">
            <w:pPr>
              <w:spacing w:after="0" w:line="240" w:lineRule="auto"/>
              <w:rPr>
                <w:rFonts w:ascii="Times New Roman" w:eastAsia="Times New Roman" w:hAnsi="Times New Roman" w:cs="Times New Roman"/>
                <w:kern w:val="0"/>
                <w:lang w:eastAsia="ro-MD"/>
                <w14:ligatures w14:val="none"/>
              </w:rPr>
            </w:pPr>
          </w:p>
        </w:tc>
        <w:tc>
          <w:tcPr>
            <w:tcW w:w="309" w:type="pct"/>
            <w:tcBorders>
              <w:top w:val="single" w:sz="6" w:space="0" w:color="000000"/>
              <w:left w:val="single" w:sz="6" w:space="0" w:color="000000"/>
              <w:bottom w:val="single" w:sz="6" w:space="0" w:color="000000"/>
              <w:right w:val="single" w:sz="6" w:space="0" w:color="000000"/>
            </w:tcBorders>
          </w:tcPr>
          <w:p w14:paraId="0592EFA7" w14:textId="77777777" w:rsidR="00001A29" w:rsidRPr="008844AC" w:rsidRDefault="00001A29" w:rsidP="00061B39">
            <w:pPr>
              <w:spacing w:after="0" w:line="240" w:lineRule="auto"/>
              <w:rPr>
                <w:rFonts w:ascii="Times New Roman" w:eastAsia="Times New Roman" w:hAnsi="Times New Roman" w:cs="Times New Roman"/>
                <w:kern w:val="0"/>
                <w:lang w:eastAsia="ro-MD"/>
                <w14:ligatures w14:val="none"/>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0096CF" w14:textId="77777777" w:rsidR="00001A29" w:rsidRPr="008844AC" w:rsidRDefault="00001A29" w:rsidP="00061B39">
            <w:pPr>
              <w:spacing w:after="0" w:line="240" w:lineRule="auto"/>
              <w:rPr>
                <w:rFonts w:ascii="Times New Roman" w:eastAsia="Times New Roman" w:hAnsi="Times New Roman" w:cs="Times New Roman"/>
                <w:kern w:val="0"/>
                <w:lang w:eastAsia="ro-MD"/>
                <w14:ligatures w14:val="none"/>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A6656E" w14:textId="77777777" w:rsidR="00001A29" w:rsidRPr="008844AC" w:rsidRDefault="00001A29"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8E0BE6" w14:textId="77777777" w:rsidR="00001A29" w:rsidRPr="008844AC" w:rsidRDefault="00001A29"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6B2F5A" w14:textId="77777777" w:rsidR="00001A29" w:rsidRPr="008844AC" w:rsidRDefault="00001A29"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045D66" w14:textId="77777777" w:rsidR="00001A29" w:rsidRPr="008844AC" w:rsidRDefault="00001A29" w:rsidP="00061B39">
            <w:pPr>
              <w:spacing w:after="0" w:line="240" w:lineRule="auto"/>
              <w:jc w:val="center"/>
              <w:rPr>
                <w:rFonts w:ascii="Times New Roman" w:eastAsia="Times New Roman" w:hAnsi="Times New Roman" w:cs="Times New Roman"/>
                <w:kern w:val="0"/>
                <w:sz w:val="20"/>
                <w:szCs w:val="20"/>
                <w:lang w:eastAsia="ro-MD"/>
                <w14:ligatures w14:val="none"/>
              </w:rPr>
            </w:pPr>
          </w:p>
        </w:tc>
      </w:tr>
      <w:tr w:rsidR="00001A29" w:rsidRPr="008844AC" w14:paraId="343992B2"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F441B" w14:textId="46363006" w:rsidR="00001A29" w:rsidRPr="008844AC" w:rsidRDefault="00895E30" w:rsidP="00061B3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001A29" w:rsidRPr="008844AC">
              <w:rPr>
                <w:rFonts w:ascii="Times New Roman" w:eastAsia="Times New Roman" w:hAnsi="Times New Roman" w:cs="Times New Roman"/>
                <w:kern w:val="0"/>
                <w:lang w:eastAsia="ro-MD"/>
                <w14:ligatures w14:val="none"/>
              </w:rPr>
              <w:t>015</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4862A" w14:textId="62128E3D" w:rsidR="00001A29" w:rsidRPr="008844AC" w:rsidRDefault="00001A29" w:rsidP="00061B39">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din care: expuneri în stare de nerambursare</w:t>
            </w:r>
            <w:r w:rsidRPr="007072E7">
              <w:rPr>
                <w:rFonts w:ascii="Times New Roman" w:eastAsia="Times New Roman" w:hAnsi="Times New Roman" w:cs="Times New Roman"/>
                <w:kern w:val="0"/>
                <w:lang w:eastAsia="ro-MD"/>
                <w14:ligatures w14:val="none"/>
              </w:rPr>
              <w:t xml:space="preserve"> din clasa de expuneri „</w:t>
            </w:r>
            <w:proofErr w:type="spellStart"/>
            <w:r w:rsidRPr="007072E7">
              <w:rPr>
                <w:rFonts w:ascii="Times New Roman" w:eastAsia="Times New Roman" w:hAnsi="Times New Roman" w:cs="Times New Roman"/>
                <w:kern w:val="0"/>
                <w:lang w:eastAsia="ro-MD"/>
                <w14:ligatures w14:val="none"/>
              </w:rPr>
              <w:t>OPCuri</w:t>
            </w:r>
            <w:proofErr w:type="spellEnd"/>
            <w:r w:rsidRPr="007072E7">
              <w:rPr>
                <w:rFonts w:ascii="Times New Roman" w:eastAsia="Times New Roman" w:hAnsi="Times New Roman" w:cs="Times New Roman"/>
                <w:kern w:val="0"/>
                <w:lang w:eastAsia="ro-MD"/>
                <w14:ligatures w14:val="none"/>
              </w:rPr>
              <w:t>” și „expuneri provenind din titluri de capital”</w:t>
            </w:r>
          </w:p>
        </w:tc>
        <w:tc>
          <w:tcPr>
            <w:tcW w:w="340" w:type="pct"/>
            <w:tcBorders>
              <w:top w:val="single" w:sz="6" w:space="0" w:color="000000"/>
              <w:left w:val="single" w:sz="6" w:space="0" w:color="000000"/>
              <w:bottom w:val="single" w:sz="6" w:space="0" w:color="000000"/>
              <w:right w:val="single" w:sz="6" w:space="0" w:color="000000"/>
            </w:tcBorders>
          </w:tcPr>
          <w:p w14:paraId="213BE89A" w14:textId="77777777" w:rsidR="00001A29" w:rsidRPr="008844AC" w:rsidRDefault="00001A29" w:rsidP="00061B39">
            <w:pPr>
              <w:spacing w:after="0" w:line="240" w:lineRule="auto"/>
              <w:rPr>
                <w:rFonts w:ascii="Times New Roman" w:eastAsia="Times New Roman" w:hAnsi="Times New Roman" w:cs="Times New Roman"/>
                <w:kern w:val="0"/>
                <w:lang w:eastAsia="ro-MD"/>
                <w14:ligatures w14:val="none"/>
              </w:rPr>
            </w:pPr>
          </w:p>
        </w:tc>
        <w:tc>
          <w:tcPr>
            <w:tcW w:w="309" w:type="pct"/>
            <w:tcBorders>
              <w:top w:val="single" w:sz="6" w:space="0" w:color="000000"/>
              <w:left w:val="single" w:sz="6" w:space="0" w:color="000000"/>
              <w:bottom w:val="single" w:sz="6" w:space="0" w:color="000000"/>
              <w:right w:val="single" w:sz="6" w:space="0" w:color="000000"/>
            </w:tcBorders>
          </w:tcPr>
          <w:p w14:paraId="125732CA" w14:textId="77777777" w:rsidR="00001A29" w:rsidRPr="008844AC" w:rsidRDefault="00001A29" w:rsidP="00061B39">
            <w:pPr>
              <w:spacing w:after="0" w:line="240" w:lineRule="auto"/>
              <w:rPr>
                <w:rFonts w:ascii="Times New Roman" w:eastAsia="Times New Roman" w:hAnsi="Times New Roman" w:cs="Times New Roman"/>
                <w:kern w:val="0"/>
                <w:lang w:eastAsia="ro-MD"/>
                <w14:ligatures w14:val="none"/>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436DE" w14:textId="77777777" w:rsidR="00001A29" w:rsidRPr="008844AC" w:rsidRDefault="00001A29" w:rsidP="00061B39">
            <w:pPr>
              <w:spacing w:after="0" w:line="240" w:lineRule="auto"/>
              <w:rPr>
                <w:rFonts w:ascii="Times New Roman" w:eastAsia="Times New Roman" w:hAnsi="Times New Roman" w:cs="Times New Roman"/>
                <w:kern w:val="0"/>
                <w:lang w:eastAsia="ro-MD"/>
                <w14:ligatures w14:val="none"/>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9A110" w14:textId="77777777" w:rsidR="00001A29" w:rsidRPr="008844AC" w:rsidRDefault="00001A29"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4C86B" w14:textId="77777777" w:rsidR="00001A29" w:rsidRPr="008844AC" w:rsidRDefault="00001A29"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9700A" w14:textId="77777777" w:rsidR="00001A29" w:rsidRPr="008844AC" w:rsidRDefault="00001A29"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BE7D5" w14:textId="77777777" w:rsidR="00001A29" w:rsidRPr="008844AC" w:rsidRDefault="00001A29" w:rsidP="00061B39">
            <w:pPr>
              <w:spacing w:after="0" w:line="240" w:lineRule="auto"/>
              <w:jc w:val="center"/>
              <w:rPr>
                <w:rFonts w:ascii="Times New Roman" w:eastAsia="Times New Roman" w:hAnsi="Times New Roman" w:cs="Times New Roman"/>
                <w:kern w:val="0"/>
                <w:sz w:val="20"/>
                <w:szCs w:val="20"/>
                <w:lang w:eastAsia="ro-MD"/>
                <w14:ligatures w14:val="none"/>
              </w:rPr>
            </w:pPr>
          </w:p>
        </w:tc>
      </w:tr>
      <w:tr w:rsidR="00001A29" w:rsidRPr="008844AC" w14:paraId="5ECD9D54"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D98F9" w14:textId="4479D192" w:rsidR="00001A29" w:rsidRPr="008844AC" w:rsidRDefault="00895E30" w:rsidP="00061B3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001A29" w:rsidRPr="008844AC">
              <w:rPr>
                <w:rFonts w:ascii="Times New Roman" w:eastAsia="Times New Roman" w:hAnsi="Times New Roman" w:cs="Times New Roman"/>
                <w:kern w:val="0"/>
                <w:lang w:eastAsia="ro-MD"/>
                <w14:ligatures w14:val="none"/>
              </w:rPr>
              <w:t>020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247EC" w14:textId="34BBB3A7" w:rsidR="00001A29" w:rsidRPr="008844AC" w:rsidRDefault="00001A29" w:rsidP="00061B39">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din care: IMM-uri</w:t>
            </w:r>
          </w:p>
        </w:tc>
        <w:tc>
          <w:tcPr>
            <w:tcW w:w="340" w:type="pct"/>
            <w:tcBorders>
              <w:top w:val="single" w:sz="6" w:space="0" w:color="000000"/>
              <w:left w:val="single" w:sz="6" w:space="0" w:color="000000"/>
              <w:bottom w:val="single" w:sz="6" w:space="0" w:color="000000"/>
              <w:right w:val="single" w:sz="6" w:space="0" w:color="000000"/>
            </w:tcBorders>
          </w:tcPr>
          <w:p w14:paraId="37ADFCCE" w14:textId="77777777" w:rsidR="00001A29" w:rsidRPr="008844AC" w:rsidRDefault="00001A29" w:rsidP="00061B39">
            <w:pPr>
              <w:spacing w:after="0" w:line="240" w:lineRule="auto"/>
              <w:rPr>
                <w:rFonts w:ascii="Times New Roman" w:eastAsia="Times New Roman" w:hAnsi="Times New Roman" w:cs="Times New Roman"/>
                <w:kern w:val="0"/>
                <w:lang w:eastAsia="ro-MD"/>
                <w14:ligatures w14:val="none"/>
              </w:rPr>
            </w:pPr>
          </w:p>
        </w:tc>
        <w:tc>
          <w:tcPr>
            <w:tcW w:w="309" w:type="pct"/>
            <w:tcBorders>
              <w:top w:val="single" w:sz="6" w:space="0" w:color="000000"/>
              <w:left w:val="single" w:sz="6" w:space="0" w:color="000000"/>
              <w:bottom w:val="single" w:sz="6" w:space="0" w:color="000000"/>
              <w:right w:val="single" w:sz="6" w:space="0" w:color="000000"/>
            </w:tcBorders>
          </w:tcPr>
          <w:p w14:paraId="28C83D09" w14:textId="77777777" w:rsidR="00001A29" w:rsidRPr="008844AC" w:rsidRDefault="00001A29" w:rsidP="00061B39">
            <w:pPr>
              <w:spacing w:after="0" w:line="240" w:lineRule="auto"/>
              <w:rPr>
                <w:rFonts w:ascii="Times New Roman" w:eastAsia="Times New Roman" w:hAnsi="Times New Roman" w:cs="Times New Roman"/>
                <w:kern w:val="0"/>
                <w:lang w:eastAsia="ro-MD"/>
                <w14:ligatures w14:val="none"/>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A3FB6" w14:textId="77777777" w:rsidR="00001A29" w:rsidRPr="008844AC" w:rsidRDefault="00001A29" w:rsidP="00061B39">
            <w:pPr>
              <w:spacing w:after="0" w:line="240" w:lineRule="auto"/>
              <w:rPr>
                <w:rFonts w:ascii="Times New Roman" w:eastAsia="Times New Roman" w:hAnsi="Times New Roman" w:cs="Times New Roman"/>
                <w:kern w:val="0"/>
                <w:lang w:eastAsia="ro-MD"/>
                <w14:ligatures w14:val="none"/>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B00DB" w14:textId="77777777" w:rsidR="00001A29" w:rsidRPr="008844AC" w:rsidRDefault="00001A29"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CC64B" w14:textId="77777777" w:rsidR="00001A29" w:rsidRPr="008844AC" w:rsidRDefault="00001A29"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02B4C" w14:textId="77777777" w:rsidR="00001A29" w:rsidRPr="008844AC" w:rsidRDefault="00001A29"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9ECC8" w14:textId="77777777" w:rsidR="00001A29" w:rsidRPr="008844AC" w:rsidRDefault="00001A29" w:rsidP="00061B39">
            <w:pPr>
              <w:spacing w:after="0" w:line="240" w:lineRule="auto"/>
              <w:jc w:val="center"/>
              <w:rPr>
                <w:rFonts w:ascii="Times New Roman" w:eastAsia="Times New Roman" w:hAnsi="Times New Roman" w:cs="Times New Roman"/>
                <w:kern w:val="0"/>
                <w:sz w:val="20"/>
                <w:szCs w:val="20"/>
                <w:lang w:eastAsia="ro-MD"/>
                <w14:ligatures w14:val="none"/>
              </w:rPr>
            </w:pPr>
          </w:p>
        </w:tc>
      </w:tr>
      <w:tr w:rsidR="00001A29" w:rsidRPr="008844AC" w14:paraId="372FED9E"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99648" w14:textId="51DA271F" w:rsidR="00001A29" w:rsidRPr="008844AC" w:rsidRDefault="00895E30" w:rsidP="00061B3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001A29" w:rsidRPr="008844AC">
              <w:rPr>
                <w:rFonts w:ascii="Times New Roman" w:eastAsia="Times New Roman" w:hAnsi="Times New Roman" w:cs="Times New Roman"/>
                <w:kern w:val="0"/>
                <w:lang w:eastAsia="ro-MD"/>
                <w14:ligatures w14:val="none"/>
              </w:rPr>
              <w:t>030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6F7D0" w14:textId="77777777" w:rsidR="00001A29" w:rsidRPr="008844AC" w:rsidRDefault="00001A29" w:rsidP="00061B39">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din care: expuneri aflate sub </w:t>
            </w:r>
            <w:proofErr w:type="spellStart"/>
            <w:r w:rsidRPr="008844AC">
              <w:rPr>
                <w:rFonts w:ascii="Times New Roman" w:eastAsia="Times New Roman" w:hAnsi="Times New Roman" w:cs="Times New Roman"/>
                <w:kern w:val="0"/>
                <w:lang w:eastAsia="ro-MD"/>
                <w14:ligatures w14:val="none"/>
              </w:rPr>
              <w:t>incidenţa</w:t>
            </w:r>
            <w:proofErr w:type="spellEnd"/>
            <w:r w:rsidRPr="008844AC">
              <w:rPr>
                <w:rFonts w:ascii="Times New Roman" w:eastAsia="Times New Roman" w:hAnsi="Times New Roman" w:cs="Times New Roman"/>
                <w:kern w:val="0"/>
                <w:lang w:eastAsia="ro-MD"/>
                <w14:ligatures w14:val="none"/>
              </w:rPr>
              <w:t xml:space="preserve"> factorului de sprijinire a IMM-urilor</w:t>
            </w:r>
          </w:p>
        </w:tc>
        <w:tc>
          <w:tcPr>
            <w:tcW w:w="340" w:type="pct"/>
            <w:tcBorders>
              <w:top w:val="single" w:sz="6" w:space="0" w:color="000000"/>
              <w:left w:val="single" w:sz="6" w:space="0" w:color="000000"/>
              <w:bottom w:val="single" w:sz="6" w:space="0" w:color="000000"/>
              <w:right w:val="single" w:sz="6" w:space="0" w:color="000000"/>
            </w:tcBorders>
          </w:tcPr>
          <w:p w14:paraId="297DAE1F" w14:textId="77777777" w:rsidR="00001A29" w:rsidRPr="008844AC" w:rsidRDefault="00001A29" w:rsidP="00061B39">
            <w:pPr>
              <w:spacing w:after="0" w:line="240" w:lineRule="auto"/>
              <w:rPr>
                <w:rFonts w:ascii="Times New Roman" w:eastAsia="Times New Roman" w:hAnsi="Times New Roman" w:cs="Times New Roman"/>
                <w:kern w:val="0"/>
                <w:lang w:eastAsia="ro-MD"/>
                <w14:ligatures w14:val="none"/>
              </w:rPr>
            </w:pPr>
          </w:p>
        </w:tc>
        <w:tc>
          <w:tcPr>
            <w:tcW w:w="309" w:type="pct"/>
            <w:tcBorders>
              <w:top w:val="single" w:sz="6" w:space="0" w:color="000000"/>
              <w:left w:val="single" w:sz="6" w:space="0" w:color="000000"/>
              <w:bottom w:val="single" w:sz="6" w:space="0" w:color="000000"/>
              <w:right w:val="single" w:sz="6" w:space="0" w:color="000000"/>
            </w:tcBorders>
          </w:tcPr>
          <w:p w14:paraId="558DA0A5" w14:textId="77777777" w:rsidR="00001A29" w:rsidRPr="008844AC" w:rsidRDefault="00001A29" w:rsidP="00061B39">
            <w:pPr>
              <w:spacing w:after="0" w:line="240" w:lineRule="auto"/>
              <w:rPr>
                <w:rFonts w:ascii="Times New Roman" w:eastAsia="Times New Roman" w:hAnsi="Times New Roman" w:cs="Times New Roman"/>
                <w:kern w:val="0"/>
                <w:lang w:eastAsia="ro-MD"/>
                <w14:ligatures w14:val="none"/>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8BB6D" w14:textId="77777777" w:rsidR="00001A29" w:rsidRPr="008844AC" w:rsidRDefault="00001A29" w:rsidP="00061B39">
            <w:pPr>
              <w:spacing w:after="0" w:line="240" w:lineRule="auto"/>
              <w:rPr>
                <w:rFonts w:ascii="Times New Roman" w:eastAsia="Times New Roman" w:hAnsi="Times New Roman" w:cs="Times New Roman"/>
                <w:kern w:val="0"/>
                <w:lang w:eastAsia="ro-MD"/>
                <w14:ligatures w14:val="none"/>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B0423" w14:textId="77777777" w:rsidR="00001A29" w:rsidRPr="008844AC" w:rsidRDefault="00001A29"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A8DC1" w14:textId="77777777" w:rsidR="00001A29" w:rsidRPr="008844AC" w:rsidRDefault="00001A29"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CF331" w14:textId="77777777" w:rsidR="00001A29" w:rsidRPr="008844AC" w:rsidRDefault="00001A29"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A5C9E" w14:textId="77777777" w:rsidR="00001A29" w:rsidRPr="008844AC" w:rsidRDefault="00001A29" w:rsidP="00061B39">
            <w:pPr>
              <w:spacing w:after="0" w:line="240" w:lineRule="auto"/>
              <w:jc w:val="center"/>
              <w:rPr>
                <w:rFonts w:ascii="Times New Roman" w:eastAsia="Times New Roman" w:hAnsi="Times New Roman" w:cs="Times New Roman"/>
                <w:kern w:val="0"/>
                <w:sz w:val="20"/>
                <w:szCs w:val="20"/>
                <w:lang w:eastAsia="ro-MD"/>
                <w14:ligatures w14:val="none"/>
              </w:rPr>
            </w:pPr>
          </w:p>
        </w:tc>
      </w:tr>
      <w:tr w:rsidR="00AE2BD1" w:rsidRPr="008844AC" w14:paraId="0972A28E"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BA688" w14:textId="5570828B" w:rsidR="00AE2BD1" w:rsidRPr="00E91D07" w:rsidRDefault="00895E30" w:rsidP="00061B39">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AE2BD1" w:rsidRPr="00E91D07">
              <w:rPr>
                <w:rFonts w:ascii="Times New Roman" w:eastAsia="Times New Roman" w:hAnsi="Times New Roman" w:cs="Times New Roman"/>
                <w:kern w:val="0"/>
                <w:lang w:eastAsia="ro-MD"/>
                <w14:ligatures w14:val="none"/>
              </w:rPr>
              <w:t>035</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08AF7" w14:textId="39D83E90" w:rsidR="00AE2BD1" w:rsidRPr="008844AC" w:rsidRDefault="00AE2BD1" w:rsidP="00061B39">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din care: expuneri aflate sub incidența factorului de sprijinire a infrastructurii</w:t>
            </w:r>
          </w:p>
        </w:tc>
        <w:tc>
          <w:tcPr>
            <w:tcW w:w="340" w:type="pct"/>
            <w:tcBorders>
              <w:top w:val="single" w:sz="6" w:space="0" w:color="000000"/>
              <w:left w:val="single" w:sz="6" w:space="0" w:color="000000"/>
              <w:bottom w:val="single" w:sz="6" w:space="0" w:color="000000"/>
              <w:right w:val="single" w:sz="6" w:space="0" w:color="000000"/>
            </w:tcBorders>
          </w:tcPr>
          <w:p w14:paraId="40102496" w14:textId="77777777" w:rsidR="00AE2BD1" w:rsidRPr="008844AC" w:rsidRDefault="00AE2BD1" w:rsidP="00061B39">
            <w:pPr>
              <w:spacing w:after="0" w:line="240" w:lineRule="auto"/>
              <w:rPr>
                <w:rFonts w:ascii="Times New Roman" w:eastAsia="Times New Roman" w:hAnsi="Times New Roman" w:cs="Times New Roman"/>
                <w:kern w:val="0"/>
                <w:lang w:eastAsia="ro-MD"/>
                <w14:ligatures w14:val="none"/>
              </w:rPr>
            </w:pPr>
          </w:p>
        </w:tc>
        <w:tc>
          <w:tcPr>
            <w:tcW w:w="309" w:type="pct"/>
            <w:tcBorders>
              <w:top w:val="single" w:sz="6" w:space="0" w:color="000000"/>
              <w:left w:val="single" w:sz="6" w:space="0" w:color="000000"/>
              <w:bottom w:val="single" w:sz="6" w:space="0" w:color="000000"/>
              <w:right w:val="single" w:sz="6" w:space="0" w:color="000000"/>
            </w:tcBorders>
          </w:tcPr>
          <w:p w14:paraId="465855E6" w14:textId="77777777" w:rsidR="00AE2BD1" w:rsidRPr="008844AC" w:rsidRDefault="00AE2BD1" w:rsidP="00061B39">
            <w:pPr>
              <w:spacing w:after="0" w:line="240" w:lineRule="auto"/>
              <w:rPr>
                <w:rFonts w:ascii="Times New Roman" w:eastAsia="Times New Roman" w:hAnsi="Times New Roman" w:cs="Times New Roman"/>
                <w:kern w:val="0"/>
                <w:lang w:eastAsia="ro-MD"/>
                <w14:ligatures w14:val="none"/>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4365D" w14:textId="77777777" w:rsidR="00AE2BD1" w:rsidRPr="008844AC" w:rsidRDefault="00AE2BD1" w:rsidP="00061B39">
            <w:pPr>
              <w:spacing w:after="0" w:line="240" w:lineRule="auto"/>
              <w:rPr>
                <w:rFonts w:ascii="Times New Roman" w:eastAsia="Times New Roman" w:hAnsi="Times New Roman" w:cs="Times New Roman"/>
                <w:kern w:val="0"/>
                <w:lang w:eastAsia="ro-MD"/>
                <w14:ligatures w14:val="none"/>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67782" w14:textId="77777777" w:rsidR="00AE2BD1" w:rsidRPr="008844AC" w:rsidRDefault="00AE2BD1"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39B62" w14:textId="77777777" w:rsidR="00AE2BD1" w:rsidRPr="008844AC" w:rsidRDefault="00AE2BD1"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CBA51" w14:textId="77777777" w:rsidR="00AE2BD1" w:rsidRPr="008844AC" w:rsidRDefault="00AE2BD1"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4ACB6" w14:textId="77777777" w:rsidR="00AE2BD1" w:rsidRPr="008844AC" w:rsidRDefault="00AE2BD1" w:rsidP="00061B39">
            <w:pPr>
              <w:spacing w:after="0" w:line="240" w:lineRule="auto"/>
              <w:jc w:val="center"/>
              <w:rPr>
                <w:rFonts w:ascii="Times New Roman" w:eastAsia="Times New Roman" w:hAnsi="Times New Roman" w:cs="Times New Roman"/>
                <w:kern w:val="0"/>
                <w:sz w:val="20"/>
                <w:szCs w:val="20"/>
                <w:lang w:eastAsia="ro-MD"/>
                <w14:ligatures w14:val="none"/>
              </w:rPr>
            </w:pPr>
          </w:p>
        </w:tc>
      </w:tr>
      <w:tr w:rsidR="00001A29" w:rsidRPr="008844AC" w14:paraId="3CCD69DE" w14:textId="77777777" w:rsidTr="007A036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2CC4C" w14:textId="42A7E8FD" w:rsidR="00001A29" w:rsidRPr="008844AC" w:rsidRDefault="00895E30" w:rsidP="00061B3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001A29" w:rsidRPr="008844AC">
              <w:rPr>
                <w:rFonts w:ascii="Times New Roman" w:eastAsia="Times New Roman" w:hAnsi="Times New Roman" w:cs="Times New Roman"/>
                <w:kern w:val="0"/>
                <w:lang w:eastAsia="ro-MD"/>
                <w14:ligatures w14:val="none"/>
              </w:rPr>
              <w:t>050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4479D" w14:textId="27027B58" w:rsidR="00001A29" w:rsidRPr="008844AC" w:rsidRDefault="00001A29" w:rsidP="00061B39">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din care: expuneri aflate sub </w:t>
            </w:r>
            <w:proofErr w:type="spellStart"/>
            <w:r w:rsidRPr="008844AC">
              <w:rPr>
                <w:rFonts w:ascii="Times New Roman" w:eastAsia="Times New Roman" w:hAnsi="Times New Roman" w:cs="Times New Roman"/>
                <w:kern w:val="0"/>
                <w:lang w:eastAsia="ro-MD"/>
                <w14:ligatures w14:val="none"/>
              </w:rPr>
              <w:t>incidenţa</w:t>
            </w:r>
            <w:proofErr w:type="spellEnd"/>
            <w:r w:rsidRPr="008844AC">
              <w:rPr>
                <w:rFonts w:ascii="Times New Roman" w:eastAsia="Times New Roman" w:hAnsi="Times New Roman" w:cs="Times New Roman"/>
                <w:kern w:val="0"/>
                <w:lang w:eastAsia="ro-MD"/>
                <w14:ligatures w14:val="none"/>
              </w:rPr>
              <w:t xml:space="preserve"> utilizării </w:t>
            </w:r>
            <w:proofErr w:type="spellStart"/>
            <w:r w:rsidRPr="008844AC">
              <w:rPr>
                <w:rFonts w:ascii="Times New Roman" w:eastAsia="Times New Roman" w:hAnsi="Times New Roman" w:cs="Times New Roman"/>
                <w:kern w:val="0"/>
                <w:lang w:eastAsia="ro-MD"/>
                <w14:ligatures w14:val="none"/>
              </w:rPr>
              <w:t>parţiale</w:t>
            </w:r>
            <w:proofErr w:type="spellEnd"/>
            <w:r w:rsidRPr="008844AC">
              <w:rPr>
                <w:rFonts w:ascii="Times New Roman" w:eastAsia="Times New Roman" w:hAnsi="Times New Roman" w:cs="Times New Roman"/>
                <w:kern w:val="0"/>
                <w:lang w:eastAsia="ro-MD"/>
                <w14:ligatures w14:val="none"/>
              </w:rPr>
              <w:t xml:space="preserve"> permanente a abordării standardizate</w:t>
            </w:r>
          </w:p>
        </w:tc>
        <w:tc>
          <w:tcPr>
            <w:tcW w:w="340" w:type="pct"/>
            <w:tcBorders>
              <w:top w:val="single" w:sz="6" w:space="0" w:color="000000"/>
              <w:left w:val="single" w:sz="6" w:space="0" w:color="000000"/>
              <w:bottom w:val="single" w:sz="6" w:space="0" w:color="000000"/>
              <w:right w:val="single" w:sz="6" w:space="0" w:color="000000"/>
            </w:tcBorders>
          </w:tcPr>
          <w:p w14:paraId="386C413B" w14:textId="77777777"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c>
          <w:tcPr>
            <w:tcW w:w="309" w:type="pct"/>
            <w:tcBorders>
              <w:top w:val="single" w:sz="6" w:space="0" w:color="000000"/>
              <w:left w:val="single" w:sz="6" w:space="0" w:color="000000"/>
              <w:bottom w:val="single" w:sz="6" w:space="0" w:color="000000"/>
              <w:right w:val="single" w:sz="6" w:space="0" w:color="000000"/>
            </w:tcBorders>
          </w:tcPr>
          <w:p w14:paraId="2C0F3D31" w14:textId="77777777"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AB4296" w14:textId="5F531FC0"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2660C3" w14:textId="4060DEE0"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5B04BE" w14:textId="384EC178"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D18FB7" w14:textId="4BA29C30"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833D24" w14:textId="774C77F3"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r>
      <w:tr w:rsidR="00001A29" w:rsidRPr="008844AC" w14:paraId="3AAC484A" w14:textId="77777777" w:rsidTr="007A036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330AF" w14:textId="572D95E0" w:rsidR="00001A29" w:rsidRPr="008844AC" w:rsidRDefault="00895E30" w:rsidP="00061B3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001A29" w:rsidRPr="008844AC">
              <w:rPr>
                <w:rFonts w:ascii="Times New Roman" w:eastAsia="Times New Roman" w:hAnsi="Times New Roman" w:cs="Times New Roman"/>
                <w:kern w:val="0"/>
                <w:lang w:eastAsia="ro-MD"/>
                <w14:ligatures w14:val="none"/>
              </w:rPr>
              <w:t>060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F648C" w14:textId="302AD285" w:rsidR="00001A29" w:rsidRPr="008844AC" w:rsidRDefault="00001A29" w:rsidP="00061B39">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din care: expunerile din cadrul abordării standardizate cu </w:t>
            </w:r>
            <w:r w:rsidR="00AE2BD1" w:rsidRPr="00052914">
              <w:rPr>
                <w:rFonts w:ascii="Times New Roman" w:eastAsia="Times New Roman" w:hAnsi="Times New Roman" w:cs="Times New Roman"/>
                <w:kern w:val="0"/>
                <w:lang w:eastAsia="ro-MD"/>
                <w14:ligatures w14:val="none"/>
              </w:rPr>
              <w:t>aprobarea</w:t>
            </w:r>
            <w:r w:rsidRPr="00690454">
              <w:rPr>
                <w:rFonts w:ascii="Times New Roman" w:eastAsia="Times New Roman" w:hAnsi="Times New Roman" w:cs="Times New Roman"/>
                <w:kern w:val="0"/>
                <w:lang w:eastAsia="ro-MD"/>
                <w14:ligatures w14:val="none"/>
              </w:rPr>
              <w:t xml:space="preserve"> prealabilă</w:t>
            </w:r>
            <w:r w:rsidRPr="008844AC">
              <w:rPr>
                <w:rFonts w:ascii="Times New Roman" w:eastAsia="Times New Roman" w:hAnsi="Times New Roman" w:cs="Times New Roman"/>
                <w:kern w:val="0"/>
                <w:lang w:eastAsia="ro-MD"/>
                <w14:ligatures w14:val="none"/>
              </w:rPr>
              <w:t xml:space="preserve"> a </w:t>
            </w:r>
            <w:proofErr w:type="spellStart"/>
            <w:r w:rsidRPr="008844AC">
              <w:rPr>
                <w:rFonts w:ascii="Times New Roman" w:eastAsia="Times New Roman" w:hAnsi="Times New Roman" w:cs="Times New Roman"/>
                <w:kern w:val="0"/>
                <w:lang w:eastAsia="ro-MD"/>
                <w14:ligatures w14:val="none"/>
              </w:rPr>
              <w:t>autorităţii</w:t>
            </w:r>
            <w:proofErr w:type="spellEnd"/>
            <w:r w:rsidRPr="008844AC">
              <w:rPr>
                <w:rFonts w:ascii="Times New Roman" w:eastAsia="Times New Roman" w:hAnsi="Times New Roman" w:cs="Times New Roman"/>
                <w:kern w:val="0"/>
                <w:lang w:eastAsia="ro-MD"/>
                <w14:ligatures w14:val="none"/>
              </w:rPr>
              <w:t xml:space="preserve"> de supraveghere de a efectua o implementare progresivă a abordării IRB</w:t>
            </w:r>
          </w:p>
        </w:tc>
        <w:tc>
          <w:tcPr>
            <w:tcW w:w="340" w:type="pct"/>
            <w:tcBorders>
              <w:top w:val="single" w:sz="6" w:space="0" w:color="000000"/>
              <w:left w:val="single" w:sz="6" w:space="0" w:color="000000"/>
              <w:bottom w:val="single" w:sz="6" w:space="0" w:color="000000"/>
              <w:right w:val="single" w:sz="6" w:space="0" w:color="000000"/>
            </w:tcBorders>
          </w:tcPr>
          <w:p w14:paraId="7FD10075" w14:textId="77777777"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c>
          <w:tcPr>
            <w:tcW w:w="309" w:type="pct"/>
            <w:tcBorders>
              <w:top w:val="single" w:sz="6" w:space="0" w:color="000000"/>
              <w:left w:val="single" w:sz="6" w:space="0" w:color="000000"/>
              <w:bottom w:val="single" w:sz="6" w:space="0" w:color="000000"/>
              <w:right w:val="single" w:sz="6" w:space="0" w:color="000000"/>
            </w:tcBorders>
          </w:tcPr>
          <w:p w14:paraId="100B9227" w14:textId="77777777"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F28935" w14:textId="25CDBC84"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868215" w14:textId="4F55B356"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393293" w14:textId="5C695102"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560E2B" w14:textId="7E27EAD8"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6A3627" w14:textId="12F5E391"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r>
      <w:tr w:rsidR="00690454" w:rsidRPr="00690454" w14:paraId="3CA2C3C3"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023537" w14:textId="5625F35B"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lastRenderedPageBreak/>
              <w:t>0061</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C051B4" w14:textId="6E99C1D5" w:rsidR="00690454" w:rsidRPr="00690454" w:rsidRDefault="00690454" w:rsidP="00690454">
            <w:pPr>
              <w:spacing w:after="0" w:line="240" w:lineRule="auto"/>
              <w:rPr>
                <w:rFonts w:ascii="Times New Roman" w:eastAsia="Times New Roman" w:hAnsi="Times New Roman" w:cs="Times New Roman"/>
                <w:kern w:val="0"/>
                <w:lang w:eastAsia="ro-MD"/>
                <w14:ligatures w14:val="none"/>
              </w:rPr>
            </w:pPr>
            <w:r w:rsidRPr="00690454">
              <w:rPr>
                <w:rFonts w:ascii="Times New Roman" w:eastAsia="Times New Roman" w:hAnsi="Times New Roman" w:cs="Times New Roman"/>
                <w:kern w:val="0"/>
                <w:lang w:eastAsia="ro-MD"/>
                <w14:ligatures w14:val="none"/>
              </w:rPr>
              <w:t xml:space="preserve">din care: </w:t>
            </w:r>
            <w:r w:rsidR="00BE2F10">
              <w:rPr>
                <w:rFonts w:ascii="Times New Roman" w:eastAsia="Times New Roman" w:hAnsi="Times New Roman" w:cs="Times New Roman"/>
                <w:kern w:val="0"/>
                <w:lang w:eastAsia="ro-MD"/>
                <w14:ligatures w14:val="none"/>
              </w:rPr>
              <w:t>e</w:t>
            </w:r>
            <w:r w:rsidRPr="00690454">
              <w:rPr>
                <w:rFonts w:ascii="Times New Roman" w:eastAsia="Times New Roman" w:hAnsi="Times New Roman" w:cs="Times New Roman"/>
                <w:kern w:val="0"/>
                <w:lang w:eastAsia="ro-MD"/>
                <w14:ligatures w14:val="none"/>
              </w:rPr>
              <w:t xml:space="preserve">xpuneri IPRE care îndeplinesc oricare dintre condițiile prevăzute </w:t>
            </w:r>
            <w:r w:rsidRPr="00052914">
              <w:rPr>
                <w:rFonts w:ascii="Times New Roman" w:eastAsia="Times New Roman" w:hAnsi="Times New Roman" w:cs="Times New Roman"/>
                <w:kern w:val="0"/>
                <w:lang w:eastAsia="ro-MD"/>
                <w14:ligatures w14:val="none"/>
              </w:rPr>
              <w:t xml:space="preserve">la </w:t>
            </w:r>
            <w:r w:rsidRPr="00052914">
              <w:rPr>
                <w:rStyle w:val="InstructionsTabelleberschrift"/>
                <w:rFonts w:ascii="Times New Roman" w:hAnsi="Times New Roman"/>
                <w:b w:val="0"/>
                <w:bCs w:val="0"/>
                <w:sz w:val="22"/>
                <w:u w:val="none"/>
              </w:rPr>
              <w:t>punctul 66 subpunctul 1) lit. b) din Regulamentul nr. 111/2018</w:t>
            </w:r>
          </w:p>
        </w:tc>
        <w:tc>
          <w:tcPr>
            <w:tcW w:w="340" w:type="pct"/>
            <w:tcBorders>
              <w:top w:val="single" w:sz="6" w:space="0" w:color="000000"/>
              <w:left w:val="single" w:sz="6" w:space="0" w:color="000000"/>
              <w:bottom w:val="single" w:sz="6" w:space="0" w:color="000000"/>
              <w:right w:val="single" w:sz="6" w:space="0" w:color="000000"/>
            </w:tcBorders>
          </w:tcPr>
          <w:p w14:paraId="020B2E40"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c>
          <w:tcPr>
            <w:tcW w:w="309" w:type="pct"/>
            <w:tcBorders>
              <w:top w:val="single" w:sz="6" w:space="0" w:color="000000"/>
              <w:left w:val="single" w:sz="6" w:space="0" w:color="000000"/>
              <w:bottom w:val="single" w:sz="6" w:space="0" w:color="000000"/>
              <w:right w:val="single" w:sz="6" w:space="0" w:color="000000"/>
            </w:tcBorders>
          </w:tcPr>
          <w:p w14:paraId="01FA0826"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174470"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A97B16"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E3DDAC"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BBF1C9"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37B835"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r>
      <w:tr w:rsidR="00690454" w:rsidRPr="00690454" w14:paraId="6309EB04"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7B57D8" w14:textId="12D6E28A"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0062</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E5D4E1" w14:textId="667ACD43" w:rsidR="00690454" w:rsidRPr="00690454" w:rsidRDefault="00690454" w:rsidP="00690454">
            <w:pPr>
              <w:spacing w:after="0" w:line="240" w:lineRule="auto"/>
              <w:rPr>
                <w:rFonts w:ascii="Times New Roman" w:eastAsia="Times New Roman" w:hAnsi="Times New Roman" w:cs="Times New Roman"/>
                <w:kern w:val="0"/>
                <w:lang w:eastAsia="ro-MD"/>
                <w14:ligatures w14:val="none"/>
              </w:rPr>
            </w:pPr>
            <w:r w:rsidRPr="00690454">
              <w:rPr>
                <w:rFonts w:ascii="Times New Roman" w:eastAsia="Times New Roman" w:hAnsi="Times New Roman" w:cs="Times New Roman"/>
                <w:kern w:val="0"/>
                <w:lang w:eastAsia="ro-MD"/>
                <w14:ligatures w14:val="none"/>
              </w:rPr>
              <w:t xml:space="preserve">din care: </w:t>
            </w:r>
            <w:r w:rsidR="00BE2F10">
              <w:rPr>
                <w:rFonts w:ascii="Times New Roman" w:eastAsia="Times New Roman" w:hAnsi="Times New Roman" w:cs="Times New Roman"/>
                <w:kern w:val="0"/>
                <w:lang w:eastAsia="ro-MD"/>
                <w14:ligatures w14:val="none"/>
              </w:rPr>
              <w:t>e</w:t>
            </w:r>
            <w:r w:rsidRPr="00690454">
              <w:rPr>
                <w:rFonts w:ascii="Times New Roman" w:eastAsia="Times New Roman" w:hAnsi="Times New Roman" w:cs="Times New Roman"/>
                <w:kern w:val="0"/>
                <w:lang w:eastAsia="ro-MD"/>
                <w14:ligatures w14:val="none"/>
              </w:rPr>
              <w:t xml:space="preserve">xpuneri IPRE în cazul cărora se aplică derogarea prevăzută </w:t>
            </w:r>
            <w:r w:rsidRPr="00052914">
              <w:rPr>
                <w:rFonts w:ascii="Times New Roman" w:eastAsia="Times New Roman" w:hAnsi="Times New Roman" w:cs="Times New Roman"/>
                <w:kern w:val="0"/>
                <w:lang w:eastAsia="ro-MD"/>
                <w14:ligatures w14:val="none"/>
              </w:rPr>
              <w:t xml:space="preserve">la </w:t>
            </w:r>
            <w:r w:rsidRPr="00052914">
              <w:rPr>
                <w:rStyle w:val="InstructionsTabelleberschrift"/>
                <w:rFonts w:ascii="Times New Roman" w:hAnsi="Times New Roman"/>
                <w:b w:val="0"/>
                <w:bCs w:val="0"/>
                <w:sz w:val="22"/>
                <w:u w:val="none"/>
              </w:rPr>
              <w:t>punctul 70</w:t>
            </w:r>
            <w:r w:rsidRPr="00052914">
              <w:rPr>
                <w:rStyle w:val="InstructionsTabelleberschrift"/>
                <w:rFonts w:ascii="Times New Roman" w:hAnsi="Times New Roman"/>
                <w:b w:val="0"/>
                <w:bCs w:val="0"/>
                <w:sz w:val="22"/>
                <w:u w:val="none"/>
                <w:vertAlign w:val="superscript"/>
              </w:rPr>
              <w:t xml:space="preserve">2 </w:t>
            </w:r>
            <w:r w:rsidRPr="00052914">
              <w:rPr>
                <w:rStyle w:val="InstructionsTabelleberschrift"/>
                <w:rFonts w:ascii="Times New Roman" w:hAnsi="Times New Roman"/>
                <w:b w:val="0"/>
                <w:bCs w:val="0"/>
                <w:sz w:val="22"/>
                <w:u w:val="none"/>
              </w:rPr>
              <w:t>din Regulamentul nr. 111/2018</w:t>
            </w:r>
          </w:p>
        </w:tc>
        <w:tc>
          <w:tcPr>
            <w:tcW w:w="340" w:type="pct"/>
            <w:tcBorders>
              <w:top w:val="single" w:sz="6" w:space="0" w:color="000000"/>
              <w:left w:val="single" w:sz="6" w:space="0" w:color="000000"/>
              <w:bottom w:val="single" w:sz="6" w:space="0" w:color="000000"/>
              <w:right w:val="single" w:sz="6" w:space="0" w:color="000000"/>
            </w:tcBorders>
          </w:tcPr>
          <w:p w14:paraId="2424ACA8"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c>
          <w:tcPr>
            <w:tcW w:w="309" w:type="pct"/>
            <w:tcBorders>
              <w:top w:val="single" w:sz="6" w:space="0" w:color="000000"/>
              <w:left w:val="single" w:sz="6" w:space="0" w:color="000000"/>
              <w:bottom w:val="single" w:sz="6" w:space="0" w:color="000000"/>
              <w:right w:val="single" w:sz="6" w:space="0" w:color="000000"/>
            </w:tcBorders>
          </w:tcPr>
          <w:p w14:paraId="2E0078AE"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228845"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D2AFD5"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B06661"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547594"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2F562D"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r>
      <w:tr w:rsidR="00690454" w:rsidRPr="00690454" w14:paraId="75DA3903"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DB8E5B" w14:textId="6B2EB110"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0063</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F12C26" w14:textId="52FA73C8" w:rsidR="00690454" w:rsidRPr="00690454" w:rsidRDefault="00690454" w:rsidP="00690454">
            <w:pPr>
              <w:spacing w:after="0" w:line="240" w:lineRule="auto"/>
              <w:rPr>
                <w:rFonts w:ascii="Times New Roman" w:eastAsia="Times New Roman" w:hAnsi="Times New Roman" w:cs="Times New Roman"/>
                <w:kern w:val="0"/>
                <w:lang w:eastAsia="ro-MD"/>
                <w14:ligatures w14:val="none"/>
              </w:rPr>
            </w:pPr>
            <w:r w:rsidRPr="00690454">
              <w:rPr>
                <w:rFonts w:ascii="Times New Roman" w:eastAsia="Times New Roman" w:hAnsi="Times New Roman" w:cs="Times New Roman"/>
                <w:kern w:val="0"/>
                <w:lang w:eastAsia="ro-MD"/>
                <w14:ligatures w14:val="none"/>
              </w:rPr>
              <w:t xml:space="preserve">din care: </w:t>
            </w:r>
            <w:r w:rsidR="00BE2F10">
              <w:rPr>
                <w:rFonts w:ascii="Times New Roman" w:eastAsia="Times New Roman" w:hAnsi="Times New Roman" w:cs="Times New Roman"/>
                <w:kern w:val="0"/>
                <w:lang w:eastAsia="ro-MD"/>
                <w14:ligatures w14:val="none"/>
              </w:rPr>
              <w:t>e</w:t>
            </w:r>
            <w:r w:rsidRPr="00690454">
              <w:rPr>
                <w:rFonts w:ascii="Times New Roman" w:eastAsia="Times New Roman" w:hAnsi="Times New Roman" w:cs="Times New Roman"/>
                <w:kern w:val="0"/>
                <w:lang w:eastAsia="ro-MD"/>
                <w14:ligatures w14:val="none"/>
              </w:rPr>
              <w:t xml:space="preserve">xpuneri IPRE în cazul cărora se aplică derogarea prevăzută la </w:t>
            </w:r>
            <w:r w:rsidRPr="00690454">
              <w:rPr>
                <w:rStyle w:val="InstructionsTabelleberschrift"/>
                <w:rFonts w:ascii="Times New Roman" w:hAnsi="Times New Roman"/>
                <w:b w:val="0"/>
                <w:bCs w:val="0"/>
                <w:sz w:val="22"/>
                <w:u w:val="none"/>
              </w:rPr>
              <w:t>punctul 72</w:t>
            </w:r>
            <w:r w:rsidRPr="00690454">
              <w:rPr>
                <w:rStyle w:val="InstructionsTabelleberschrift"/>
                <w:rFonts w:ascii="Times New Roman" w:hAnsi="Times New Roman"/>
                <w:b w:val="0"/>
                <w:bCs w:val="0"/>
                <w:sz w:val="22"/>
                <w:u w:val="none"/>
                <w:vertAlign w:val="superscript"/>
              </w:rPr>
              <w:t>2</w:t>
            </w:r>
            <w:r w:rsidRPr="00690454">
              <w:rPr>
                <w:rStyle w:val="InstructionsTabelleberschrift"/>
                <w:rFonts w:ascii="Times New Roman" w:hAnsi="Times New Roman"/>
                <w:b w:val="0"/>
                <w:bCs w:val="0"/>
                <w:sz w:val="22"/>
                <w:u w:val="none"/>
              </w:rPr>
              <w:t xml:space="preserve"> din Regulamentul nr. 111/2018</w:t>
            </w:r>
          </w:p>
        </w:tc>
        <w:tc>
          <w:tcPr>
            <w:tcW w:w="340" w:type="pct"/>
            <w:tcBorders>
              <w:top w:val="single" w:sz="6" w:space="0" w:color="000000"/>
              <w:left w:val="single" w:sz="6" w:space="0" w:color="000000"/>
              <w:bottom w:val="single" w:sz="6" w:space="0" w:color="000000"/>
              <w:right w:val="single" w:sz="6" w:space="0" w:color="000000"/>
            </w:tcBorders>
          </w:tcPr>
          <w:p w14:paraId="213787A5"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c>
          <w:tcPr>
            <w:tcW w:w="309" w:type="pct"/>
            <w:tcBorders>
              <w:top w:val="single" w:sz="6" w:space="0" w:color="000000"/>
              <w:left w:val="single" w:sz="6" w:space="0" w:color="000000"/>
              <w:bottom w:val="single" w:sz="6" w:space="0" w:color="000000"/>
              <w:right w:val="single" w:sz="6" w:space="0" w:color="000000"/>
            </w:tcBorders>
          </w:tcPr>
          <w:p w14:paraId="6A5B969C"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ADDE6C"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3AC9D2"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5D6F67"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87B4C1"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2E575B" w14:textId="77777777" w:rsidR="00690454" w:rsidRPr="00690454" w:rsidRDefault="00690454" w:rsidP="00690454">
            <w:pPr>
              <w:spacing w:after="0" w:line="240" w:lineRule="auto"/>
              <w:jc w:val="center"/>
              <w:rPr>
                <w:rFonts w:ascii="Times New Roman" w:eastAsia="Times New Roman" w:hAnsi="Times New Roman" w:cs="Times New Roman"/>
                <w:kern w:val="0"/>
                <w:lang w:eastAsia="ro-MD"/>
                <w14:ligatures w14:val="none"/>
              </w:rPr>
            </w:pPr>
          </w:p>
        </w:tc>
      </w:tr>
      <w:tr w:rsidR="00001A29" w:rsidRPr="008844AC" w14:paraId="686D0917"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5FC49C" w14:textId="5B8565EA" w:rsidR="00001A29" w:rsidRPr="00690454" w:rsidRDefault="00895E30" w:rsidP="00061B39">
            <w:pPr>
              <w:spacing w:after="0" w:line="240" w:lineRule="auto"/>
              <w:jc w:val="center"/>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0</w:t>
            </w:r>
            <w:r w:rsidR="00001A29" w:rsidRPr="00052914">
              <w:rPr>
                <w:rFonts w:ascii="Times New Roman" w:eastAsia="Times New Roman" w:hAnsi="Times New Roman" w:cs="Times New Roman"/>
                <w:kern w:val="0"/>
                <w:lang w:eastAsia="ro-MD"/>
                <w14:ligatures w14:val="none"/>
              </w:rPr>
              <w:t>064</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065304" w14:textId="688DE213" w:rsidR="00001A29" w:rsidRPr="008844AC" w:rsidRDefault="00001A29" w:rsidP="00061B39">
            <w:pPr>
              <w:spacing w:after="0" w:line="240" w:lineRule="auto"/>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 xml:space="preserve">din care: </w:t>
            </w:r>
            <w:r w:rsidR="00BE2F10">
              <w:rPr>
                <w:rFonts w:ascii="Times New Roman" w:eastAsia="Times New Roman" w:hAnsi="Times New Roman" w:cs="Times New Roman"/>
                <w:kern w:val="0"/>
                <w:lang w:eastAsia="ro-MD"/>
                <w14:ligatures w14:val="none"/>
              </w:rPr>
              <w:t>e</w:t>
            </w:r>
            <w:r w:rsidRPr="00052914">
              <w:rPr>
                <w:rFonts w:ascii="Times New Roman" w:eastAsia="Times New Roman" w:hAnsi="Times New Roman" w:cs="Times New Roman"/>
                <w:kern w:val="0"/>
                <w:lang w:eastAsia="ro-MD"/>
                <w14:ligatures w14:val="none"/>
              </w:rPr>
              <w:t>xpuneri din cadrul abordării IRB</w:t>
            </w:r>
          </w:p>
        </w:tc>
        <w:tc>
          <w:tcPr>
            <w:tcW w:w="340" w:type="pct"/>
            <w:tcBorders>
              <w:top w:val="single" w:sz="6" w:space="0" w:color="000000"/>
              <w:left w:val="single" w:sz="6" w:space="0" w:color="000000"/>
              <w:bottom w:val="single" w:sz="6" w:space="0" w:color="000000"/>
              <w:right w:val="single" w:sz="6" w:space="0" w:color="000000"/>
            </w:tcBorders>
          </w:tcPr>
          <w:p w14:paraId="09AB78BA" w14:textId="77777777"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c>
          <w:tcPr>
            <w:tcW w:w="309" w:type="pct"/>
            <w:tcBorders>
              <w:top w:val="single" w:sz="6" w:space="0" w:color="000000"/>
              <w:left w:val="single" w:sz="6" w:space="0" w:color="000000"/>
              <w:bottom w:val="single" w:sz="6" w:space="0" w:color="000000"/>
              <w:right w:val="single" w:sz="6" w:space="0" w:color="000000"/>
            </w:tcBorders>
          </w:tcPr>
          <w:p w14:paraId="12433ADC" w14:textId="77777777"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35C1BF" w14:textId="77777777"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567C3B" w14:textId="77777777"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E88D9E" w14:textId="77777777"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8DCA5B" w14:textId="77777777"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98CFEA" w14:textId="77777777"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p>
        </w:tc>
      </w:tr>
      <w:tr w:rsidR="00001A29" w:rsidRPr="008844AC" w14:paraId="586A4725" w14:textId="77777777" w:rsidTr="00061B39">
        <w:tc>
          <w:tcPr>
            <w:tcW w:w="5000" w:type="pct"/>
            <w:gridSpan w:val="9"/>
            <w:tcBorders>
              <w:top w:val="single" w:sz="6" w:space="0" w:color="000000"/>
              <w:left w:val="single" w:sz="6" w:space="0" w:color="000000"/>
              <w:bottom w:val="single" w:sz="6" w:space="0" w:color="000000"/>
              <w:right w:val="single" w:sz="6" w:space="0" w:color="000000"/>
            </w:tcBorders>
          </w:tcPr>
          <w:p w14:paraId="4FFE16E7" w14:textId="77777777" w:rsidR="00001A29" w:rsidRPr="008844AC" w:rsidRDefault="00001A29" w:rsidP="00061B3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  </w:t>
            </w:r>
          </w:p>
          <w:p w14:paraId="61C18723" w14:textId="77777777" w:rsidR="00001A29" w:rsidRPr="008844AC" w:rsidRDefault="00001A29" w:rsidP="00061B39">
            <w:pPr>
              <w:spacing w:after="0" w:line="240" w:lineRule="auto"/>
              <w:ind w:firstLine="567"/>
              <w:jc w:val="both"/>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DEFALCAREA EXPUNERILOR TOTALE PE TIPURI DE EXPUNERE:</w:t>
            </w:r>
          </w:p>
        </w:tc>
      </w:tr>
      <w:tr w:rsidR="00A7776C" w:rsidRPr="008844AC" w14:paraId="606BB24F"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832D5" w14:textId="2282057A" w:rsidR="00A7776C" w:rsidRPr="008844AC" w:rsidRDefault="00A7776C" w:rsidP="00061B3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sidR="00895E30">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70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2C76F" w14:textId="05E8FADB" w:rsidR="00A7776C" w:rsidRPr="008844AC" w:rsidRDefault="00A7776C" w:rsidP="00061B39">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Expuneri </w:t>
            </w:r>
            <w:proofErr w:type="spellStart"/>
            <w:r w:rsidRPr="008844AC">
              <w:rPr>
                <w:rFonts w:ascii="Times New Roman" w:eastAsia="Times New Roman" w:hAnsi="Times New Roman" w:cs="Times New Roman"/>
                <w:kern w:val="0"/>
                <w:lang w:eastAsia="ro-MD"/>
                <w14:ligatures w14:val="none"/>
              </w:rPr>
              <w:t>bilanţiere</w:t>
            </w:r>
            <w:proofErr w:type="spellEnd"/>
            <w:r w:rsidRPr="008844AC">
              <w:rPr>
                <w:rFonts w:ascii="Times New Roman" w:eastAsia="Times New Roman" w:hAnsi="Times New Roman" w:cs="Times New Roman"/>
                <w:kern w:val="0"/>
                <w:lang w:eastAsia="ro-MD"/>
                <w14:ligatures w14:val="none"/>
              </w:rPr>
              <w:t xml:space="preserve"> supuse riscului de credit</w:t>
            </w:r>
          </w:p>
        </w:tc>
        <w:tc>
          <w:tcPr>
            <w:tcW w:w="340" w:type="pct"/>
            <w:tcBorders>
              <w:top w:val="single" w:sz="6" w:space="0" w:color="000000"/>
              <w:left w:val="single" w:sz="6" w:space="0" w:color="000000"/>
              <w:bottom w:val="single" w:sz="6" w:space="0" w:color="000000"/>
              <w:right w:val="single" w:sz="6" w:space="0" w:color="000000"/>
            </w:tcBorders>
          </w:tcPr>
          <w:p w14:paraId="10A9ADB1" w14:textId="77777777" w:rsidR="00A7776C" w:rsidRPr="008844AC" w:rsidRDefault="00A7776C" w:rsidP="00061B39">
            <w:pPr>
              <w:spacing w:after="0" w:line="240" w:lineRule="auto"/>
              <w:rPr>
                <w:rFonts w:ascii="Times New Roman" w:eastAsia="Times New Roman" w:hAnsi="Times New Roman" w:cs="Times New Roman"/>
                <w:kern w:val="0"/>
                <w:lang w:eastAsia="ro-MD"/>
                <w14:ligatures w14:val="none"/>
              </w:rPr>
            </w:pPr>
          </w:p>
        </w:tc>
        <w:tc>
          <w:tcPr>
            <w:tcW w:w="309" w:type="pct"/>
            <w:tcBorders>
              <w:top w:val="single" w:sz="6" w:space="0" w:color="000000"/>
              <w:left w:val="single" w:sz="6" w:space="0" w:color="000000"/>
              <w:bottom w:val="single" w:sz="6" w:space="0" w:color="000000"/>
              <w:right w:val="single" w:sz="6" w:space="0" w:color="000000"/>
            </w:tcBorders>
          </w:tcPr>
          <w:p w14:paraId="58792247" w14:textId="77777777" w:rsidR="00A7776C" w:rsidRPr="008844AC" w:rsidRDefault="00A7776C" w:rsidP="00061B39">
            <w:pPr>
              <w:spacing w:after="0" w:line="240" w:lineRule="auto"/>
              <w:rPr>
                <w:rFonts w:ascii="Times New Roman" w:eastAsia="Times New Roman" w:hAnsi="Times New Roman" w:cs="Times New Roman"/>
                <w:kern w:val="0"/>
                <w:lang w:eastAsia="ro-MD"/>
                <w14:ligatures w14:val="none"/>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4D738" w14:textId="77777777" w:rsidR="00A7776C" w:rsidRPr="008844AC" w:rsidRDefault="00A7776C" w:rsidP="00061B39">
            <w:pPr>
              <w:spacing w:after="0" w:line="240" w:lineRule="auto"/>
              <w:rPr>
                <w:rFonts w:ascii="Times New Roman" w:eastAsia="Times New Roman" w:hAnsi="Times New Roman" w:cs="Times New Roman"/>
                <w:kern w:val="0"/>
                <w:lang w:eastAsia="ro-MD"/>
                <w14:ligatures w14:val="none"/>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16433" w14:textId="77777777" w:rsidR="00A7776C" w:rsidRPr="008844AC" w:rsidRDefault="00A7776C"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DBEBC" w14:textId="77777777" w:rsidR="00A7776C" w:rsidRPr="008844AC" w:rsidRDefault="00A7776C"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B13B5" w14:textId="77777777" w:rsidR="00A7776C" w:rsidRPr="008844AC" w:rsidRDefault="00A7776C"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FBF52" w14:textId="77777777" w:rsidR="00A7776C" w:rsidRPr="008844AC" w:rsidRDefault="00A7776C" w:rsidP="00061B39">
            <w:pPr>
              <w:spacing w:after="0" w:line="240" w:lineRule="auto"/>
              <w:jc w:val="center"/>
              <w:rPr>
                <w:rFonts w:ascii="Times New Roman" w:eastAsia="Times New Roman" w:hAnsi="Times New Roman" w:cs="Times New Roman"/>
                <w:kern w:val="0"/>
                <w:sz w:val="20"/>
                <w:szCs w:val="20"/>
                <w:lang w:eastAsia="ro-MD"/>
                <w14:ligatures w14:val="none"/>
              </w:rPr>
            </w:pPr>
          </w:p>
        </w:tc>
      </w:tr>
      <w:tr w:rsidR="00A7776C" w:rsidRPr="008844AC" w14:paraId="146B58A5"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474EA" w14:textId="2AA70522" w:rsidR="00A7776C" w:rsidRPr="008844AC" w:rsidRDefault="00895E30" w:rsidP="00061B3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A7776C" w:rsidRPr="008844AC">
              <w:rPr>
                <w:rFonts w:ascii="Times New Roman" w:eastAsia="Times New Roman" w:hAnsi="Times New Roman" w:cs="Times New Roman"/>
                <w:kern w:val="0"/>
                <w:lang w:eastAsia="ro-MD"/>
                <w14:ligatures w14:val="none"/>
              </w:rPr>
              <w:t>080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60449" w14:textId="66DC658D" w:rsidR="00A7776C" w:rsidRPr="008844AC" w:rsidRDefault="00A7776C" w:rsidP="00061B39">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Expuneri </w:t>
            </w:r>
            <w:proofErr w:type="spellStart"/>
            <w:r w:rsidRPr="008844AC">
              <w:rPr>
                <w:rFonts w:ascii="Times New Roman" w:eastAsia="Times New Roman" w:hAnsi="Times New Roman" w:cs="Times New Roman"/>
                <w:kern w:val="0"/>
                <w:lang w:eastAsia="ro-MD"/>
                <w14:ligatures w14:val="none"/>
              </w:rPr>
              <w:t>extrabilanţiere</w:t>
            </w:r>
            <w:proofErr w:type="spellEnd"/>
            <w:r w:rsidRPr="008844AC">
              <w:rPr>
                <w:rFonts w:ascii="Times New Roman" w:eastAsia="Times New Roman" w:hAnsi="Times New Roman" w:cs="Times New Roman"/>
                <w:kern w:val="0"/>
                <w:lang w:eastAsia="ro-MD"/>
                <w14:ligatures w14:val="none"/>
              </w:rPr>
              <w:t xml:space="preserve"> supuse riscului de credit</w:t>
            </w:r>
          </w:p>
        </w:tc>
        <w:tc>
          <w:tcPr>
            <w:tcW w:w="340" w:type="pct"/>
            <w:tcBorders>
              <w:top w:val="single" w:sz="6" w:space="0" w:color="000000"/>
              <w:left w:val="single" w:sz="6" w:space="0" w:color="000000"/>
              <w:bottom w:val="single" w:sz="6" w:space="0" w:color="000000"/>
              <w:right w:val="single" w:sz="6" w:space="0" w:color="000000"/>
            </w:tcBorders>
          </w:tcPr>
          <w:p w14:paraId="1B7F1EBE" w14:textId="77777777" w:rsidR="00A7776C" w:rsidRPr="008844AC" w:rsidRDefault="00A7776C" w:rsidP="00061B39">
            <w:pPr>
              <w:spacing w:after="0" w:line="240" w:lineRule="auto"/>
              <w:rPr>
                <w:rFonts w:ascii="Times New Roman" w:eastAsia="Times New Roman" w:hAnsi="Times New Roman" w:cs="Times New Roman"/>
                <w:kern w:val="0"/>
                <w:lang w:eastAsia="ro-MD"/>
                <w14:ligatures w14:val="none"/>
              </w:rPr>
            </w:pPr>
          </w:p>
        </w:tc>
        <w:tc>
          <w:tcPr>
            <w:tcW w:w="309" w:type="pct"/>
            <w:tcBorders>
              <w:top w:val="single" w:sz="6" w:space="0" w:color="000000"/>
              <w:left w:val="single" w:sz="6" w:space="0" w:color="000000"/>
              <w:bottom w:val="single" w:sz="6" w:space="0" w:color="000000"/>
              <w:right w:val="single" w:sz="6" w:space="0" w:color="000000"/>
            </w:tcBorders>
          </w:tcPr>
          <w:p w14:paraId="76CB17AB" w14:textId="77777777" w:rsidR="00A7776C" w:rsidRPr="008844AC" w:rsidRDefault="00A7776C" w:rsidP="00061B39">
            <w:pPr>
              <w:spacing w:after="0" w:line="240" w:lineRule="auto"/>
              <w:rPr>
                <w:rFonts w:ascii="Times New Roman" w:eastAsia="Times New Roman" w:hAnsi="Times New Roman" w:cs="Times New Roman"/>
                <w:kern w:val="0"/>
                <w:lang w:eastAsia="ro-MD"/>
                <w14:ligatures w14:val="none"/>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7E13F" w14:textId="77777777" w:rsidR="00A7776C" w:rsidRPr="008844AC" w:rsidRDefault="00A7776C" w:rsidP="00061B39">
            <w:pPr>
              <w:spacing w:after="0" w:line="240" w:lineRule="auto"/>
              <w:rPr>
                <w:rFonts w:ascii="Times New Roman" w:eastAsia="Times New Roman" w:hAnsi="Times New Roman" w:cs="Times New Roman"/>
                <w:kern w:val="0"/>
                <w:lang w:eastAsia="ro-MD"/>
                <w14:ligatures w14:val="none"/>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91DE8" w14:textId="77777777" w:rsidR="00A7776C" w:rsidRPr="008844AC" w:rsidRDefault="00A7776C"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D15F6" w14:textId="77777777" w:rsidR="00A7776C" w:rsidRPr="008844AC" w:rsidRDefault="00A7776C"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05F8D" w14:textId="77777777" w:rsidR="00A7776C" w:rsidRPr="008844AC" w:rsidRDefault="00A7776C"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E6E54" w14:textId="77777777" w:rsidR="00A7776C" w:rsidRPr="008844AC" w:rsidRDefault="00A7776C" w:rsidP="00061B39">
            <w:pPr>
              <w:spacing w:after="0" w:line="240" w:lineRule="auto"/>
              <w:jc w:val="center"/>
              <w:rPr>
                <w:rFonts w:ascii="Times New Roman" w:eastAsia="Times New Roman" w:hAnsi="Times New Roman" w:cs="Times New Roman"/>
                <w:kern w:val="0"/>
                <w:sz w:val="20"/>
                <w:szCs w:val="20"/>
                <w:lang w:eastAsia="ro-MD"/>
                <w14:ligatures w14:val="none"/>
              </w:rPr>
            </w:pPr>
          </w:p>
        </w:tc>
      </w:tr>
      <w:tr w:rsidR="00A7776C" w:rsidRPr="008844AC" w14:paraId="10AC713E"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47A65" w14:textId="77777777" w:rsidR="00A7776C" w:rsidRPr="00052914" w:rsidRDefault="00A7776C" w:rsidP="00061B39">
            <w:pPr>
              <w:spacing w:after="0" w:line="240" w:lineRule="auto"/>
              <w:jc w:val="center"/>
              <w:rPr>
                <w:rFonts w:ascii="Times New Roman" w:eastAsia="Times New Roman" w:hAnsi="Times New Roman" w:cs="Times New Roman"/>
                <w:b/>
                <w:bCs/>
                <w:kern w:val="0"/>
                <w:sz w:val="20"/>
                <w:szCs w:val="20"/>
                <w:lang w:eastAsia="ro-MD"/>
                <w14:ligatures w14:val="none"/>
              </w:rPr>
            </w:pP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86754" w14:textId="5A19E762" w:rsidR="00A7776C" w:rsidRPr="00052914" w:rsidRDefault="00A7776C" w:rsidP="00061B39">
            <w:pPr>
              <w:spacing w:after="0" w:line="240" w:lineRule="auto"/>
              <w:rPr>
                <w:rFonts w:ascii="Times New Roman" w:eastAsia="Times New Roman" w:hAnsi="Times New Roman" w:cs="Times New Roman"/>
                <w:b/>
                <w:bCs/>
                <w:kern w:val="0"/>
                <w:lang w:eastAsia="ro-MD"/>
                <w14:ligatures w14:val="none"/>
              </w:rPr>
            </w:pPr>
            <w:r w:rsidRPr="00052914">
              <w:rPr>
                <w:rFonts w:ascii="Times New Roman" w:eastAsia="Times New Roman" w:hAnsi="Times New Roman" w:cs="Times New Roman"/>
                <w:b/>
                <w:bCs/>
                <w:kern w:val="0"/>
                <w:lang w:eastAsia="ro-MD"/>
                <w14:ligatures w14:val="none"/>
              </w:rPr>
              <w:t>Expuneri/</w:t>
            </w:r>
            <w:proofErr w:type="spellStart"/>
            <w:r w:rsidRPr="00052914">
              <w:rPr>
                <w:rFonts w:ascii="Times New Roman" w:eastAsia="Times New Roman" w:hAnsi="Times New Roman" w:cs="Times New Roman"/>
                <w:b/>
                <w:bCs/>
                <w:kern w:val="0"/>
                <w:lang w:eastAsia="ro-MD"/>
                <w14:ligatures w14:val="none"/>
              </w:rPr>
              <w:t>tranzacţii</w:t>
            </w:r>
            <w:proofErr w:type="spellEnd"/>
            <w:r w:rsidRPr="00052914">
              <w:rPr>
                <w:rFonts w:ascii="Times New Roman" w:eastAsia="Times New Roman" w:hAnsi="Times New Roman" w:cs="Times New Roman"/>
                <w:b/>
                <w:bCs/>
                <w:kern w:val="0"/>
                <w:lang w:eastAsia="ro-MD"/>
                <w14:ligatures w14:val="none"/>
              </w:rPr>
              <w:t xml:space="preserve"> supuse riscului de credit al </w:t>
            </w:r>
            <w:proofErr w:type="spellStart"/>
            <w:r w:rsidRPr="00052914">
              <w:rPr>
                <w:rFonts w:ascii="Times New Roman" w:eastAsia="Times New Roman" w:hAnsi="Times New Roman" w:cs="Times New Roman"/>
                <w:b/>
                <w:bCs/>
                <w:kern w:val="0"/>
                <w:lang w:eastAsia="ro-MD"/>
                <w14:ligatures w14:val="none"/>
              </w:rPr>
              <w:t>contrapărţii</w:t>
            </w:r>
            <w:proofErr w:type="spellEnd"/>
          </w:p>
        </w:tc>
        <w:tc>
          <w:tcPr>
            <w:tcW w:w="340" w:type="pct"/>
            <w:tcBorders>
              <w:top w:val="single" w:sz="6" w:space="0" w:color="000000"/>
              <w:left w:val="single" w:sz="6" w:space="0" w:color="000000"/>
              <w:bottom w:val="single" w:sz="6" w:space="0" w:color="000000"/>
              <w:right w:val="single" w:sz="6" w:space="0" w:color="000000"/>
            </w:tcBorders>
          </w:tcPr>
          <w:p w14:paraId="69B0FE6B" w14:textId="1D9679EF" w:rsidR="00A7776C" w:rsidRPr="008844AC" w:rsidRDefault="000006E9" w:rsidP="00061B3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461D4748" w14:textId="48F6EC47" w:rsidR="00A7776C" w:rsidRPr="008844AC" w:rsidRDefault="000006E9" w:rsidP="00061B3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46B06" w14:textId="18A8E563" w:rsidR="00A7776C" w:rsidRPr="008844AC" w:rsidRDefault="000006E9" w:rsidP="00061B3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AA52A" w14:textId="76742C70" w:rsidR="00A7776C" w:rsidRPr="008844AC" w:rsidRDefault="000006E9" w:rsidP="00061B3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F09F5" w14:textId="7B7CE3E6" w:rsidR="00A7776C" w:rsidRPr="008844AC" w:rsidRDefault="000006E9" w:rsidP="00061B3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DE3B5" w14:textId="0AA951D2" w:rsidR="00A7776C" w:rsidRPr="008844AC" w:rsidRDefault="000006E9" w:rsidP="00061B3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55937" w14:textId="554D2BC9" w:rsidR="00A7776C" w:rsidRPr="008844AC" w:rsidRDefault="000006E9" w:rsidP="00061B3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r>
      <w:tr w:rsidR="007A0369" w:rsidRPr="008844AC" w14:paraId="1D41867D"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11E55" w14:textId="2FF193CB" w:rsidR="007A0369" w:rsidRPr="008844AC" w:rsidRDefault="00895E30" w:rsidP="007A036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7A0369" w:rsidRPr="008844AC">
              <w:rPr>
                <w:rFonts w:ascii="Times New Roman" w:eastAsia="Times New Roman" w:hAnsi="Times New Roman" w:cs="Times New Roman"/>
                <w:kern w:val="0"/>
                <w:lang w:eastAsia="ro-MD"/>
                <w14:ligatures w14:val="none"/>
              </w:rPr>
              <w:t>090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56F4E" w14:textId="4363ED0E" w:rsidR="007A0369" w:rsidRPr="008844AC" w:rsidRDefault="007A0369" w:rsidP="007A0369">
            <w:pPr>
              <w:spacing w:after="0" w:line="240" w:lineRule="auto"/>
              <w:rPr>
                <w:rFonts w:ascii="Times New Roman" w:eastAsia="Times New Roman" w:hAnsi="Times New Roman" w:cs="Times New Roman"/>
                <w:kern w:val="0"/>
                <w:lang w:eastAsia="ro-MD"/>
                <w14:ligatures w14:val="none"/>
              </w:rPr>
            </w:pPr>
            <w:r w:rsidRPr="00AE7AA6">
              <w:rPr>
                <w:rFonts w:ascii="Times New Roman" w:eastAsia="Times New Roman" w:hAnsi="Times New Roman" w:cs="Times New Roman"/>
                <w:kern w:val="0"/>
                <w:lang w:eastAsia="ro-MD"/>
                <w14:ligatures w14:val="none"/>
              </w:rPr>
              <w:t>Seturi de compensare pentru operațiunile de finanțare prin instrumente financiare</w:t>
            </w:r>
          </w:p>
        </w:tc>
        <w:tc>
          <w:tcPr>
            <w:tcW w:w="340" w:type="pct"/>
            <w:tcBorders>
              <w:top w:val="single" w:sz="6" w:space="0" w:color="000000"/>
              <w:left w:val="single" w:sz="6" w:space="0" w:color="000000"/>
              <w:bottom w:val="single" w:sz="6" w:space="0" w:color="000000"/>
              <w:right w:val="single" w:sz="6" w:space="0" w:color="000000"/>
            </w:tcBorders>
          </w:tcPr>
          <w:p w14:paraId="2A3BE7AB" w14:textId="60DD20E8"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573346FD" w14:textId="3BF5F297"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736C4" w14:textId="6D70BA6D"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CFBC3" w14:textId="382F244B"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3134C" w14:textId="4E614AB0"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831EF" w14:textId="5F38CF36"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08A2C" w14:textId="37F2545E"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r>
      <w:tr w:rsidR="007A0369" w:rsidRPr="008844AC" w14:paraId="47D46E1A"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12E57" w14:textId="27699F02" w:rsidR="007A0369" w:rsidRPr="008844AC" w:rsidRDefault="00895E30" w:rsidP="007A036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7A0369" w:rsidRPr="008844AC">
              <w:rPr>
                <w:rFonts w:ascii="Times New Roman" w:eastAsia="Times New Roman" w:hAnsi="Times New Roman" w:cs="Times New Roman"/>
                <w:kern w:val="0"/>
                <w:lang w:eastAsia="ro-MD"/>
                <w14:ligatures w14:val="none"/>
              </w:rPr>
              <w:t>100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BC400" w14:textId="6571B092" w:rsidR="007A0369" w:rsidRPr="008844AC" w:rsidRDefault="007A0369" w:rsidP="007A0369">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din care: compensate la nivel central printr-o CPCC</w:t>
            </w:r>
          </w:p>
        </w:tc>
        <w:tc>
          <w:tcPr>
            <w:tcW w:w="340" w:type="pct"/>
            <w:tcBorders>
              <w:top w:val="single" w:sz="6" w:space="0" w:color="000000"/>
              <w:left w:val="single" w:sz="6" w:space="0" w:color="000000"/>
              <w:bottom w:val="single" w:sz="6" w:space="0" w:color="000000"/>
              <w:right w:val="single" w:sz="6" w:space="0" w:color="000000"/>
            </w:tcBorders>
          </w:tcPr>
          <w:p w14:paraId="13CB32B5" w14:textId="74926485"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75650339" w14:textId="0DE274A7"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987C2" w14:textId="35F90A6A"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A069A" w14:textId="6852510D"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C15B8" w14:textId="3FCBB464"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9EA2A" w14:textId="59F6D5C1"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9418B" w14:textId="7562538B"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r>
      <w:tr w:rsidR="007A0369" w:rsidRPr="008844AC" w14:paraId="3C35F270"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0B7FB" w14:textId="25832E88" w:rsidR="007A0369" w:rsidRPr="008844AC" w:rsidRDefault="00895E30" w:rsidP="007A036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7A0369" w:rsidRPr="008844AC">
              <w:rPr>
                <w:rFonts w:ascii="Times New Roman" w:eastAsia="Times New Roman" w:hAnsi="Times New Roman" w:cs="Times New Roman"/>
                <w:kern w:val="0"/>
                <w:lang w:eastAsia="ro-MD"/>
                <w14:ligatures w14:val="none"/>
              </w:rPr>
              <w:t>110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EFE89" w14:textId="66EB715D" w:rsidR="007A0369" w:rsidRPr="008844AC" w:rsidRDefault="007A0369" w:rsidP="007A0369">
            <w:pPr>
              <w:spacing w:after="0" w:line="240" w:lineRule="auto"/>
              <w:rPr>
                <w:rFonts w:ascii="Times New Roman" w:eastAsia="Times New Roman" w:hAnsi="Times New Roman" w:cs="Times New Roman"/>
                <w:kern w:val="0"/>
                <w:lang w:eastAsia="ro-MD"/>
                <w14:ligatures w14:val="none"/>
              </w:rPr>
            </w:pPr>
            <w:r w:rsidRPr="00AE7AA6">
              <w:rPr>
                <w:rFonts w:ascii="Times New Roman" w:eastAsia="Times New Roman" w:hAnsi="Times New Roman" w:cs="Times New Roman"/>
                <w:kern w:val="0"/>
                <w:lang w:eastAsia="ro-MD"/>
                <w14:ligatures w14:val="none"/>
              </w:rPr>
              <w:t>Seturi de compensare pentru instrumentele financiare derivate și tranzacțiile cu termen lung de decontare</w:t>
            </w:r>
          </w:p>
        </w:tc>
        <w:tc>
          <w:tcPr>
            <w:tcW w:w="340" w:type="pct"/>
            <w:tcBorders>
              <w:top w:val="single" w:sz="6" w:space="0" w:color="000000"/>
              <w:left w:val="single" w:sz="6" w:space="0" w:color="000000"/>
              <w:bottom w:val="single" w:sz="6" w:space="0" w:color="000000"/>
              <w:right w:val="single" w:sz="6" w:space="0" w:color="000000"/>
            </w:tcBorders>
          </w:tcPr>
          <w:p w14:paraId="20A7AC42" w14:textId="2886A93E"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5B881553" w14:textId="0F006655"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6F795" w14:textId="65E6E29E"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4CE38" w14:textId="7BA2AF01"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811F0" w14:textId="22D1D21C"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4E4A0" w14:textId="62533F57"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3B00E" w14:textId="794704D8"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r>
      <w:tr w:rsidR="007A0369" w:rsidRPr="008844AC" w14:paraId="52DC5060"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274FF" w14:textId="18A2A63E" w:rsidR="007A0369" w:rsidRPr="008844AC" w:rsidRDefault="00895E30" w:rsidP="007A036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7A0369" w:rsidRPr="008844AC">
              <w:rPr>
                <w:rFonts w:ascii="Times New Roman" w:eastAsia="Times New Roman" w:hAnsi="Times New Roman" w:cs="Times New Roman"/>
                <w:kern w:val="0"/>
                <w:lang w:eastAsia="ro-MD"/>
                <w14:ligatures w14:val="none"/>
              </w:rPr>
              <w:t>120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F5152" w14:textId="63CF9DCF" w:rsidR="007A0369" w:rsidRPr="008844AC" w:rsidRDefault="007A0369" w:rsidP="007A0369">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din care: compensate la nivel central printr-o CPCC</w:t>
            </w:r>
          </w:p>
        </w:tc>
        <w:tc>
          <w:tcPr>
            <w:tcW w:w="340" w:type="pct"/>
            <w:tcBorders>
              <w:top w:val="single" w:sz="6" w:space="0" w:color="000000"/>
              <w:left w:val="single" w:sz="6" w:space="0" w:color="000000"/>
              <w:bottom w:val="single" w:sz="6" w:space="0" w:color="000000"/>
              <w:right w:val="single" w:sz="6" w:space="0" w:color="000000"/>
            </w:tcBorders>
          </w:tcPr>
          <w:p w14:paraId="6C8FAC33" w14:textId="58D6079B"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5ECE12A4" w14:textId="52B4B46D"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E0FFF" w14:textId="70DB45CF"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86B21" w14:textId="7C9337EB"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27B05" w14:textId="2CE51902"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66B33" w14:textId="6C1CA445"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B4B16" w14:textId="499CEF63"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r>
      <w:tr w:rsidR="007A0369" w:rsidRPr="008844AC" w14:paraId="6074EA86"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4545B" w14:textId="35957ADD" w:rsidR="007A0369" w:rsidRPr="008844AC" w:rsidRDefault="00895E30" w:rsidP="007A036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7A0369" w:rsidRPr="008844AC">
              <w:rPr>
                <w:rFonts w:ascii="Times New Roman" w:eastAsia="Times New Roman" w:hAnsi="Times New Roman" w:cs="Times New Roman"/>
                <w:kern w:val="0"/>
                <w:lang w:eastAsia="ro-MD"/>
                <w14:ligatures w14:val="none"/>
              </w:rPr>
              <w:t>130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50CF6" w14:textId="01B08EF1" w:rsidR="007A0369" w:rsidRPr="008844AC" w:rsidRDefault="007A0369" w:rsidP="007A0369">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Din </w:t>
            </w:r>
            <w:r w:rsidR="001D169C">
              <w:rPr>
                <w:rFonts w:ascii="Times New Roman" w:eastAsia="Times New Roman" w:hAnsi="Times New Roman" w:cs="Times New Roman"/>
                <w:kern w:val="0"/>
                <w:lang w:eastAsia="ro-MD"/>
                <w14:ligatures w14:val="none"/>
              </w:rPr>
              <w:t xml:space="preserve">seturi de </w:t>
            </w:r>
            <w:r w:rsidRPr="008844AC">
              <w:rPr>
                <w:rFonts w:ascii="Times New Roman" w:eastAsia="Times New Roman" w:hAnsi="Times New Roman" w:cs="Times New Roman"/>
                <w:kern w:val="0"/>
                <w:lang w:eastAsia="ro-MD"/>
                <w14:ligatures w14:val="none"/>
              </w:rPr>
              <w:t>compensări contractuale între produse diferite</w:t>
            </w:r>
          </w:p>
        </w:tc>
        <w:tc>
          <w:tcPr>
            <w:tcW w:w="340" w:type="pct"/>
            <w:tcBorders>
              <w:top w:val="single" w:sz="6" w:space="0" w:color="000000"/>
              <w:left w:val="single" w:sz="6" w:space="0" w:color="000000"/>
              <w:bottom w:val="single" w:sz="6" w:space="0" w:color="000000"/>
              <w:right w:val="single" w:sz="6" w:space="0" w:color="000000"/>
            </w:tcBorders>
          </w:tcPr>
          <w:p w14:paraId="366F1468" w14:textId="0A1B47CC"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5E6EA7DB" w14:textId="70654DE1"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A60BD" w14:textId="6503D2C0"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E06E1" w14:textId="781C898F"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AC5E0" w14:textId="25EE9986"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5D793" w14:textId="6F269D74"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BFAE5" w14:textId="5E3B0B22" w:rsidR="007A0369" w:rsidRPr="008844AC" w:rsidRDefault="000006E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r>
      <w:tr w:rsidR="007A0369" w:rsidRPr="008844AC" w14:paraId="3E6C4E90" w14:textId="77777777" w:rsidTr="00061B39">
        <w:tc>
          <w:tcPr>
            <w:tcW w:w="5000" w:type="pct"/>
            <w:gridSpan w:val="9"/>
            <w:tcBorders>
              <w:top w:val="single" w:sz="6" w:space="0" w:color="000000"/>
              <w:left w:val="single" w:sz="6" w:space="0" w:color="000000"/>
              <w:bottom w:val="single" w:sz="6" w:space="0" w:color="000000"/>
              <w:right w:val="single" w:sz="6" w:space="0" w:color="000000"/>
            </w:tcBorders>
          </w:tcPr>
          <w:p w14:paraId="39DC0F13" w14:textId="77777777" w:rsidR="007A0369" w:rsidRDefault="007A0369" w:rsidP="007A0369">
            <w:pPr>
              <w:spacing w:after="0" w:line="240" w:lineRule="auto"/>
              <w:ind w:firstLine="567"/>
              <w:rPr>
                <w:rFonts w:ascii="Times New Roman" w:eastAsia="Times New Roman" w:hAnsi="Times New Roman" w:cs="Times New Roman"/>
                <w:b/>
                <w:bCs/>
                <w:kern w:val="0"/>
                <w:lang w:eastAsia="ro-MD"/>
                <w14:ligatures w14:val="none"/>
              </w:rPr>
            </w:pPr>
          </w:p>
          <w:p w14:paraId="71755C8C" w14:textId="3B2C9EFC" w:rsidR="007A0369" w:rsidRPr="008844AC" w:rsidRDefault="007A0369" w:rsidP="007A0369">
            <w:pPr>
              <w:spacing w:after="0" w:line="240" w:lineRule="auto"/>
              <w:ind w:firstLine="567"/>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DEFALCAREA EXPUNERILOR TOTALE PE PONDERI DE RISC:</w:t>
            </w:r>
          </w:p>
        </w:tc>
      </w:tr>
      <w:tr w:rsidR="00217644" w:rsidRPr="008844AC" w14:paraId="5A1D7948"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EACC6" w14:textId="34F4AA6D" w:rsidR="00217644" w:rsidRPr="008844AC" w:rsidRDefault="00895E30" w:rsidP="00217644">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lastRenderedPageBreak/>
              <w:t>0</w:t>
            </w:r>
            <w:r w:rsidR="00217644" w:rsidRPr="008844AC">
              <w:rPr>
                <w:rFonts w:ascii="Times New Roman" w:eastAsia="Times New Roman" w:hAnsi="Times New Roman" w:cs="Times New Roman"/>
                <w:kern w:val="0"/>
                <w:lang w:eastAsia="ro-MD"/>
                <w14:ligatures w14:val="none"/>
              </w:rPr>
              <w:t>140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70631" w14:textId="7468032F" w:rsidR="00217644" w:rsidRPr="008844AC" w:rsidRDefault="00217644" w:rsidP="00217644">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p>
        </w:tc>
        <w:tc>
          <w:tcPr>
            <w:tcW w:w="340" w:type="pct"/>
            <w:tcBorders>
              <w:top w:val="single" w:sz="6" w:space="0" w:color="000000"/>
              <w:left w:val="single" w:sz="6" w:space="0" w:color="000000"/>
              <w:bottom w:val="single" w:sz="6" w:space="0" w:color="000000"/>
              <w:right w:val="single" w:sz="6" w:space="0" w:color="000000"/>
            </w:tcBorders>
          </w:tcPr>
          <w:p w14:paraId="3A854C9C" w14:textId="6552BBB3"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26D8C91A" w14:textId="07761389"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7A869" w14:textId="17875501"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4A64C" w14:textId="26BCE882"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CAFDE" w14:textId="3BEC8803"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38DAC" w14:textId="0D29C31C"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ED7E7"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641BB77D"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29A1F" w14:textId="5EFA063E" w:rsidR="00217644" w:rsidRPr="008844AC" w:rsidRDefault="00895E30" w:rsidP="00217644">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217644" w:rsidRPr="008844AC">
              <w:rPr>
                <w:rFonts w:ascii="Times New Roman" w:eastAsia="Times New Roman" w:hAnsi="Times New Roman" w:cs="Times New Roman"/>
                <w:kern w:val="0"/>
                <w:lang w:eastAsia="ro-MD"/>
                <w14:ligatures w14:val="none"/>
              </w:rPr>
              <w:t>150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F755F" w14:textId="1ABE81D9" w:rsidR="00217644" w:rsidRPr="008844AC" w:rsidRDefault="00217644" w:rsidP="00217644">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2%</w:t>
            </w:r>
          </w:p>
        </w:tc>
        <w:tc>
          <w:tcPr>
            <w:tcW w:w="340" w:type="pct"/>
            <w:tcBorders>
              <w:top w:val="single" w:sz="6" w:space="0" w:color="000000"/>
              <w:left w:val="single" w:sz="6" w:space="0" w:color="000000"/>
              <w:bottom w:val="single" w:sz="6" w:space="0" w:color="000000"/>
              <w:right w:val="single" w:sz="6" w:space="0" w:color="000000"/>
            </w:tcBorders>
          </w:tcPr>
          <w:p w14:paraId="63669CBE" w14:textId="1CAE5F75"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7298200E" w14:textId="17A48AB3"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29CAA" w14:textId="5644309A"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10F08" w14:textId="33704AE0"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A879C" w14:textId="5F3581ED"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1667B" w14:textId="2C25BFF6"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54B6F" w14:textId="4EA23414"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21E2A9AE"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C05F9E" w14:textId="7C8F81A1" w:rsidR="00217644" w:rsidRPr="008844AC" w:rsidRDefault="00895E30" w:rsidP="00217644">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217644" w:rsidRPr="008844AC">
              <w:rPr>
                <w:rFonts w:ascii="Times New Roman" w:eastAsia="Times New Roman" w:hAnsi="Times New Roman" w:cs="Times New Roman"/>
                <w:kern w:val="0"/>
                <w:lang w:eastAsia="ro-MD"/>
                <w14:ligatures w14:val="none"/>
              </w:rPr>
              <w:t>160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212AFB" w14:textId="15332309" w:rsidR="00217644" w:rsidRPr="008844AC" w:rsidRDefault="00217644" w:rsidP="00217644">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4%</w:t>
            </w:r>
          </w:p>
        </w:tc>
        <w:tc>
          <w:tcPr>
            <w:tcW w:w="340" w:type="pct"/>
            <w:tcBorders>
              <w:top w:val="single" w:sz="6" w:space="0" w:color="000000"/>
              <w:left w:val="single" w:sz="6" w:space="0" w:color="000000"/>
              <w:bottom w:val="single" w:sz="6" w:space="0" w:color="000000"/>
              <w:right w:val="single" w:sz="6" w:space="0" w:color="000000"/>
            </w:tcBorders>
          </w:tcPr>
          <w:p w14:paraId="467ABF51" w14:textId="63E90C76"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6E0A61FC" w14:textId="745F21BB"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5DFF67" w14:textId="452552EA"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1BD9D2" w14:textId="1FACD483"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805176" w14:textId="673AE07B"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C20598" w14:textId="4300BDBA"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5D5716"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567A9740"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33D2A1" w14:textId="1CF23CF5" w:rsidR="00217644" w:rsidRPr="008844AC" w:rsidRDefault="00895E30" w:rsidP="00217644">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217644" w:rsidRPr="008844AC">
              <w:rPr>
                <w:rFonts w:ascii="Times New Roman" w:eastAsia="Times New Roman" w:hAnsi="Times New Roman" w:cs="Times New Roman"/>
                <w:kern w:val="0"/>
                <w:lang w:eastAsia="ro-MD"/>
                <w14:ligatures w14:val="none"/>
              </w:rPr>
              <w:t>170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243A49" w14:textId="0C33B815" w:rsidR="00217644" w:rsidRPr="008844AC" w:rsidRDefault="00217644" w:rsidP="00217644">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10%</w:t>
            </w:r>
          </w:p>
        </w:tc>
        <w:tc>
          <w:tcPr>
            <w:tcW w:w="340" w:type="pct"/>
            <w:tcBorders>
              <w:top w:val="single" w:sz="6" w:space="0" w:color="000000"/>
              <w:left w:val="single" w:sz="6" w:space="0" w:color="000000"/>
              <w:bottom w:val="single" w:sz="6" w:space="0" w:color="000000"/>
              <w:right w:val="single" w:sz="6" w:space="0" w:color="000000"/>
            </w:tcBorders>
          </w:tcPr>
          <w:p w14:paraId="7FDCED83" w14:textId="2C2B0276"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5990C97A" w14:textId="649AA5E1"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8E3626" w14:textId="2BEF557D"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C007B4" w14:textId="3C5080DC"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F44B33" w14:textId="12303004"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F5AFF4" w14:textId="122E582C"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6C07F9"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2BDE77F1"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2559B5" w14:textId="1BB26FD5" w:rsidR="00217644" w:rsidRPr="008844AC" w:rsidRDefault="00895E30" w:rsidP="00217644">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217644" w:rsidRPr="008844AC">
              <w:rPr>
                <w:rFonts w:ascii="Times New Roman" w:eastAsia="Times New Roman" w:hAnsi="Times New Roman" w:cs="Times New Roman"/>
                <w:kern w:val="0"/>
                <w:lang w:eastAsia="ro-MD"/>
                <w14:ligatures w14:val="none"/>
              </w:rPr>
              <w:t>180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EF1905" w14:textId="5642818E" w:rsidR="00217644" w:rsidRPr="008844AC" w:rsidRDefault="00217644" w:rsidP="00217644">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20%</w:t>
            </w:r>
          </w:p>
        </w:tc>
        <w:tc>
          <w:tcPr>
            <w:tcW w:w="340" w:type="pct"/>
            <w:tcBorders>
              <w:top w:val="single" w:sz="6" w:space="0" w:color="000000"/>
              <w:left w:val="single" w:sz="6" w:space="0" w:color="000000"/>
              <w:bottom w:val="single" w:sz="6" w:space="0" w:color="000000"/>
              <w:right w:val="single" w:sz="6" w:space="0" w:color="000000"/>
            </w:tcBorders>
          </w:tcPr>
          <w:p w14:paraId="1A9FAB5C" w14:textId="7564031A"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7A7DBA64" w14:textId="311B3D05"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648397" w14:textId="1D41C65C"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191C08" w14:textId="2384912D"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55597D" w14:textId="4A7D98C4"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56F08C" w14:textId="5ADACE3D"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56E00E"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663B1944"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0DE035" w14:textId="7B78FF05" w:rsidR="00217644" w:rsidRPr="00E91D07" w:rsidRDefault="00895E30" w:rsidP="0021764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17644" w:rsidRPr="00E91D07">
              <w:rPr>
                <w:rFonts w:ascii="Times New Roman" w:eastAsia="Times New Roman" w:hAnsi="Times New Roman" w:cs="Times New Roman"/>
                <w:kern w:val="0"/>
                <w:lang w:eastAsia="ro-MD"/>
                <w14:ligatures w14:val="none"/>
              </w:rPr>
              <w:t>185</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5F57FB" w14:textId="1D2D671F" w:rsidR="00217644" w:rsidRPr="00E91D07" w:rsidRDefault="00217644" w:rsidP="00217644">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30%</w:t>
            </w:r>
          </w:p>
        </w:tc>
        <w:tc>
          <w:tcPr>
            <w:tcW w:w="340" w:type="pct"/>
            <w:tcBorders>
              <w:top w:val="single" w:sz="6" w:space="0" w:color="000000"/>
              <w:left w:val="single" w:sz="6" w:space="0" w:color="000000"/>
              <w:bottom w:val="single" w:sz="6" w:space="0" w:color="000000"/>
              <w:right w:val="single" w:sz="6" w:space="0" w:color="000000"/>
            </w:tcBorders>
          </w:tcPr>
          <w:p w14:paraId="1CBEE9B7" w14:textId="4743D9CF"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6318C76D" w14:textId="7205591C"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A79868" w14:textId="5B35DC12"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8EB8A1" w14:textId="47DC5DC2"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4DD313" w14:textId="311B20D5"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A770E4" w14:textId="13F8ED3A"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A2D7BC"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1B5772B4"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9558AC" w14:textId="69E56D29" w:rsidR="00217644" w:rsidRPr="00E91D07" w:rsidRDefault="00895E30" w:rsidP="0021764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17644" w:rsidRPr="00E91D07">
              <w:rPr>
                <w:rFonts w:ascii="Times New Roman" w:eastAsia="Times New Roman" w:hAnsi="Times New Roman" w:cs="Times New Roman"/>
                <w:kern w:val="0"/>
                <w:lang w:eastAsia="ro-MD"/>
                <w14:ligatures w14:val="none"/>
              </w:rPr>
              <w:t>190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77A36A" w14:textId="4BEEC78B" w:rsidR="00217644" w:rsidRPr="00E91D07" w:rsidRDefault="00217644" w:rsidP="00217644">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35%</w:t>
            </w:r>
          </w:p>
        </w:tc>
        <w:tc>
          <w:tcPr>
            <w:tcW w:w="340" w:type="pct"/>
            <w:tcBorders>
              <w:top w:val="single" w:sz="6" w:space="0" w:color="000000"/>
              <w:left w:val="single" w:sz="6" w:space="0" w:color="000000"/>
              <w:bottom w:val="single" w:sz="6" w:space="0" w:color="000000"/>
              <w:right w:val="single" w:sz="6" w:space="0" w:color="000000"/>
            </w:tcBorders>
          </w:tcPr>
          <w:p w14:paraId="62C4E6AF" w14:textId="6804ABB3"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36D2A4DC" w14:textId="13C5DEBF"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0B6B3B" w14:textId="5C63DC81"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1D9212" w14:textId="23E5040C"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799C00" w14:textId="5998762A"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626F36" w14:textId="3DB9C0B3"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5141D5"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3BE8173E"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411035" w14:textId="615EE3BE" w:rsidR="00217644" w:rsidRPr="00E91D07" w:rsidRDefault="00895E30" w:rsidP="0021764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17644" w:rsidRPr="00E91D07">
              <w:rPr>
                <w:rFonts w:ascii="Times New Roman" w:eastAsia="Times New Roman" w:hAnsi="Times New Roman" w:cs="Times New Roman"/>
                <w:kern w:val="0"/>
                <w:lang w:eastAsia="ro-MD"/>
                <w14:ligatures w14:val="none"/>
              </w:rPr>
              <w:t>195</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177CD2" w14:textId="59BF852F" w:rsidR="00217644" w:rsidRPr="00E91D07" w:rsidRDefault="00217644" w:rsidP="00217644">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40%</w:t>
            </w:r>
          </w:p>
        </w:tc>
        <w:tc>
          <w:tcPr>
            <w:tcW w:w="340" w:type="pct"/>
            <w:tcBorders>
              <w:top w:val="single" w:sz="6" w:space="0" w:color="000000"/>
              <w:left w:val="single" w:sz="6" w:space="0" w:color="000000"/>
              <w:bottom w:val="single" w:sz="6" w:space="0" w:color="000000"/>
              <w:right w:val="single" w:sz="6" w:space="0" w:color="000000"/>
            </w:tcBorders>
          </w:tcPr>
          <w:p w14:paraId="501C6DA3" w14:textId="331C7053"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6DA6EF09" w14:textId="63B81CE4"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2D30E5" w14:textId="1765243D"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B98826" w14:textId="1526E776"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A8F42B" w14:textId="2469FEC8"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ABF1B6" w14:textId="2B4B77D5"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648FA8"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2C522DCC"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CAB5A7" w14:textId="654CD5CD" w:rsidR="00217644" w:rsidRPr="00E91D07" w:rsidRDefault="00895E30" w:rsidP="0021764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17644" w:rsidRPr="00E91D07">
              <w:rPr>
                <w:rFonts w:ascii="Times New Roman" w:eastAsia="Times New Roman" w:hAnsi="Times New Roman" w:cs="Times New Roman"/>
                <w:kern w:val="0"/>
                <w:lang w:eastAsia="ro-MD"/>
                <w14:ligatures w14:val="none"/>
              </w:rPr>
              <w:t>196</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A78C9B" w14:textId="7F9543DD" w:rsidR="00217644" w:rsidRPr="00E91D07" w:rsidRDefault="00217644" w:rsidP="00217644">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45%</w:t>
            </w:r>
          </w:p>
        </w:tc>
        <w:tc>
          <w:tcPr>
            <w:tcW w:w="340" w:type="pct"/>
            <w:tcBorders>
              <w:top w:val="single" w:sz="6" w:space="0" w:color="000000"/>
              <w:left w:val="single" w:sz="6" w:space="0" w:color="000000"/>
              <w:bottom w:val="single" w:sz="6" w:space="0" w:color="000000"/>
              <w:right w:val="single" w:sz="6" w:space="0" w:color="000000"/>
            </w:tcBorders>
          </w:tcPr>
          <w:p w14:paraId="13C9CDFC" w14:textId="1B39D278"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3FEFEE73" w14:textId="45311016"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9B9611" w14:textId="50E0C96E"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D8FC11" w14:textId="3DDDDEEB"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4AF59E" w14:textId="1E80F76E"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BD4EEB" w14:textId="4167A1A5"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8960C5"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607EE3D7"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6B6C98" w14:textId="0199212C" w:rsidR="00217644" w:rsidRPr="00E91D07" w:rsidRDefault="00895E30" w:rsidP="0021764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17644" w:rsidRPr="00E91D07">
              <w:rPr>
                <w:rFonts w:ascii="Times New Roman" w:eastAsia="Times New Roman" w:hAnsi="Times New Roman" w:cs="Times New Roman"/>
                <w:kern w:val="0"/>
                <w:lang w:eastAsia="ro-MD"/>
                <w14:ligatures w14:val="none"/>
              </w:rPr>
              <w:t>200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31C95B" w14:textId="2C792B21" w:rsidR="00217644" w:rsidRPr="00E91D07" w:rsidRDefault="00217644" w:rsidP="00217644">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50%</w:t>
            </w:r>
          </w:p>
        </w:tc>
        <w:tc>
          <w:tcPr>
            <w:tcW w:w="340" w:type="pct"/>
            <w:tcBorders>
              <w:top w:val="single" w:sz="6" w:space="0" w:color="000000"/>
              <w:left w:val="single" w:sz="6" w:space="0" w:color="000000"/>
              <w:bottom w:val="single" w:sz="6" w:space="0" w:color="000000"/>
              <w:right w:val="single" w:sz="6" w:space="0" w:color="000000"/>
            </w:tcBorders>
          </w:tcPr>
          <w:p w14:paraId="6D065C22" w14:textId="081F8BD9"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28096769" w14:textId="0FF9E638"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D0DFB8" w14:textId="3948A3AF"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234EA3" w14:textId="7A7FF8A9"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8CB747" w14:textId="586104D9"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60067E" w14:textId="3964E340"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E5F89A"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058677A6"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3ECB0A" w14:textId="20B0E737" w:rsidR="00217644" w:rsidRPr="00E91D07" w:rsidRDefault="00895E30" w:rsidP="0021764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17644" w:rsidRPr="00E91D07">
              <w:rPr>
                <w:rFonts w:ascii="Times New Roman" w:eastAsia="Times New Roman" w:hAnsi="Times New Roman" w:cs="Times New Roman"/>
                <w:kern w:val="0"/>
                <w:lang w:eastAsia="ro-MD"/>
                <w14:ligatures w14:val="none"/>
              </w:rPr>
              <w:t>205</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0026C9" w14:textId="053D6B84" w:rsidR="00217644" w:rsidRPr="00E91D07" w:rsidRDefault="00217644" w:rsidP="00217644">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60%</w:t>
            </w:r>
          </w:p>
        </w:tc>
        <w:tc>
          <w:tcPr>
            <w:tcW w:w="340" w:type="pct"/>
            <w:tcBorders>
              <w:top w:val="single" w:sz="6" w:space="0" w:color="000000"/>
              <w:left w:val="single" w:sz="6" w:space="0" w:color="000000"/>
              <w:bottom w:val="single" w:sz="6" w:space="0" w:color="000000"/>
              <w:right w:val="single" w:sz="6" w:space="0" w:color="000000"/>
            </w:tcBorders>
          </w:tcPr>
          <w:p w14:paraId="28DCB314" w14:textId="2BD9996C"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35CED9BD" w14:textId="7CFFA4BF"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83E879" w14:textId="62324A6A"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7A485D" w14:textId="2959C4F4"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3712E4" w14:textId="47EFC988"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DC9F74" w14:textId="5FCAF497"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DDEAD3"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5D934B03"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52533C" w14:textId="25ADFD1C" w:rsidR="00217644" w:rsidRPr="00E91D07" w:rsidRDefault="00895E30" w:rsidP="0021764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17644" w:rsidRPr="00E91D07">
              <w:rPr>
                <w:rFonts w:ascii="Times New Roman" w:eastAsia="Times New Roman" w:hAnsi="Times New Roman" w:cs="Times New Roman"/>
                <w:kern w:val="0"/>
                <w:lang w:eastAsia="ro-MD"/>
                <w14:ligatures w14:val="none"/>
              </w:rPr>
              <w:t>210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5009BA" w14:textId="1391D20E" w:rsidR="00217644" w:rsidRPr="00E91D07" w:rsidRDefault="00217644" w:rsidP="00217644">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70%</w:t>
            </w:r>
          </w:p>
        </w:tc>
        <w:tc>
          <w:tcPr>
            <w:tcW w:w="340" w:type="pct"/>
            <w:tcBorders>
              <w:top w:val="single" w:sz="6" w:space="0" w:color="000000"/>
              <w:left w:val="single" w:sz="6" w:space="0" w:color="000000"/>
              <w:bottom w:val="single" w:sz="6" w:space="0" w:color="000000"/>
              <w:right w:val="single" w:sz="6" w:space="0" w:color="000000"/>
            </w:tcBorders>
          </w:tcPr>
          <w:p w14:paraId="2A91F1C0" w14:textId="55DD8ABA"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3BF409AC" w14:textId="7852ED39"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23EACC" w14:textId="2674D759"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F34963" w14:textId="2E9FC8AD"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531410" w14:textId="7EEEDEF5"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356D06" w14:textId="028CCE55"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A45666"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64C7E3C3" w14:textId="77777777" w:rsidTr="007A036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B3245" w14:textId="24893D9F" w:rsidR="00217644" w:rsidRPr="00E91D07" w:rsidRDefault="00895E30" w:rsidP="0021764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17644" w:rsidRPr="00E91D07">
              <w:rPr>
                <w:rFonts w:ascii="Times New Roman" w:eastAsia="Times New Roman" w:hAnsi="Times New Roman" w:cs="Times New Roman"/>
                <w:kern w:val="0"/>
                <w:lang w:eastAsia="ro-MD"/>
                <w14:ligatures w14:val="none"/>
              </w:rPr>
              <w:t>220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43E35" w14:textId="5AB7E604" w:rsidR="00217644" w:rsidRPr="00E91D07" w:rsidRDefault="00217644" w:rsidP="00217644">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75%</w:t>
            </w:r>
          </w:p>
        </w:tc>
        <w:tc>
          <w:tcPr>
            <w:tcW w:w="340" w:type="pct"/>
            <w:tcBorders>
              <w:top w:val="single" w:sz="6" w:space="0" w:color="000000"/>
              <w:left w:val="single" w:sz="6" w:space="0" w:color="000000"/>
              <w:bottom w:val="single" w:sz="6" w:space="0" w:color="000000"/>
              <w:right w:val="single" w:sz="6" w:space="0" w:color="000000"/>
            </w:tcBorders>
          </w:tcPr>
          <w:p w14:paraId="0EF3597D" w14:textId="61343BE0"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28BCC8E8" w14:textId="4A89C66C"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44478" w14:textId="3A15F38B"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3A7C8" w14:textId="10711113"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8649F" w14:textId="53016BB3"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8EDBF" w14:textId="68B75B44"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E0584E3" w14:textId="618BF3B2"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2D449943" w14:textId="77777777" w:rsidTr="007A036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98DDF" w14:textId="78F2612F" w:rsidR="00217644" w:rsidRPr="00E91D07" w:rsidRDefault="00895E30" w:rsidP="0021764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17644" w:rsidRPr="00E91D07">
              <w:rPr>
                <w:rFonts w:ascii="Times New Roman" w:eastAsia="Times New Roman" w:hAnsi="Times New Roman" w:cs="Times New Roman"/>
                <w:kern w:val="0"/>
                <w:lang w:eastAsia="ro-MD"/>
                <w14:ligatures w14:val="none"/>
              </w:rPr>
              <w:t>225</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4A2A4" w14:textId="4466AA4E" w:rsidR="00217644" w:rsidRPr="00E91D07" w:rsidRDefault="00217644" w:rsidP="00217644">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80%</w:t>
            </w:r>
          </w:p>
        </w:tc>
        <w:tc>
          <w:tcPr>
            <w:tcW w:w="340" w:type="pct"/>
            <w:tcBorders>
              <w:top w:val="single" w:sz="6" w:space="0" w:color="000000"/>
              <w:left w:val="single" w:sz="6" w:space="0" w:color="000000"/>
              <w:bottom w:val="single" w:sz="6" w:space="0" w:color="000000"/>
              <w:right w:val="single" w:sz="6" w:space="0" w:color="000000"/>
            </w:tcBorders>
          </w:tcPr>
          <w:p w14:paraId="6920465E" w14:textId="5E79FD9B"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1638675B" w14:textId="57A173D5"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1D46B" w14:textId="6BE51627"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ED5DA" w14:textId="7BD2B247"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EE2E3" w14:textId="0765F1BD"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2FE60" w14:textId="6EB52FD4"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756F88"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01AB8B95" w14:textId="77777777" w:rsidTr="007A036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8658C" w14:textId="4FD88832" w:rsidR="00217644" w:rsidRPr="00E91D07" w:rsidRDefault="00895E30" w:rsidP="0021764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17644" w:rsidRPr="00E91D07">
              <w:rPr>
                <w:rFonts w:ascii="Times New Roman" w:eastAsia="Times New Roman" w:hAnsi="Times New Roman" w:cs="Times New Roman"/>
                <w:kern w:val="0"/>
                <w:lang w:eastAsia="ro-MD"/>
                <w14:ligatures w14:val="none"/>
              </w:rPr>
              <w:t>226</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C8D45" w14:textId="30DF249C" w:rsidR="00217644" w:rsidRPr="00E91D07" w:rsidRDefault="00217644" w:rsidP="00217644">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90%</w:t>
            </w:r>
          </w:p>
        </w:tc>
        <w:tc>
          <w:tcPr>
            <w:tcW w:w="340" w:type="pct"/>
            <w:tcBorders>
              <w:top w:val="single" w:sz="6" w:space="0" w:color="000000"/>
              <w:left w:val="single" w:sz="6" w:space="0" w:color="000000"/>
              <w:bottom w:val="single" w:sz="6" w:space="0" w:color="000000"/>
              <w:right w:val="single" w:sz="6" w:space="0" w:color="000000"/>
            </w:tcBorders>
          </w:tcPr>
          <w:p w14:paraId="5E6448A3" w14:textId="5C7B1CE8"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48437460" w14:textId="717A352E"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45493" w14:textId="419E5C08"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D731B" w14:textId="189305F5"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59546" w14:textId="655013F0"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C5653" w14:textId="12F1E7FE"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389B52"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71F3484F" w14:textId="77777777" w:rsidTr="007A036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69119" w14:textId="1D9571A9" w:rsidR="00217644" w:rsidRPr="00E91D07" w:rsidRDefault="00895E30" w:rsidP="0021764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17644" w:rsidRPr="00E91D07">
              <w:rPr>
                <w:rFonts w:ascii="Times New Roman" w:eastAsia="Times New Roman" w:hAnsi="Times New Roman" w:cs="Times New Roman"/>
                <w:kern w:val="0"/>
                <w:lang w:eastAsia="ro-MD"/>
                <w14:ligatures w14:val="none"/>
              </w:rPr>
              <w:t>230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927E0" w14:textId="163EFA22" w:rsidR="00217644" w:rsidRPr="00E91D07" w:rsidRDefault="00217644" w:rsidP="00217644">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100%</w:t>
            </w:r>
          </w:p>
        </w:tc>
        <w:tc>
          <w:tcPr>
            <w:tcW w:w="340" w:type="pct"/>
            <w:tcBorders>
              <w:top w:val="single" w:sz="6" w:space="0" w:color="000000"/>
              <w:left w:val="single" w:sz="6" w:space="0" w:color="000000"/>
              <w:bottom w:val="single" w:sz="6" w:space="0" w:color="000000"/>
              <w:right w:val="single" w:sz="6" w:space="0" w:color="000000"/>
            </w:tcBorders>
          </w:tcPr>
          <w:p w14:paraId="210BAB45" w14:textId="5702C20A"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57B64950" w14:textId="2C033732"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75456" w14:textId="6B12BC85"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B2BA8" w14:textId="00F03478"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6794A" w14:textId="60B35C27"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7DAA3" w14:textId="35155C80"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5B4F05" w14:textId="5110EB2D"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6A75B3D0" w14:textId="77777777" w:rsidTr="007A036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9EFD8" w14:textId="19E602D1" w:rsidR="00217644" w:rsidRPr="00E91D07" w:rsidRDefault="00895E30" w:rsidP="0021764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17644" w:rsidRPr="00E91D07">
              <w:rPr>
                <w:rFonts w:ascii="Times New Roman" w:eastAsia="Times New Roman" w:hAnsi="Times New Roman" w:cs="Times New Roman"/>
                <w:kern w:val="0"/>
                <w:lang w:eastAsia="ro-MD"/>
                <w14:ligatures w14:val="none"/>
              </w:rPr>
              <w:t>231</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2EFBB" w14:textId="169049EC" w:rsidR="00217644" w:rsidRPr="00E91D07" w:rsidRDefault="00217644" w:rsidP="00217644">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105%</w:t>
            </w:r>
          </w:p>
        </w:tc>
        <w:tc>
          <w:tcPr>
            <w:tcW w:w="340" w:type="pct"/>
            <w:tcBorders>
              <w:top w:val="single" w:sz="6" w:space="0" w:color="000000"/>
              <w:left w:val="single" w:sz="6" w:space="0" w:color="000000"/>
              <w:bottom w:val="single" w:sz="6" w:space="0" w:color="000000"/>
              <w:right w:val="single" w:sz="6" w:space="0" w:color="000000"/>
            </w:tcBorders>
          </w:tcPr>
          <w:p w14:paraId="5913D6F6" w14:textId="4E10FA1B"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692A8949" w14:textId="4A670169"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1A145" w14:textId="681601CE"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48F30" w14:textId="2F2B5636"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5E3FB" w14:textId="3ABA5E94"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7C8DC" w14:textId="7FC3E36D"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D16DFF"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2EE296B9" w14:textId="77777777" w:rsidTr="007A036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02D25" w14:textId="761AEE25" w:rsidR="00217644" w:rsidRPr="00E91D07" w:rsidRDefault="00895E30" w:rsidP="0021764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17644" w:rsidRPr="00E91D07">
              <w:rPr>
                <w:rFonts w:ascii="Times New Roman" w:eastAsia="Times New Roman" w:hAnsi="Times New Roman" w:cs="Times New Roman"/>
                <w:kern w:val="0"/>
                <w:lang w:eastAsia="ro-MD"/>
                <w14:ligatures w14:val="none"/>
              </w:rPr>
              <w:t>232</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0C494" w14:textId="281C081D" w:rsidR="00217644" w:rsidRPr="00E91D07" w:rsidRDefault="00217644" w:rsidP="00217644">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110%</w:t>
            </w:r>
          </w:p>
        </w:tc>
        <w:tc>
          <w:tcPr>
            <w:tcW w:w="340" w:type="pct"/>
            <w:tcBorders>
              <w:top w:val="single" w:sz="6" w:space="0" w:color="000000"/>
              <w:left w:val="single" w:sz="6" w:space="0" w:color="000000"/>
              <w:bottom w:val="single" w:sz="6" w:space="0" w:color="000000"/>
              <w:right w:val="single" w:sz="6" w:space="0" w:color="000000"/>
            </w:tcBorders>
          </w:tcPr>
          <w:p w14:paraId="059216F8" w14:textId="1A1AFA23"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5087DA38" w14:textId="0E5E8E46"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B840B" w14:textId="6B8AB291"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54A79" w14:textId="3CB2F738"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6F1CE" w14:textId="2AE6F15C"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72A3F" w14:textId="644AC220"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6CBEDA" w14:textId="111AEC53"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53CC55C3" w14:textId="77777777" w:rsidTr="007A036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D15C4" w14:textId="0EF787C6" w:rsidR="00217644" w:rsidRPr="00E91D07" w:rsidRDefault="00895E30" w:rsidP="0021764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17644" w:rsidRPr="00E91D07">
              <w:rPr>
                <w:rFonts w:ascii="Times New Roman" w:eastAsia="Times New Roman" w:hAnsi="Times New Roman" w:cs="Times New Roman"/>
                <w:kern w:val="0"/>
                <w:lang w:eastAsia="ro-MD"/>
                <w14:ligatures w14:val="none"/>
              </w:rPr>
              <w:t>235</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8E2E3" w14:textId="0283D2DF" w:rsidR="00217644" w:rsidRPr="00E91D07" w:rsidRDefault="00217644" w:rsidP="00217644">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130%</w:t>
            </w:r>
          </w:p>
        </w:tc>
        <w:tc>
          <w:tcPr>
            <w:tcW w:w="340" w:type="pct"/>
            <w:tcBorders>
              <w:top w:val="single" w:sz="6" w:space="0" w:color="000000"/>
              <w:left w:val="single" w:sz="6" w:space="0" w:color="000000"/>
              <w:bottom w:val="single" w:sz="6" w:space="0" w:color="000000"/>
              <w:right w:val="single" w:sz="6" w:space="0" w:color="000000"/>
            </w:tcBorders>
          </w:tcPr>
          <w:p w14:paraId="4424DA68" w14:textId="3F02D21B"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54DBAD9C" w14:textId="2FCF763C"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024BF" w14:textId="6C8490F5"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E7C84" w14:textId="5AEAC518"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BB896" w14:textId="1168BB27"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503CB" w14:textId="325DEE2B"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3F7085"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783DF56C" w14:textId="77777777" w:rsidTr="007A036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30390" w14:textId="7DACBE37" w:rsidR="00217644" w:rsidRPr="00E91D07" w:rsidRDefault="00895E30" w:rsidP="0021764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17644" w:rsidRPr="00E91D07">
              <w:rPr>
                <w:rFonts w:ascii="Times New Roman" w:eastAsia="Times New Roman" w:hAnsi="Times New Roman" w:cs="Times New Roman"/>
                <w:kern w:val="0"/>
                <w:lang w:eastAsia="ro-MD"/>
                <w14:ligatures w14:val="none"/>
              </w:rPr>
              <w:t>240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C9077" w14:textId="1B3FD47F" w:rsidR="00217644" w:rsidRPr="00E91D07" w:rsidRDefault="00217644" w:rsidP="00217644">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150%</w:t>
            </w:r>
          </w:p>
        </w:tc>
        <w:tc>
          <w:tcPr>
            <w:tcW w:w="340" w:type="pct"/>
            <w:tcBorders>
              <w:top w:val="single" w:sz="6" w:space="0" w:color="000000"/>
              <w:left w:val="single" w:sz="6" w:space="0" w:color="000000"/>
              <w:bottom w:val="single" w:sz="6" w:space="0" w:color="000000"/>
              <w:right w:val="single" w:sz="6" w:space="0" w:color="000000"/>
            </w:tcBorders>
          </w:tcPr>
          <w:p w14:paraId="362F0750" w14:textId="433D2E9C"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453858FC" w14:textId="20DBD824"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A9BFB" w14:textId="67A93798"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EBD42" w14:textId="1F9C4C3D"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F54FC" w14:textId="1C056C8B"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C1061" w14:textId="05063D88"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ED21FE"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075B97A1" w14:textId="77777777" w:rsidTr="007A036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D1C81" w14:textId="5014A65C" w:rsidR="00217644" w:rsidRPr="00E91D07" w:rsidRDefault="00895E30" w:rsidP="0021764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17644" w:rsidRPr="00E91D07">
              <w:rPr>
                <w:rFonts w:ascii="Times New Roman" w:eastAsia="Times New Roman" w:hAnsi="Times New Roman" w:cs="Times New Roman"/>
                <w:kern w:val="0"/>
                <w:lang w:eastAsia="ro-MD"/>
                <w14:ligatures w14:val="none"/>
              </w:rPr>
              <w:t>250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B6CD6" w14:textId="68F9FD93" w:rsidR="00217644" w:rsidRPr="00E91D07" w:rsidRDefault="00217644" w:rsidP="00217644">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250%</w:t>
            </w:r>
          </w:p>
        </w:tc>
        <w:tc>
          <w:tcPr>
            <w:tcW w:w="340" w:type="pct"/>
            <w:tcBorders>
              <w:top w:val="single" w:sz="6" w:space="0" w:color="000000"/>
              <w:left w:val="single" w:sz="6" w:space="0" w:color="000000"/>
              <w:bottom w:val="single" w:sz="6" w:space="0" w:color="000000"/>
              <w:right w:val="single" w:sz="6" w:space="0" w:color="000000"/>
            </w:tcBorders>
          </w:tcPr>
          <w:p w14:paraId="5ACB1DD7" w14:textId="6D08F091"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3D44A19D" w14:textId="62325BC7"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8DC14" w14:textId="7EE08A55"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FAF27" w14:textId="20D98C9D"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F345F" w14:textId="37FE587D"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90C1D" w14:textId="0A5E8D2D"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B261B7"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4FF5D629" w14:textId="77777777" w:rsidTr="007A036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4AF69" w14:textId="43607FBD" w:rsidR="00217644" w:rsidRPr="00E91D07" w:rsidRDefault="00895E30" w:rsidP="0021764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17644" w:rsidRPr="00E91D07">
              <w:rPr>
                <w:rFonts w:ascii="Times New Roman" w:eastAsia="Times New Roman" w:hAnsi="Times New Roman" w:cs="Times New Roman"/>
                <w:kern w:val="0"/>
                <w:lang w:eastAsia="ro-MD"/>
                <w14:ligatures w14:val="none"/>
              </w:rPr>
              <w:t>260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A4A9F" w14:textId="4050E95B" w:rsidR="00217644" w:rsidRPr="00E91D07" w:rsidRDefault="00217644" w:rsidP="00217644">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370%</w:t>
            </w:r>
          </w:p>
        </w:tc>
        <w:tc>
          <w:tcPr>
            <w:tcW w:w="340" w:type="pct"/>
            <w:tcBorders>
              <w:top w:val="single" w:sz="6" w:space="0" w:color="000000"/>
              <w:left w:val="single" w:sz="6" w:space="0" w:color="000000"/>
              <w:bottom w:val="single" w:sz="6" w:space="0" w:color="000000"/>
              <w:right w:val="single" w:sz="6" w:space="0" w:color="000000"/>
            </w:tcBorders>
          </w:tcPr>
          <w:p w14:paraId="0BEDC328" w14:textId="7B43BC35"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3B647FB7" w14:textId="1949FC66"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47370" w14:textId="197A9F38"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D4F01" w14:textId="3F5C1FC5"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C9F7E" w14:textId="2459DDE8"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FA594" w14:textId="505BBB06"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DFDB88" w14:textId="4EA42FDE"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r>
      <w:tr w:rsidR="00217644" w:rsidRPr="008844AC" w14:paraId="6EB953A6" w14:textId="77777777" w:rsidTr="007A036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5AFFF" w14:textId="1CFBE7B3" w:rsidR="00217644" w:rsidRPr="00E91D07" w:rsidRDefault="00895E30" w:rsidP="0021764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217644" w:rsidRPr="00E91D07">
              <w:rPr>
                <w:rFonts w:ascii="Times New Roman" w:eastAsia="Times New Roman" w:hAnsi="Times New Roman" w:cs="Times New Roman"/>
                <w:kern w:val="0"/>
                <w:lang w:eastAsia="ro-MD"/>
                <w14:ligatures w14:val="none"/>
              </w:rPr>
              <w:t>265</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D9FF5" w14:textId="0B33C650" w:rsidR="00217644" w:rsidRPr="00E91D07" w:rsidRDefault="00217644" w:rsidP="00217644">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400%</w:t>
            </w:r>
          </w:p>
        </w:tc>
        <w:tc>
          <w:tcPr>
            <w:tcW w:w="340" w:type="pct"/>
            <w:tcBorders>
              <w:top w:val="single" w:sz="6" w:space="0" w:color="000000"/>
              <w:left w:val="single" w:sz="6" w:space="0" w:color="000000"/>
              <w:bottom w:val="single" w:sz="6" w:space="0" w:color="000000"/>
              <w:right w:val="single" w:sz="6" w:space="0" w:color="000000"/>
            </w:tcBorders>
          </w:tcPr>
          <w:p w14:paraId="1E4E3713" w14:textId="5C79FCDA"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39A388CD" w14:textId="6F3EA8DD"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40374" w14:textId="44E7A2A8"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550F4" w14:textId="19A7E22D"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F9C5A" w14:textId="087C1187"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DD7E7" w14:textId="49507B46"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B07D07" w14:textId="50E8F0DC"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3346F2D9"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B0CE7" w14:textId="0DACFA71" w:rsidR="00217644" w:rsidRPr="008844AC" w:rsidRDefault="00895E30" w:rsidP="00217644">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217644" w:rsidRPr="008844AC">
              <w:rPr>
                <w:rFonts w:ascii="Times New Roman" w:eastAsia="Times New Roman" w:hAnsi="Times New Roman" w:cs="Times New Roman"/>
                <w:kern w:val="0"/>
                <w:lang w:eastAsia="ro-MD"/>
                <w14:ligatures w14:val="none"/>
              </w:rPr>
              <w:t>270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ACEA9" w14:textId="325447D8" w:rsidR="00217644" w:rsidRPr="008844AC" w:rsidRDefault="00217644" w:rsidP="00217644">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1000%</w:t>
            </w:r>
          </w:p>
        </w:tc>
        <w:tc>
          <w:tcPr>
            <w:tcW w:w="340" w:type="pct"/>
            <w:tcBorders>
              <w:top w:val="single" w:sz="6" w:space="0" w:color="000000"/>
              <w:left w:val="single" w:sz="6" w:space="0" w:color="000000"/>
              <w:bottom w:val="single" w:sz="6" w:space="0" w:color="000000"/>
              <w:right w:val="single" w:sz="6" w:space="0" w:color="000000"/>
            </w:tcBorders>
          </w:tcPr>
          <w:p w14:paraId="079713F2" w14:textId="2A97E9F0"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49E4E9A1" w14:textId="26634706"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3A099" w14:textId="5F4C4E9F"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508FD" w14:textId="43BDDB74"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6B20C" w14:textId="31CF6F6F"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92B8F" w14:textId="65E5BCBB"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8E571"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3A7886C7"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F3DA8" w14:textId="5FBAF379" w:rsidR="00217644" w:rsidRPr="008844AC" w:rsidRDefault="00895E30" w:rsidP="00217644">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217644" w:rsidRPr="008844AC">
              <w:rPr>
                <w:rFonts w:ascii="Times New Roman" w:eastAsia="Times New Roman" w:hAnsi="Times New Roman" w:cs="Times New Roman"/>
                <w:kern w:val="0"/>
                <w:lang w:eastAsia="ro-MD"/>
                <w14:ligatures w14:val="none"/>
              </w:rPr>
              <w:t>280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D332A" w14:textId="137924EF" w:rsidR="00217644" w:rsidRPr="008844AC" w:rsidRDefault="00217644" w:rsidP="00217644">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Alte ponderi de risc</w:t>
            </w:r>
          </w:p>
        </w:tc>
        <w:tc>
          <w:tcPr>
            <w:tcW w:w="340" w:type="pct"/>
            <w:tcBorders>
              <w:top w:val="single" w:sz="6" w:space="0" w:color="000000"/>
              <w:left w:val="single" w:sz="6" w:space="0" w:color="000000"/>
              <w:bottom w:val="single" w:sz="6" w:space="0" w:color="000000"/>
              <w:right w:val="single" w:sz="6" w:space="0" w:color="000000"/>
            </w:tcBorders>
          </w:tcPr>
          <w:p w14:paraId="3AB0C9FE" w14:textId="6EE1F337"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2B41F928" w14:textId="4395076D"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02BE1" w14:textId="1B68CF22"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020FE" w14:textId="6FF92D9C"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E8A56" w14:textId="50DBDF9F"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DEBD2" w14:textId="1CB71B1C"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CA451"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7A0369" w:rsidRPr="00E91D07" w14:paraId="69D281B8" w14:textId="77777777" w:rsidTr="00061B39">
        <w:tc>
          <w:tcPr>
            <w:tcW w:w="5000" w:type="pct"/>
            <w:gridSpan w:val="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AEF06B" w14:textId="77777777" w:rsidR="007A0369" w:rsidRPr="00E91D07" w:rsidRDefault="007A0369" w:rsidP="007A0369">
            <w:pPr>
              <w:spacing w:after="0" w:line="240" w:lineRule="auto"/>
              <w:jc w:val="center"/>
              <w:rPr>
                <w:rFonts w:ascii="Times New Roman" w:eastAsia="Times New Roman" w:hAnsi="Times New Roman" w:cs="Times New Roman"/>
                <w:b/>
                <w:bCs/>
                <w:kern w:val="0"/>
                <w:lang w:eastAsia="ro-MD"/>
                <w14:ligatures w14:val="none"/>
              </w:rPr>
            </w:pPr>
          </w:p>
          <w:p w14:paraId="5A437AFF" w14:textId="3E5C3D78" w:rsidR="007A0369" w:rsidRPr="00E91D07" w:rsidRDefault="007A0369" w:rsidP="007A0369">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b/>
                <w:bCs/>
                <w:kern w:val="0"/>
                <w:lang w:eastAsia="ro-MD"/>
                <w14:ligatures w14:val="none"/>
              </w:rPr>
              <w:t>DEFALCAREA EXPUNERILOR TOTALE ÎN FUNCȚIE DE ABORDARE (OPC):</w:t>
            </w:r>
          </w:p>
        </w:tc>
      </w:tr>
      <w:tr w:rsidR="007A0369" w:rsidRPr="00E91D07" w14:paraId="7A20FCB1"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294888" w14:textId="1B14688F" w:rsidR="007A0369" w:rsidRPr="00E91D07" w:rsidRDefault="00895E30" w:rsidP="007A0369">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7A0369" w:rsidRPr="00E91D07">
              <w:rPr>
                <w:rFonts w:ascii="Times New Roman" w:eastAsia="Times New Roman" w:hAnsi="Times New Roman" w:cs="Times New Roman"/>
                <w:kern w:val="0"/>
                <w:lang w:eastAsia="ro-MD"/>
                <w14:ligatures w14:val="none"/>
              </w:rPr>
              <w:t>281</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D03F22" w14:textId="0E45A222" w:rsidR="007A0369" w:rsidRPr="00E91D07" w:rsidRDefault="007A0369" w:rsidP="007A0369">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Abordarea de tip look-</w:t>
            </w:r>
            <w:proofErr w:type="spellStart"/>
            <w:r w:rsidRPr="00E91D07">
              <w:rPr>
                <w:rFonts w:ascii="Times New Roman" w:eastAsia="Times New Roman" w:hAnsi="Times New Roman" w:cs="Times New Roman"/>
                <w:kern w:val="0"/>
                <w:lang w:eastAsia="ro-MD"/>
                <w14:ligatures w14:val="none"/>
              </w:rPr>
              <w:t>through</w:t>
            </w:r>
            <w:proofErr w:type="spellEnd"/>
          </w:p>
        </w:tc>
        <w:tc>
          <w:tcPr>
            <w:tcW w:w="340" w:type="pct"/>
            <w:tcBorders>
              <w:top w:val="single" w:sz="6" w:space="0" w:color="000000"/>
              <w:left w:val="single" w:sz="6" w:space="0" w:color="000000"/>
              <w:bottom w:val="single" w:sz="6" w:space="0" w:color="000000"/>
              <w:right w:val="single" w:sz="6" w:space="0" w:color="000000"/>
            </w:tcBorders>
          </w:tcPr>
          <w:p w14:paraId="4312B7E5" w14:textId="77777777" w:rsidR="007A0369" w:rsidRPr="00E91D07" w:rsidRDefault="007A0369" w:rsidP="007A0369">
            <w:pPr>
              <w:spacing w:after="0" w:line="240" w:lineRule="auto"/>
              <w:jc w:val="center"/>
              <w:rPr>
                <w:rFonts w:ascii="Times New Roman" w:eastAsia="Times New Roman" w:hAnsi="Times New Roman" w:cs="Times New Roman"/>
                <w:kern w:val="0"/>
                <w:lang w:eastAsia="ro-MD"/>
                <w14:ligatures w14:val="none"/>
              </w:rPr>
            </w:pPr>
          </w:p>
        </w:tc>
        <w:tc>
          <w:tcPr>
            <w:tcW w:w="309" w:type="pct"/>
            <w:tcBorders>
              <w:top w:val="single" w:sz="6" w:space="0" w:color="000000"/>
              <w:left w:val="single" w:sz="6" w:space="0" w:color="000000"/>
              <w:bottom w:val="single" w:sz="6" w:space="0" w:color="000000"/>
              <w:right w:val="single" w:sz="6" w:space="0" w:color="000000"/>
            </w:tcBorders>
          </w:tcPr>
          <w:p w14:paraId="40259D0A" w14:textId="77777777" w:rsidR="007A0369" w:rsidRPr="00E91D07" w:rsidRDefault="007A0369" w:rsidP="007A0369">
            <w:pPr>
              <w:spacing w:after="0" w:line="240" w:lineRule="auto"/>
              <w:jc w:val="center"/>
              <w:rPr>
                <w:rFonts w:ascii="Times New Roman" w:eastAsia="Times New Roman" w:hAnsi="Times New Roman" w:cs="Times New Roman"/>
                <w:kern w:val="0"/>
                <w:lang w:eastAsia="ro-MD"/>
                <w14:ligatures w14:val="none"/>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066218" w14:textId="77777777" w:rsidR="007A0369" w:rsidRPr="00E91D07" w:rsidRDefault="007A0369" w:rsidP="007A0369">
            <w:pPr>
              <w:spacing w:after="0" w:line="240" w:lineRule="auto"/>
              <w:jc w:val="center"/>
              <w:rPr>
                <w:rFonts w:ascii="Times New Roman" w:eastAsia="Times New Roman" w:hAnsi="Times New Roman" w:cs="Times New Roman"/>
                <w:kern w:val="0"/>
                <w:lang w:eastAsia="ro-MD"/>
                <w14:ligatures w14:val="none"/>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EE2E46" w14:textId="77777777" w:rsidR="007A0369" w:rsidRPr="00E91D07" w:rsidRDefault="007A0369" w:rsidP="007A0369">
            <w:pPr>
              <w:spacing w:after="0" w:line="240" w:lineRule="auto"/>
              <w:jc w:val="center"/>
              <w:rPr>
                <w:rFonts w:ascii="Times New Roman" w:eastAsia="Times New Roman" w:hAnsi="Times New Roman" w:cs="Times New Roman"/>
                <w:kern w:val="0"/>
                <w:lang w:eastAsia="ro-MD"/>
                <w14:ligatures w14:val="none"/>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722180" w14:textId="77777777" w:rsidR="007A0369" w:rsidRPr="00E91D07" w:rsidRDefault="007A0369" w:rsidP="007A0369">
            <w:pPr>
              <w:spacing w:after="0" w:line="240" w:lineRule="auto"/>
              <w:jc w:val="center"/>
              <w:rPr>
                <w:rFonts w:ascii="Times New Roman" w:eastAsia="Times New Roman" w:hAnsi="Times New Roman" w:cs="Times New Roman"/>
                <w:kern w:val="0"/>
                <w:lang w:eastAsia="ro-MD"/>
                <w14:ligatures w14:val="none"/>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7BFED3" w14:textId="77777777" w:rsidR="007A0369" w:rsidRPr="00E91D07" w:rsidRDefault="007A0369" w:rsidP="007A0369">
            <w:pPr>
              <w:spacing w:after="0" w:line="240" w:lineRule="auto"/>
              <w:jc w:val="center"/>
              <w:rPr>
                <w:rFonts w:ascii="Times New Roman" w:eastAsia="Times New Roman" w:hAnsi="Times New Roman" w:cs="Times New Roman"/>
                <w:kern w:val="0"/>
                <w:lang w:eastAsia="ro-MD"/>
                <w14:ligatures w14:val="none"/>
              </w:rPr>
            </w:pP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EB9787" w14:textId="77777777" w:rsidR="007A0369" w:rsidRPr="00E91D07" w:rsidRDefault="007A0369" w:rsidP="007A0369">
            <w:pPr>
              <w:spacing w:after="0" w:line="240" w:lineRule="auto"/>
              <w:jc w:val="center"/>
              <w:rPr>
                <w:rFonts w:ascii="Times New Roman" w:eastAsia="Times New Roman" w:hAnsi="Times New Roman" w:cs="Times New Roman"/>
                <w:kern w:val="0"/>
                <w:lang w:eastAsia="ro-MD"/>
                <w14:ligatures w14:val="none"/>
              </w:rPr>
            </w:pPr>
          </w:p>
        </w:tc>
      </w:tr>
      <w:tr w:rsidR="007A0369" w:rsidRPr="00E91D07" w14:paraId="340FDF78"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CAEBFC" w14:textId="3FC149C3" w:rsidR="007A0369" w:rsidRPr="00E91D07" w:rsidRDefault="00895E30" w:rsidP="007A0369">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7A0369" w:rsidRPr="00E91D07">
              <w:rPr>
                <w:rFonts w:ascii="Times New Roman" w:eastAsia="Times New Roman" w:hAnsi="Times New Roman" w:cs="Times New Roman"/>
                <w:kern w:val="0"/>
                <w:lang w:eastAsia="ro-MD"/>
                <w14:ligatures w14:val="none"/>
              </w:rPr>
              <w:t>282</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CBE16A" w14:textId="11A3B554" w:rsidR="007A0369" w:rsidRPr="00E91D07" w:rsidRDefault="007A0369" w:rsidP="007A0369">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Abordarea pe bază de mandat</w:t>
            </w:r>
          </w:p>
        </w:tc>
        <w:tc>
          <w:tcPr>
            <w:tcW w:w="340" w:type="pct"/>
            <w:tcBorders>
              <w:top w:val="single" w:sz="6" w:space="0" w:color="000000"/>
              <w:left w:val="single" w:sz="6" w:space="0" w:color="000000"/>
              <w:bottom w:val="single" w:sz="6" w:space="0" w:color="000000"/>
              <w:right w:val="single" w:sz="6" w:space="0" w:color="000000"/>
            </w:tcBorders>
          </w:tcPr>
          <w:p w14:paraId="18936232" w14:textId="77777777" w:rsidR="007A0369" w:rsidRPr="00E91D07" w:rsidRDefault="007A0369" w:rsidP="007A0369">
            <w:pPr>
              <w:spacing w:after="0" w:line="240" w:lineRule="auto"/>
              <w:jc w:val="center"/>
              <w:rPr>
                <w:rFonts w:ascii="Times New Roman" w:eastAsia="Times New Roman" w:hAnsi="Times New Roman" w:cs="Times New Roman"/>
                <w:kern w:val="0"/>
                <w:lang w:eastAsia="ro-MD"/>
                <w14:ligatures w14:val="none"/>
              </w:rPr>
            </w:pPr>
          </w:p>
        </w:tc>
        <w:tc>
          <w:tcPr>
            <w:tcW w:w="309" w:type="pct"/>
            <w:tcBorders>
              <w:top w:val="single" w:sz="6" w:space="0" w:color="000000"/>
              <w:left w:val="single" w:sz="6" w:space="0" w:color="000000"/>
              <w:bottom w:val="single" w:sz="6" w:space="0" w:color="000000"/>
              <w:right w:val="single" w:sz="6" w:space="0" w:color="000000"/>
            </w:tcBorders>
          </w:tcPr>
          <w:p w14:paraId="692AE4F7" w14:textId="77777777" w:rsidR="007A0369" w:rsidRPr="00E91D07" w:rsidRDefault="007A0369" w:rsidP="007A0369">
            <w:pPr>
              <w:spacing w:after="0" w:line="240" w:lineRule="auto"/>
              <w:jc w:val="center"/>
              <w:rPr>
                <w:rFonts w:ascii="Times New Roman" w:eastAsia="Times New Roman" w:hAnsi="Times New Roman" w:cs="Times New Roman"/>
                <w:kern w:val="0"/>
                <w:lang w:eastAsia="ro-MD"/>
                <w14:ligatures w14:val="none"/>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9EB88A" w14:textId="77777777" w:rsidR="007A0369" w:rsidRPr="00E91D07" w:rsidRDefault="007A0369" w:rsidP="007A0369">
            <w:pPr>
              <w:spacing w:after="0" w:line="240" w:lineRule="auto"/>
              <w:jc w:val="center"/>
              <w:rPr>
                <w:rFonts w:ascii="Times New Roman" w:eastAsia="Times New Roman" w:hAnsi="Times New Roman" w:cs="Times New Roman"/>
                <w:kern w:val="0"/>
                <w:lang w:eastAsia="ro-MD"/>
                <w14:ligatures w14:val="none"/>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1A53AF" w14:textId="77777777" w:rsidR="007A0369" w:rsidRPr="00E91D07" w:rsidRDefault="007A0369" w:rsidP="007A0369">
            <w:pPr>
              <w:spacing w:after="0" w:line="240" w:lineRule="auto"/>
              <w:jc w:val="center"/>
              <w:rPr>
                <w:rFonts w:ascii="Times New Roman" w:eastAsia="Times New Roman" w:hAnsi="Times New Roman" w:cs="Times New Roman"/>
                <w:kern w:val="0"/>
                <w:lang w:eastAsia="ro-MD"/>
                <w14:ligatures w14:val="none"/>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093A57" w14:textId="77777777" w:rsidR="007A0369" w:rsidRPr="00E91D07" w:rsidRDefault="007A0369" w:rsidP="007A0369">
            <w:pPr>
              <w:spacing w:after="0" w:line="240" w:lineRule="auto"/>
              <w:jc w:val="center"/>
              <w:rPr>
                <w:rFonts w:ascii="Times New Roman" w:eastAsia="Times New Roman" w:hAnsi="Times New Roman" w:cs="Times New Roman"/>
                <w:kern w:val="0"/>
                <w:lang w:eastAsia="ro-MD"/>
                <w14:ligatures w14:val="none"/>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0FE650" w14:textId="77777777" w:rsidR="007A0369" w:rsidRPr="00E91D07" w:rsidRDefault="007A0369" w:rsidP="007A0369">
            <w:pPr>
              <w:spacing w:after="0" w:line="240" w:lineRule="auto"/>
              <w:jc w:val="center"/>
              <w:rPr>
                <w:rFonts w:ascii="Times New Roman" w:eastAsia="Times New Roman" w:hAnsi="Times New Roman" w:cs="Times New Roman"/>
                <w:kern w:val="0"/>
                <w:lang w:eastAsia="ro-MD"/>
                <w14:ligatures w14:val="none"/>
              </w:rPr>
            </w:pP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034236" w14:textId="77777777" w:rsidR="007A0369" w:rsidRPr="00E91D07" w:rsidRDefault="007A0369" w:rsidP="007A0369">
            <w:pPr>
              <w:spacing w:after="0" w:line="240" w:lineRule="auto"/>
              <w:jc w:val="center"/>
              <w:rPr>
                <w:rFonts w:ascii="Times New Roman" w:eastAsia="Times New Roman" w:hAnsi="Times New Roman" w:cs="Times New Roman"/>
                <w:kern w:val="0"/>
                <w:lang w:eastAsia="ro-MD"/>
                <w14:ligatures w14:val="none"/>
              </w:rPr>
            </w:pPr>
          </w:p>
        </w:tc>
      </w:tr>
      <w:tr w:rsidR="007A0369" w:rsidRPr="008844AC" w14:paraId="695BA55D"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951EC9" w14:textId="18D4CAEF" w:rsidR="007A0369" w:rsidRPr="00E91D07" w:rsidRDefault="00895E30" w:rsidP="007A0369">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7A0369" w:rsidRPr="00E91D07">
              <w:rPr>
                <w:rFonts w:ascii="Times New Roman" w:eastAsia="Times New Roman" w:hAnsi="Times New Roman" w:cs="Times New Roman"/>
                <w:kern w:val="0"/>
                <w:lang w:eastAsia="ro-MD"/>
                <w14:ligatures w14:val="none"/>
              </w:rPr>
              <w:t>283</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CAAF34" w14:textId="73DB9588" w:rsidR="007A0369" w:rsidRPr="00E91D07" w:rsidRDefault="007A0369" w:rsidP="007A0369">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Abordarea de rezervă (</w:t>
            </w:r>
            <w:proofErr w:type="spellStart"/>
            <w:r w:rsidRPr="00E91D07">
              <w:rPr>
                <w:rFonts w:ascii="Times New Roman" w:eastAsia="Times New Roman" w:hAnsi="Times New Roman" w:cs="Times New Roman"/>
                <w:kern w:val="0"/>
                <w:lang w:eastAsia="ro-MD"/>
                <w14:ligatures w14:val="none"/>
              </w:rPr>
              <w:t>fall</w:t>
            </w:r>
            <w:proofErr w:type="spellEnd"/>
            <w:r w:rsidRPr="00E91D07">
              <w:rPr>
                <w:rFonts w:ascii="Times New Roman" w:eastAsia="Times New Roman" w:hAnsi="Times New Roman" w:cs="Times New Roman"/>
                <w:kern w:val="0"/>
                <w:lang w:eastAsia="ro-MD"/>
                <w14:ligatures w14:val="none"/>
              </w:rPr>
              <w:t>-back)</w:t>
            </w:r>
          </w:p>
        </w:tc>
        <w:tc>
          <w:tcPr>
            <w:tcW w:w="340" w:type="pct"/>
            <w:tcBorders>
              <w:top w:val="single" w:sz="6" w:space="0" w:color="000000"/>
              <w:left w:val="single" w:sz="6" w:space="0" w:color="000000"/>
              <w:bottom w:val="single" w:sz="6" w:space="0" w:color="000000"/>
              <w:right w:val="single" w:sz="6" w:space="0" w:color="000000"/>
            </w:tcBorders>
          </w:tcPr>
          <w:p w14:paraId="52B041D8" w14:textId="77777777" w:rsidR="007A0369" w:rsidRPr="008844AC" w:rsidRDefault="007A0369" w:rsidP="007A0369">
            <w:pPr>
              <w:spacing w:after="0" w:line="240" w:lineRule="auto"/>
              <w:jc w:val="center"/>
              <w:rPr>
                <w:rFonts w:ascii="Times New Roman" w:eastAsia="Times New Roman" w:hAnsi="Times New Roman" w:cs="Times New Roman"/>
                <w:kern w:val="0"/>
                <w:lang w:eastAsia="ro-MD"/>
                <w14:ligatures w14:val="none"/>
              </w:rPr>
            </w:pPr>
          </w:p>
        </w:tc>
        <w:tc>
          <w:tcPr>
            <w:tcW w:w="309" w:type="pct"/>
            <w:tcBorders>
              <w:top w:val="single" w:sz="6" w:space="0" w:color="000000"/>
              <w:left w:val="single" w:sz="6" w:space="0" w:color="000000"/>
              <w:bottom w:val="single" w:sz="6" w:space="0" w:color="000000"/>
              <w:right w:val="single" w:sz="6" w:space="0" w:color="000000"/>
            </w:tcBorders>
          </w:tcPr>
          <w:p w14:paraId="4EDAE125" w14:textId="77777777" w:rsidR="007A0369" w:rsidRPr="008844AC" w:rsidRDefault="007A0369" w:rsidP="007A0369">
            <w:pPr>
              <w:spacing w:after="0" w:line="240" w:lineRule="auto"/>
              <w:jc w:val="center"/>
              <w:rPr>
                <w:rFonts w:ascii="Times New Roman" w:eastAsia="Times New Roman" w:hAnsi="Times New Roman" w:cs="Times New Roman"/>
                <w:kern w:val="0"/>
                <w:lang w:eastAsia="ro-MD"/>
                <w14:ligatures w14:val="none"/>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FC34F0" w14:textId="77777777" w:rsidR="007A0369" w:rsidRPr="008844AC" w:rsidRDefault="007A0369" w:rsidP="007A0369">
            <w:pPr>
              <w:spacing w:after="0" w:line="240" w:lineRule="auto"/>
              <w:jc w:val="center"/>
              <w:rPr>
                <w:rFonts w:ascii="Times New Roman" w:eastAsia="Times New Roman" w:hAnsi="Times New Roman" w:cs="Times New Roman"/>
                <w:kern w:val="0"/>
                <w:lang w:eastAsia="ro-MD"/>
                <w14:ligatures w14:val="none"/>
              </w:rPr>
            </w:pP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87B5A1" w14:textId="77777777" w:rsidR="007A0369" w:rsidRPr="008844AC" w:rsidRDefault="007A0369" w:rsidP="007A0369">
            <w:pPr>
              <w:spacing w:after="0" w:line="240" w:lineRule="auto"/>
              <w:jc w:val="center"/>
              <w:rPr>
                <w:rFonts w:ascii="Times New Roman" w:eastAsia="Times New Roman" w:hAnsi="Times New Roman" w:cs="Times New Roman"/>
                <w:kern w:val="0"/>
                <w:lang w:eastAsia="ro-MD"/>
                <w14:ligatures w14:val="none"/>
              </w:rPr>
            </w:pP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4F9E2E" w14:textId="77777777" w:rsidR="007A0369" w:rsidRPr="008844AC" w:rsidRDefault="007A0369" w:rsidP="007A0369">
            <w:pPr>
              <w:spacing w:after="0" w:line="240" w:lineRule="auto"/>
              <w:jc w:val="center"/>
              <w:rPr>
                <w:rFonts w:ascii="Times New Roman" w:eastAsia="Times New Roman" w:hAnsi="Times New Roman" w:cs="Times New Roman"/>
                <w:kern w:val="0"/>
                <w:lang w:eastAsia="ro-MD"/>
                <w14:ligatures w14:val="none"/>
              </w:rPr>
            </w:pP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74297E" w14:textId="77777777" w:rsidR="007A0369" w:rsidRPr="008844AC" w:rsidRDefault="007A0369" w:rsidP="007A0369">
            <w:pPr>
              <w:spacing w:after="0" w:line="240" w:lineRule="auto"/>
              <w:jc w:val="center"/>
              <w:rPr>
                <w:rFonts w:ascii="Times New Roman" w:eastAsia="Times New Roman" w:hAnsi="Times New Roman" w:cs="Times New Roman"/>
                <w:kern w:val="0"/>
                <w:lang w:eastAsia="ro-MD"/>
                <w14:ligatures w14:val="none"/>
              </w:rPr>
            </w:pP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68BE5C" w14:textId="77777777" w:rsidR="007A0369" w:rsidRPr="008844AC" w:rsidRDefault="007A0369" w:rsidP="007A0369">
            <w:pPr>
              <w:spacing w:after="0" w:line="240" w:lineRule="auto"/>
              <w:jc w:val="center"/>
              <w:rPr>
                <w:rFonts w:ascii="Times New Roman" w:eastAsia="Times New Roman" w:hAnsi="Times New Roman" w:cs="Times New Roman"/>
                <w:kern w:val="0"/>
                <w:lang w:eastAsia="ro-MD"/>
                <w14:ligatures w14:val="none"/>
              </w:rPr>
            </w:pPr>
          </w:p>
        </w:tc>
      </w:tr>
      <w:tr w:rsidR="007A0369" w:rsidRPr="008844AC" w14:paraId="71F3CA0E" w14:textId="77777777" w:rsidTr="00061B39">
        <w:tc>
          <w:tcPr>
            <w:tcW w:w="5000" w:type="pct"/>
            <w:gridSpan w:val="9"/>
            <w:tcBorders>
              <w:top w:val="single" w:sz="6" w:space="0" w:color="000000"/>
              <w:left w:val="single" w:sz="6" w:space="0" w:color="000000"/>
              <w:bottom w:val="single" w:sz="6" w:space="0" w:color="000000"/>
              <w:right w:val="single" w:sz="6" w:space="0" w:color="000000"/>
            </w:tcBorders>
          </w:tcPr>
          <w:p w14:paraId="4955558A" w14:textId="77777777" w:rsidR="007A0369" w:rsidRPr="008844AC" w:rsidRDefault="007A0369" w:rsidP="007A036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  </w:t>
            </w:r>
          </w:p>
          <w:p w14:paraId="69BF7B8D" w14:textId="77777777" w:rsidR="007A0369" w:rsidRPr="008844AC" w:rsidRDefault="007A0369" w:rsidP="007A0369">
            <w:pPr>
              <w:spacing w:after="0" w:line="240" w:lineRule="auto"/>
              <w:ind w:firstLine="567"/>
              <w:jc w:val="both"/>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ELEMENTE MEMORANDUM</w:t>
            </w:r>
          </w:p>
        </w:tc>
      </w:tr>
      <w:tr w:rsidR="00217644" w:rsidRPr="008844AC" w14:paraId="55C8256D"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B6243" w14:textId="3846C248" w:rsidR="00217644" w:rsidRPr="008844AC" w:rsidRDefault="00895E30" w:rsidP="00217644">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217644" w:rsidRPr="008844AC">
              <w:rPr>
                <w:rFonts w:ascii="Times New Roman" w:eastAsia="Times New Roman" w:hAnsi="Times New Roman" w:cs="Times New Roman"/>
                <w:kern w:val="0"/>
                <w:lang w:eastAsia="ro-MD"/>
                <w14:ligatures w14:val="none"/>
              </w:rPr>
              <w:t>290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582D3" w14:textId="77777777" w:rsidR="00217644" w:rsidRPr="008844AC" w:rsidRDefault="00217644" w:rsidP="00217644">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Expuneri garantate cu ipoteci asupra bunurilor imobile comerciale</w:t>
            </w:r>
          </w:p>
        </w:tc>
        <w:tc>
          <w:tcPr>
            <w:tcW w:w="340" w:type="pct"/>
            <w:tcBorders>
              <w:top w:val="single" w:sz="6" w:space="0" w:color="000000"/>
              <w:left w:val="single" w:sz="6" w:space="0" w:color="000000"/>
              <w:bottom w:val="single" w:sz="6" w:space="0" w:color="000000"/>
              <w:right w:val="single" w:sz="6" w:space="0" w:color="000000"/>
            </w:tcBorders>
          </w:tcPr>
          <w:p w14:paraId="5848B45D" w14:textId="51C9382D"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783C3A36" w14:textId="66061F65"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20F12" w14:textId="5D81A946"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8FD48" w14:textId="2716BD55"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98187" w14:textId="3A7D85A6"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B1819" w14:textId="643B3AF3"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83AE5"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73049765"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0B650" w14:textId="4566364D" w:rsidR="00217644" w:rsidRPr="008844AC" w:rsidRDefault="00895E30" w:rsidP="00217644">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217644" w:rsidRPr="008844AC">
              <w:rPr>
                <w:rFonts w:ascii="Times New Roman" w:eastAsia="Times New Roman" w:hAnsi="Times New Roman" w:cs="Times New Roman"/>
                <w:kern w:val="0"/>
                <w:lang w:eastAsia="ro-MD"/>
                <w14:ligatures w14:val="none"/>
              </w:rPr>
              <w:t>300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F149A" w14:textId="77777777" w:rsidR="00217644" w:rsidRPr="008844AC" w:rsidRDefault="00217644" w:rsidP="00217644">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Expuneri în stare de nerambursare supuse unei ponderi de risc de 100%</w:t>
            </w:r>
          </w:p>
        </w:tc>
        <w:tc>
          <w:tcPr>
            <w:tcW w:w="340" w:type="pct"/>
            <w:tcBorders>
              <w:top w:val="single" w:sz="6" w:space="0" w:color="000000"/>
              <w:left w:val="single" w:sz="6" w:space="0" w:color="000000"/>
              <w:bottom w:val="single" w:sz="6" w:space="0" w:color="000000"/>
              <w:right w:val="single" w:sz="6" w:space="0" w:color="000000"/>
            </w:tcBorders>
          </w:tcPr>
          <w:p w14:paraId="1175FD0A" w14:textId="7E840D04"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767918BC" w14:textId="78591CB1"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6D5AA" w14:textId="005C438D"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FADDA" w14:textId="5D8C7250"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D6EE5" w14:textId="574E4E39"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413D9" w14:textId="2E62CC6D"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A1856"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2A282E8A"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0FD26" w14:textId="76ED73C3" w:rsidR="00217644" w:rsidRPr="008844AC" w:rsidRDefault="00895E30" w:rsidP="00217644">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217644" w:rsidRPr="008844AC">
              <w:rPr>
                <w:rFonts w:ascii="Times New Roman" w:eastAsia="Times New Roman" w:hAnsi="Times New Roman" w:cs="Times New Roman"/>
                <w:kern w:val="0"/>
                <w:lang w:eastAsia="ro-MD"/>
                <w14:ligatures w14:val="none"/>
              </w:rPr>
              <w:t>310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C4D3A" w14:textId="77777777" w:rsidR="00217644" w:rsidRPr="008844AC" w:rsidRDefault="00217644" w:rsidP="00217644">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Expuneri garantate cu ipoteci asupra bunurilor imobile locative</w:t>
            </w:r>
          </w:p>
        </w:tc>
        <w:tc>
          <w:tcPr>
            <w:tcW w:w="340" w:type="pct"/>
            <w:tcBorders>
              <w:top w:val="single" w:sz="6" w:space="0" w:color="000000"/>
              <w:left w:val="single" w:sz="6" w:space="0" w:color="000000"/>
              <w:bottom w:val="single" w:sz="6" w:space="0" w:color="000000"/>
              <w:right w:val="single" w:sz="6" w:space="0" w:color="000000"/>
            </w:tcBorders>
          </w:tcPr>
          <w:p w14:paraId="61DBB3A3" w14:textId="599ADC76"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448760F0" w14:textId="53B3AFEC"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EA02C" w14:textId="1426C5F1"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36851" w14:textId="27C2B771"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5A4F9" w14:textId="5EE77EF4"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6AB1E" w14:textId="40152AAA"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F5C64"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217644" w:rsidRPr="008844AC" w14:paraId="0B0E248E"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E1F2D" w14:textId="6D3E79DA" w:rsidR="00217644" w:rsidRPr="008844AC" w:rsidRDefault="00895E30" w:rsidP="00217644">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lastRenderedPageBreak/>
              <w:t>0</w:t>
            </w:r>
            <w:r w:rsidR="00217644" w:rsidRPr="008844AC">
              <w:rPr>
                <w:rFonts w:ascii="Times New Roman" w:eastAsia="Times New Roman" w:hAnsi="Times New Roman" w:cs="Times New Roman"/>
                <w:kern w:val="0"/>
                <w:lang w:eastAsia="ro-MD"/>
                <w14:ligatures w14:val="none"/>
              </w:rPr>
              <w:t>320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EE049" w14:textId="77777777" w:rsidR="00217644" w:rsidRPr="008844AC" w:rsidRDefault="00217644" w:rsidP="00217644">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Expuneri în stare de nerambursare supuse unei ponderi de risc de 150%</w:t>
            </w:r>
          </w:p>
        </w:tc>
        <w:tc>
          <w:tcPr>
            <w:tcW w:w="340" w:type="pct"/>
            <w:tcBorders>
              <w:top w:val="single" w:sz="6" w:space="0" w:color="000000"/>
              <w:left w:val="single" w:sz="6" w:space="0" w:color="000000"/>
              <w:bottom w:val="single" w:sz="6" w:space="0" w:color="000000"/>
              <w:right w:val="single" w:sz="6" w:space="0" w:color="000000"/>
            </w:tcBorders>
          </w:tcPr>
          <w:p w14:paraId="49FF0951" w14:textId="700F8E5A"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58153620" w14:textId="4C84F067"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A5CCA" w14:textId="70145289"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69231" w14:textId="1C450D86"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32F5A" w14:textId="34D1BDD0"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C6976" w14:textId="583C4982" w:rsidR="0021764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69E91" w14:textId="77777777" w:rsidR="00217644" w:rsidRPr="008844AC" w:rsidRDefault="00217644" w:rsidP="00217644">
            <w:pPr>
              <w:spacing w:after="0" w:line="240" w:lineRule="auto"/>
              <w:jc w:val="center"/>
              <w:rPr>
                <w:rFonts w:ascii="Times New Roman" w:eastAsia="Times New Roman" w:hAnsi="Times New Roman" w:cs="Times New Roman"/>
                <w:kern w:val="0"/>
                <w:lang w:eastAsia="ro-MD"/>
                <w14:ligatures w14:val="none"/>
              </w:rPr>
            </w:pPr>
          </w:p>
        </w:tc>
      </w:tr>
      <w:tr w:rsidR="008373B4" w:rsidRPr="008844AC" w14:paraId="3245C0CD" w14:textId="77777777" w:rsidTr="00061B39">
        <w:tc>
          <w:tcPr>
            <w:tcW w:w="3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C9D8D8" w14:textId="49445717" w:rsidR="008373B4" w:rsidRDefault="008373B4" w:rsidP="00217644">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0330</w:t>
            </w:r>
          </w:p>
        </w:tc>
        <w:tc>
          <w:tcPr>
            <w:tcW w:w="116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90B7F3" w14:textId="5DCDD968" w:rsidR="008373B4" w:rsidRPr="008844AC" w:rsidRDefault="008373B4" w:rsidP="00217644">
            <w:pPr>
              <w:spacing w:after="0" w:line="240" w:lineRule="auto"/>
              <w:rPr>
                <w:rFonts w:ascii="Times New Roman" w:eastAsia="Times New Roman" w:hAnsi="Times New Roman" w:cs="Times New Roman"/>
                <w:kern w:val="0"/>
                <w:lang w:eastAsia="ro-MD"/>
                <w14:ligatures w14:val="none"/>
              </w:rPr>
            </w:pPr>
            <w:r w:rsidRPr="008373B4">
              <w:rPr>
                <w:rFonts w:ascii="Times New Roman" w:eastAsia="Times New Roman" w:hAnsi="Times New Roman" w:cs="Times New Roman"/>
                <w:kern w:val="0"/>
                <w:lang w:eastAsia="ro-MD"/>
                <w14:ligatures w14:val="none"/>
              </w:rPr>
              <w:t>Achiziții, dezvoltare și construcții (ADC)</w:t>
            </w:r>
          </w:p>
        </w:tc>
        <w:tc>
          <w:tcPr>
            <w:tcW w:w="340" w:type="pct"/>
            <w:tcBorders>
              <w:top w:val="single" w:sz="6" w:space="0" w:color="000000"/>
              <w:left w:val="single" w:sz="6" w:space="0" w:color="000000"/>
              <w:bottom w:val="single" w:sz="6" w:space="0" w:color="000000"/>
              <w:right w:val="single" w:sz="6" w:space="0" w:color="000000"/>
            </w:tcBorders>
          </w:tcPr>
          <w:p w14:paraId="6EEDCB2D" w14:textId="06BCE0C7" w:rsidR="008373B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309" w:type="pct"/>
            <w:tcBorders>
              <w:top w:val="single" w:sz="6" w:space="0" w:color="000000"/>
              <w:left w:val="single" w:sz="6" w:space="0" w:color="000000"/>
              <w:bottom w:val="single" w:sz="6" w:space="0" w:color="000000"/>
              <w:right w:val="single" w:sz="6" w:space="0" w:color="000000"/>
            </w:tcBorders>
          </w:tcPr>
          <w:p w14:paraId="33987EC0" w14:textId="245FCFBE" w:rsidR="008373B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4359E6" w14:textId="52EB74B0" w:rsidR="008373B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DCB7B4" w14:textId="46232FCF" w:rsidR="008373B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8044A4" w14:textId="1B70A407" w:rsidR="008373B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64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D60FA9" w14:textId="0DD12A4C" w:rsidR="008373B4" w:rsidRPr="008844AC" w:rsidRDefault="000006E9" w:rsidP="00217644">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9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239632" w14:textId="77777777" w:rsidR="008373B4" w:rsidRPr="008844AC" w:rsidRDefault="008373B4" w:rsidP="00217644">
            <w:pPr>
              <w:spacing w:after="0" w:line="240" w:lineRule="auto"/>
              <w:jc w:val="center"/>
              <w:rPr>
                <w:rFonts w:ascii="Times New Roman" w:eastAsia="Times New Roman" w:hAnsi="Times New Roman" w:cs="Times New Roman"/>
                <w:kern w:val="0"/>
                <w:lang w:eastAsia="ro-MD"/>
                <w14:ligatures w14:val="none"/>
              </w:rPr>
            </w:pPr>
          </w:p>
        </w:tc>
      </w:tr>
    </w:tbl>
    <w:p w14:paraId="2E70A353" w14:textId="77777777" w:rsidR="00B968BF" w:rsidRDefault="00B968BF"/>
    <w:p w14:paraId="305981CD" w14:textId="77777777" w:rsidR="00246996" w:rsidRDefault="00246996" w:rsidP="008844AC">
      <w:pPr>
        <w:spacing w:after="0" w:line="240" w:lineRule="auto"/>
        <w:ind w:firstLine="567"/>
        <w:jc w:val="both"/>
        <w:rPr>
          <w:rFonts w:ascii="Arial" w:eastAsia="Times New Roman" w:hAnsi="Arial" w:cs="Arial"/>
          <w:kern w:val="0"/>
          <w:sz w:val="24"/>
          <w:szCs w:val="24"/>
          <w:lang w:eastAsia="ro-MD"/>
          <w14:ligatures w14:val="none"/>
        </w:rPr>
      </w:pPr>
    </w:p>
    <w:p w14:paraId="397E345C" w14:textId="77777777" w:rsidR="00246996" w:rsidRPr="008844AC" w:rsidRDefault="00246996" w:rsidP="008844AC">
      <w:pPr>
        <w:spacing w:after="0" w:line="240" w:lineRule="auto"/>
        <w:ind w:firstLine="567"/>
        <w:jc w:val="both"/>
        <w:rPr>
          <w:rFonts w:ascii="Arial" w:eastAsia="Times New Roman" w:hAnsi="Arial" w:cs="Arial"/>
          <w:kern w:val="0"/>
          <w:sz w:val="24"/>
          <w:szCs w:val="24"/>
          <w:lang w:eastAsia="ro-MD"/>
          <w14:ligatures w14:val="none"/>
        </w:rPr>
      </w:pPr>
    </w:p>
    <w:tbl>
      <w:tblPr>
        <w:tblpPr w:leftFromText="181" w:rightFromText="181" w:vertAnchor="text" w:tblpY="1"/>
        <w:tblOverlap w:val="never"/>
        <w:tblW w:w="5000" w:type="pct"/>
        <w:tblLayout w:type="fixed"/>
        <w:tblCellMar>
          <w:top w:w="15" w:type="dxa"/>
          <w:left w:w="15" w:type="dxa"/>
          <w:bottom w:w="15" w:type="dxa"/>
          <w:right w:w="15" w:type="dxa"/>
        </w:tblCellMar>
        <w:tblLook w:val="04A0" w:firstRow="1" w:lastRow="0" w:firstColumn="1" w:lastColumn="0" w:noHBand="0" w:noVBand="1"/>
      </w:tblPr>
      <w:tblGrid>
        <w:gridCol w:w="624"/>
        <w:gridCol w:w="1753"/>
        <w:gridCol w:w="647"/>
        <w:gridCol w:w="554"/>
        <w:gridCol w:w="606"/>
        <w:gridCol w:w="478"/>
        <w:gridCol w:w="490"/>
        <w:gridCol w:w="510"/>
        <w:gridCol w:w="1045"/>
        <w:gridCol w:w="868"/>
        <w:gridCol w:w="497"/>
        <w:gridCol w:w="1266"/>
      </w:tblGrid>
      <w:tr w:rsidR="001C34F4" w:rsidRPr="008844AC" w14:paraId="1C133362" w14:textId="60309DEC" w:rsidTr="00246996">
        <w:tc>
          <w:tcPr>
            <w:tcW w:w="624"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5517F75D" w14:textId="77777777" w:rsidR="001C34F4" w:rsidRPr="008844AC" w:rsidRDefault="001C34F4" w:rsidP="00061B3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 xml:space="preserve">Cod </w:t>
            </w:r>
            <w:proofErr w:type="spellStart"/>
            <w:r w:rsidRPr="008844AC">
              <w:rPr>
                <w:rFonts w:ascii="Times New Roman" w:eastAsia="Times New Roman" w:hAnsi="Times New Roman" w:cs="Times New Roman"/>
                <w:b/>
                <w:bCs/>
                <w:kern w:val="0"/>
                <w:lang w:eastAsia="ro-MD"/>
                <w14:ligatures w14:val="none"/>
              </w:rPr>
              <w:t>poziţie</w:t>
            </w:r>
            <w:proofErr w:type="spellEnd"/>
          </w:p>
        </w:tc>
        <w:tc>
          <w:tcPr>
            <w:tcW w:w="1753"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137999C2" w14:textId="56EA2978" w:rsidR="001C34F4" w:rsidRPr="008844AC" w:rsidRDefault="00B47F18" w:rsidP="00061B3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Clasele de expuneri din SA</w:t>
            </w:r>
          </w:p>
        </w:tc>
        <w:tc>
          <w:tcPr>
            <w:tcW w:w="4330" w:type="dxa"/>
            <w:gridSpan w:val="7"/>
            <w:tcBorders>
              <w:top w:val="single" w:sz="6" w:space="0" w:color="000000"/>
              <w:left w:val="single" w:sz="6" w:space="0" w:color="000000"/>
              <w:bottom w:val="single" w:sz="6" w:space="0" w:color="000000"/>
              <w:right w:val="single" w:sz="6" w:space="0" w:color="000000"/>
            </w:tcBorders>
            <w:shd w:val="clear" w:color="auto" w:fill="F0F0F0"/>
          </w:tcPr>
          <w:p w14:paraId="2C91083D" w14:textId="13757CDB" w:rsidR="001C34F4" w:rsidRPr="008844AC" w:rsidRDefault="001C34F4" w:rsidP="00061B39">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 xml:space="preserve">Defalcarea, pe factori de conversie, a valorii ajustate integral a expunerii aferente elementelor </w:t>
            </w:r>
            <w:proofErr w:type="spellStart"/>
            <w:r w:rsidRPr="008844AC">
              <w:rPr>
                <w:rFonts w:ascii="Times New Roman" w:eastAsia="Times New Roman" w:hAnsi="Times New Roman" w:cs="Times New Roman"/>
                <w:b/>
                <w:bCs/>
                <w:kern w:val="0"/>
                <w:lang w:eastAsia="ro-MD"/>
                <w14:ligatures w14:val="none"/>
              </w:rPr>
              <w:t>extrabilanţiere</w:t>
            </w:r>
            <w:proofErr w:type="spellEnd"/>
          </w:p>
        </w:tc>
        <w:tc>
          <w:tcPr>
            <w:tcW w:w="2631" w:type="dxa"/>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2762E4" w14:textId="1FCACE01" w:rsidR="001C34F4" w:rsidRPr="008844AC" w:rsidRDefault="001C34F4" w:rsidP="00061B39">
            <w:pPr>
              <w:spacing w:after="0" w:line="240" w:lineRule="auto"/>
              <w:jc w:val="center"/>
              <w:rPr>
                <w:rFonts w:ascii="Times New Roman" w:eastAsia="Times New Roman" w:hAnsi="Times New Roman" w:cs="Times New Roman"/>
                <w:b/>
                <w:bCs/>
                <w:kern w:val="0"/>
                <w:lang w:eastAsia="ro-MD"/>
                <w14:ligatures w14:val="none"/>
              </w:rPr>
            </w:pPr>
            <w:r>
              <w:rPr>
                <w:rFonts w:ascii="Times New Roman" w:eastAsia="Times New Roman" w:hAnsi="Times New Roman" w:cs="Times New Roman"/>
                <w:b/>
                <w:bCs/>
                <w:kern w:val="0"/>
                <w:lang w:eastAsia="ro-MD"/>
                <w14:ligatures w14:val="none"/>
              </w:rPr>
              <w:t>Valoarea expunerii</w:t>
            </w:r>
          </w:p>
        </w:tc>
      </w:tr>
      <w:tr w:rsidR="001C34F4" w:rsidRPr="008844AC" w14:paraId="78CA7ED3" w14:textId="36099DD8" w:rsidTr="00246996">
        <w:trPr>
          <w:trHeight w:val="1095"/>
        </w:trPr>
        <w:tc>
          <w:tcPr>
            <w:tcW w:w="624" w:type="dxa"/>
            <w:vMerge/>
            <w:tcBorders>
              <w:left w:val="single" w:sz="6" w:space="0" w:color="000000"/>
              <w:right w:val="single" w:sz="6" w:space="0" w:color="000000"/>
            </w:tcBorders>
            <w:vAlign w:val="center"/>
            <w:hideMark/>
          </w:tcPr>
          <w:p w14:paraId="27A6F0BF" w14:textId="77777777" w:rsidR="001C34F4" w:rsidRPr="008844AC" w:rsidRDefault="001C34F4" w:rsidP="00061B39">
            <w:pPr>
              <w:spacing w:after="0" w:line="240" w:lineRule="auto"/>
              <w:rPr>
                <w:rFonts w:ascii="Times New Roman" w:eastAsia="Times New Roman" w:hAnsi="Times New Roman" w:cs="Times New Roman"/>
                <w:kern w:val="0"/>
                <w:lang w:eastAsia="ro-MD"/>
                <w14:ligatures w14:val="none"/>
              </w:rPr>
            </w:pPr>
          </w:p>
        </w:tc>
        <w:tc>
          <w:tcPr>
            <w:tcW w:w="1753" w:type="dxa"/>
            <w:vMerge/>
            <w:tcBorders>
              <w:left w:val="single" w:sz="6" w:space="0" w:color="000000"/>
              <w:right w:val="single" w:sz="6" w:space="0" w:color="000000"/>
            </w:tcBorders>
            <w:vAlign w:val="center"/>
            <w:hideMark/>
          </w:tcPr>
          <w:p w14:paraId="4A6EA76D" w14:textId="77777777" w:rsidR="001C34F4" w:rsidRPr="008844AC" w:rsidRDefault="001C34F4" w:rsidP="00061B39">
            <w:pPr>
              <w:spacing w:after="0" w:line="240" w:lineRule="auto"/>
              <w:rPr>
                <w:rFonts w:ascii="Times New Roman" w:eastAsia="Times New Roman" w:hAnsi="Times New Roman" w:cs="Times New Roman"/>
                <w:kern w:val="0"/>
                <w:lang w:eastAsia="ro-MD"/>
                <w14:ligatures w14:val="none"/>
              </w:rPr>
            </w:pPr>
          </w:p>
        </w:tc>
        <w:tc>
          <w:tcPr>
            <w:tcW w:w="647"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1219EAD9" w14:textId="77777777" w:rsidR="001C34F4" w:rsidRPr="000274C8" w:rsidRDefault="001C34F4" w:rsidP="00061B39">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0%</w:t>
            </w:r>
          </w:p>
        </w:tc>
        <w:tc>
          <w:tcPr>
            <w:tcW w:w="554" w:type="dxa"/>
            <w:vMerge w:val="restart"/>
            <w:tcBorders>
              <w:top w:val="single" w:sz="6" w:space="0" w:color="000000"/>
              <w:left w:val="single" w:sz="6" w:space="0" w:color="000000"/>
              <w:right w:val="single" w:sz="6" w:space="0" w:color="000000"/>
            </w:tcBorders>
            <w:shd w:val="clear" w:color="auto" w:fill="F0F0F0"/>
          </w:tcPr>
          <w:p w14:paraId="192D7774" w14:textId="305D134C" w:rsidR="001C34F4" w:rsidRPr="000274C8" w:rsidRDefault="001C34F4" w:rsidP="00061B39">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10%</w:t>
            </w:r>
          </w:p>
        </w:tc>
        <w:tc>
          <w:tcPr>
            <w:tcW w:w="606"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0753500A" w14:textId="58499030" w:rsidR="001C34F4" w:rsidRPr="000274C8" w:rsidRDefault="001C34F4" w:rsidP="00061B39">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20%</w:t>
            </w:r>
          </w:p>
        </w:tc>
        <w:tc>
          <w:tcPr>
            <w:tcW w:w="478" w:type="dxa"/>
            <w:vMerge w:val="restart"/>
            <w:tcBorders>
              <w:top w:val="single" w:sz="6" w:space="0" w:color="000000"/>
              <w:left w:val="single" w:sz="6" w:space="0" w:color="000000"/>
              <w:right w:val="single" w:sz="6" w:space="0" w:color="000000"/>
            </w:tcBorders>
            <w:shd w:val="clear" w:color="auto" w:fill="F0F0F0"/>
          </w:tcPr>
          <w:p w14:paraId="093D65E9" w14:textId="7C4B8B51" w:rsidR="001C34F4" w:rsidRPr="000274C8" w:rsidRDefault="001C34F4" w:rsidP="00061B39">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40%</w:t>
            </w:r>
          </w:p>
        </w:tc>
        <w:tc>
          <w:tcPr>
            <w:tcW w:w="490"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223254DE" w14:textId="03A26D07" w:rsidR="001C34F4" w:rsidRPr="000274C8" w:rsidRDefault="001C34F4" w:rsidP="00061B39">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50%</w:t>
            </w:r>
          </w:p>
        </w:tc>
        <w:tc>
          <w:tcPr>
            <w:tcW w:w="510"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hideMark/>
          </w:tcPr>
          <w:p w14:paraId="7FEE9C31" w14:textId="77777777" w:rsidR="001C34F4" w:rsidRPr="000274C8" w:rsidRDefault="001C34F4" w:rsidP="00061B39">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100%</w:t>
            </w:r>
          </w:p>
        </w:tc>
        <w:tc>
          <w:tcPr>
            <w:tcW w:w="1045" w:type="dxa"/>
            <w:vMerge w:val="restart"/>
            <w:tcBorders>
              <w:top w:val="single" w:sz="6" w:space="0" w:color="000000"/>
              <w:left w:val="single" w:sz="6" w:space="0" w:color="000000"/>
              <w:right w:val="single" w:sz="6" w:space="0" w:color="000000"/>
            </w:tcBorders>
            <w:shd w:val="clear" w:color="auto" w:fill="F2F2F2" w:themeFill="background1" w:themeFillShade="F2"/>
          </w:tcPr>
          <w:p w14:paraId="3B9CE12B" w14:textId="58A9FD76" w:rsidR="001C34F4" w:rsidRPr="000274C8" w:rsidRDefault="001C34F4" w:rsidP="00061B39">
            <w:pPr>
              <w:spacing w:after="0" w:line="240" w:lineRule="auto"/>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Măsuri tranzitorii pentru angajamentele care pot fi revocate necondiționat</w:t>
            </w:r>
          </w:p>
        </w:tc>
        <w:tc>
          <w:tcPr>
            <w:tcW w:w="868" w:type="dxa"/>
            <w:vMerge w:val="restart"/>
            <w:tcBorders>
              <w:top w:val="single" w:sz="6" w:space="0" w:color="000000"/>
              <w:left w:val="single" w:sz="6" w:space="0" w:color="000000"/>
              <w:right w:val="single" w:sz="6" w:space="0" w:color="000000"/>
            </w:tcBorders>
            <w:shd w:val="clear" w:color="auto" w:fill="F2F2F2" w:themeFill="background1" w:themeFillShade="F2"/>
            <w:vAlign w:val="center"/>
            <w:hideMark/>
          </w:tcPr>
          <w:p w14:paraId="7FEAF1F1" w14:textId="424DC3EC" w:rsidR="001C34F4" w:rsidRPr="000274C8" w:rsidRDefault="001C34F4" w:rsidP="00061B39">
            <w:pPr>
              <w:spacing w:after="0" w:line="240" w:lineRule="auto"/>
              <w:rPr>
                <w:rFonts w:ascii="Times New Roman" w:eastAsia="Times New Roman" w:hAnsi="Times New Roman" w:cs="Times New Roman"/>
                <w:b/>
                <w:bCs/>
                <w:kern w:val="0"/>
                <w:lang w:eastAsia="ro-MD"/>
                <w14:ligatures w14:val="none"/>
              </w:rPr>
            </w:pPr>
          </w:p>
        </w:tc>
        <w:tc>
          <w:tcPr>
            <w:tcW w:w="1763"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hideMark/>
          </w:tcPr>
          <w:p w14:paraId="29F93938" w14:textId="3299ADFA" w:rsidR="001C34F4" w:rsidRPr="000274C8" w:rsidRDefault="001C34F4" w:rsidP="00061B39">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 xml:space="preserve">din care: decurgând din riscul de credit al </w:t>
            </w:r>
            <w:proofErr w:type="spellStart"/>
            <w:r w:rsidRPr="000274C8">
              <w:rPr>
                <w:rFonts w:ascii="Times New Roman" w:eastAsia="Times New Roman" w:hAnsi="Times New Roman" w:cs="Times New Roman"/>
                <w:b/>
                <w:bCs/>
                <w:kern w:val="0"/>
                <w:lang w:eastAsia="ro-MD"/>
                <w14:ligatures w14:val="none"/>
              </w:rPr>
              <w:t>contrapărţii</w:t>
            </w:r>
            <w:proofErr w:type="spellEnd"/>
          </w:p>
        </w:tc>
      </w:tr>
      <w:tr w:rsidR="001C34F4" w:rsidRPr="008844AC" w14:paraId="0DE0951D" w14:textId="77777777" w:rsidTr="00246996">
        <w:trPr>
          <w:trHeight w:val="1421"/>
        </w:trPr>
        <w:tc>
          <w:tcPr>
            <w:tcW w:w="624" w:type="dxa"/>
            <w:vMerge/>
            <w:tcBorders>
              <w:left w:val="single" w:sz="6" w:space="0" w:color="000000"/>
              <w:bottom w:val="single" w:sz="6" w:space="0" w:color="000000"/>
              <w:right w:val="single" w:sz="6" w:space="0" w:color="000000"/>
            </w:tcBorders>
            <w:vAlign w:val="center"/>
          </w:tcPr>
          <w:p w14:paraId="1D04E212" w14:textId="77777777" w:rsidR="001C34F4" w:rsidRPr="008844AC" w:rsidRDefault="001C34F4" w:rsidP="00061B39">
            <w:pPr>
              <w:spacing w:after="0" w:line="240" w:lineRule="auto"/>
              <w:rPr>
                <w:rFonts w:ascii="Times New Roman" w:eastAsia="Times New Roman" w:hAnsi="Times New Roman" w:cs="Times New Roman"/>
                <w:kern w:val="0"/>
                <w:lang w:eastAsia="ro-MD"/>
                <w14:ligatures w14:val="none"/>
              </w:rPr>
            </w:pPr>
          </w:p>
        </w:tc>
        <w:tc>
          <w:tcPr>
            <w:tcW w:w="1753" w:type="dxa"/>
            <w:vMerge/>
            <w:tcBorders>
              <w:left w:val="single" w:sz="6" w:space="0" w:color="000000"/>
              <w:bottom w:val="single" w:sz="6" w:space="0" w:color="000000"/>
              <w:right w:val="single" w:sz="6" w:space="0" w:color="000000"/>
            </w:tcBorders>
            <w:vAlign w:val="center"/>
          </w:tcPr>
          <w:p w14:paraId="5F618004" w14:textId="77777777" w:rsidR="001C34F4" w:rsidRPr="008844AC" w:rsidRDefault="001C34F4" w:rsidP="00061B39">
            <w:pPr>
              <w:spacing w:after="0" w:line="240" w:lineRule="auto"/>
              <w:rPr>
                <w:rFonts w:ascii="Times New Roman" w:eastAsia="Times New Roman" w:hAnsi="Times New Roman" w:cs="Times New Roman"/>
                <w:kern w:val="0"/>
                <w:lang w:eastAsia="ro-MD"/>
                <w14:ligatures w14:val="none"/>
              </w:rPr>
            </w:pPr>
          </w:p>
        </w:tc>
        <w:tc>
          <w:tcPr>
            <w:tcW w:w="647"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3A790221" w14:textId="77777777" w:rsidR="001C34F4" w:rsidRPr="000274C8" w:rsidRDefault="001C34F4" w:rsidP="00061B39">
            <w:pPr>
              <w:spacing w:after="0" w:line="240" w:lineRule="auto"/>
              <w:jc w:val="center"/>
              <w:rPr>
                <w:rFonts w:ascii="Times New Roman" w:eastAsia="Times New Roman" w:hAnsi="Times New Roman" w:cs="Times New Roman"/>
                <w:b/>
                <w:bCs/>
                <w:kern w:val="0"/>
                <w:lang w:eastAsia="ro-MD"/>
                <w14:ligatures w14:val="none"/>
              </w:rPr>
            </w:pPr>
          </w:p>
        </w:tc>
        <w:tc>
          <w:tcPr>
            <w:tcW w:w="554" w:type="dxa"/>
            <w:vMerge/>
            <w:tcBorders>
              <w:left w:val="single" w:sz="6" w:space="0" w:color="000000"/>
              <w:bottom w:val="single" w:sz="6" w:space="0" w:color="000000"/>
              <w:right w:val="single" w:sz="6" w:space="0" w:color="000000"/>
            </w:tcBorders>
            <w:shd w:val="clear" w:color="auto" w:fill="F0F0F0"/>
          </w:tcPr>
          <w:p w14:paraId="4F537C50" w14:textId="77777777" w:rsidR="001C34F4" w:rsidRPr="000274C8" w:rsidRDefault="001C34F4" w:rsidP="00061B39">
            <w:pPr>
              <w:spacing w:after="0" w:line="240" w:lineRule="auto"/>
              <w:jc w:val="center"/>
              <w:rPr>
                <w:rFonts w:ascii="Times New Roman" w:eastAsia="Times New Roman" w:hAnsi="Times New Roman" w:cs="Times New Roman"/>
                <w:b/>
                <w:bCs/>
                <w:kern w:val="0"/>
                <w:lang w:eastAsia="ro-MD"/>
                <w14:ligatures w14:val="none"/>
              </w:rPr>
            </w:pPr>
          </w:p>
        </w:tc>
        <w:tc>
          <w:tcPr>
            <w:tcW w:w="606"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50D4D81C" w14:textId="77777777" w:rsidR="001C34F4" w:rsidRPr="000274C8" w:rsidRDefault="001C34F4" w:rsidP="00061B39">
            <w:pPr>
              <w:spacing w:after="0" w:line="240" w:lineRule="auto"/>
              <w:jc w:val="center"/>
              <w:rPr>
                <w:rFonts w:ascii="Times New Roman" w:eastAsia="Times New Roman" w:hAnsi="Times New Roman" w:cs="Times New Roman"/>
                <w:b/>
                <w:bCs/>
                <w:kern w:val="0"/>
                <w:lang w:eastAsia="ro-MD"/>
                <w14:ligatures w14:val="none"/>
              </w:rPr>
            </w:pPr>
          </w:p>
        </w:tc>
        <w:tc>
          <w:tcPr>
            <w:tcW w:w="478" w:type="dxa"/>
            <w:vMerge/>
            <w:tcBorders>
              <w:left w:val="single" w:sz="6" w:space="0" w:color="000000"/>
              <w:bottom w:val="single" w:sz="6" w:space="0" w:color="000000"/>
              <w:right w:val="single" w:sz="6" w:space="0" w:color="000000"/>
            </w:tcBorders>
            <w:shd w:val="clear" w:color="auto" w:fill="F0F0F0"/>
          </w:tcPr>
          <w:p w14:paraId="10739C37" w14:textId="77777777" w:rsidR="001C34F4" w:rsidRPr="000274C8" w:rsidRDefault="001C34F4" w:rsidP="00061B39">
            <w:pPr>
              <w:spacing w:after="0" w:line="240" w:lineRule="auto"/>
              <w:jc w:val="center"/>
              <w:rPr>
                <w:rFonts w:ascii="Times New Roman" w:eastAsia="Times New Roman" w:hAnsi="Times New Roman" w:cs="Times New Roman"/>
                <w:b/>
                <w:bCs/>
                <w:kern w:val="0"/>
                <w:lang w:eastAsia="ro-MD"/>
                <w14:ligatures w14:val="none"/>
              </w:rPr>
            </w:pPr>
          </w:p>
        </w:tc>
        <w:tc>
          <w:tcPr>
            <w:tcW w:w="490"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3E3CAEFD" w14:textId="77777777" w:rsidR="001C34F4" w:rsidRPr="000274C8" w:rsidRDefault="001C34F4" w:rsidP="00061B39">
            <w:pPr>
              <w:spacing w:after="0" w:line="240" w:lineRule="auto"/>
              <w:jc w:val="center"/>
              <w:rPr>
                <w:rFonts w:ascii="Times New Roman" w:eastAsia="Times New Roman" w:hAnsi="Times New Roman" w:cs="Times New Roman"/>
                <w:b/>
                <w:bCs/>
                <w:kern w:val="0"/>
                <w:lang w:eastAsia="ro-MD"/>
                <w14:ligatures w14:val="none"/>
              </w:rPr>
            </w:pPr>
          </w:p>
        </w:tc>
        <w:tc>
          <w:tcPr>
            <w:tcW w:w="510"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391204EA" w14:textId="77777777" w:rsidR="001C34F4" w:rsidRPr="000274C8" w:rsidRDefault="001C34F4" w:rsidP="00061B39">
            <w:pPr>
              <w:spacing w:after="0" w:line="240" w:lineRule="auto"/>
              <w:jc w:val="center"/>
              <w:rPr>
                <w:rFonts w:ascii="Times New Roman" w:eastAsia="Times New Roman" w:hAnsi="Times New Roman" w:cs="Times New Roman"/>
                <w:b/>
                <w:bCs/>
                <w:kern w:val="0"/>
                <w:lang w:eastAsia="ro-MD"/>
                <w14:ligatures w14:val="none"/>
              </w:rPr>
            </w:pPr>
          </w:p>
        </w:tc>
        <w:tc>
          <w:tcPr>
            <w:tcW w:w="1045" w:type="dxa"/>
            <w:vMerge/>
            <w:tcBorders>
              <w:left w:val="single" w:sz="6" w:space="0" w:color="000000"/>
              <w:bottom w:val="single" w:sz="6" w:space="0" w:color="000000"/>
              <w:right w:val="single" w:sz="6" w:space="0" w:color="000000"/>
            </w:tcBorders>
            <w:shd w:val="clear" w:color="auto" w:fill="F2F2F2" w:themeFill="background1" w:themeFillShade="F2"/>
          </w:tcPr>
          <w:p w14:paraId="03535928" w14:textId="77777777" w:rsidR="001C34F4" w:rsidRPr="000274C8" w:rsidRDefault="001C34F4" w:rsidP="00061B39">
            <w:pPr>
              <w:spacing w:after="0" w:line="240" w:lineRule="auto"/>
              <w:rPr>
                <w:rFonts w:ascii="Times New Roman" w:eastAsia="Times New Roman" w:hAnsi="Times New Roman" w:cs="Times New Roman"/>
                <w:b/>
                <w:bCs/>
                <w:kern w:val="0"/>
                <w:lang w:eastAsia="ro-MD"/>
                <w14:ligatures w14:val="none"/>
              </w:rPr>
            </w:pPr>
          </w:p>
        </w:tc>
        <w:tc>
          <w:tcPr>
            <w:tcW w:w="868" w:type="dxa"/>
            <w:vMerge/>
            <w:tcBorders>
              <w:left w:val="single" w:sz="6" w:space="0" w:color="000000"/>
              <w:bottom w:val="single" w:sz="6" w:space="0" w:color="000000"/>
              <w:right w:val="single" w:sz="6" w:space="0" w:color="000000"/>
            </w:tcBorders>
            <w:shd w:val="clear" w:color="auto" w:fill="F2F2F2" w:themeFill="background1" w:themeFillShade="F2"/>
            <w:vAlign w:val="center"/>
          </w:tcPr>
          <w:p w14:paraId="2F900655" w14:textId="77777777" w:rsidR="001C34F4" w:rsidRPr="000274C8" w:rsidRDefault="001C34F4" w:rsidP="00061B39">
            <w:pPr>
              <w:spacing w:after="0" w:line="240" w:lineRule="auto"/>
              <w:rPr>
                <w:rFonts w:ascii="Times New Roman" w:eastAsia="Times New Roman" w:hAnsi="Times New Roman" w:cs="Times New Roman"/>
                <w:b/>
                <w:bCs/>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24" w:type="dxa"/>
              <w:left w:w="48" w:type="dxa"/>
              <w:bottom w:w="24" w:type="dxa"/>
              <w:right w:w="48" w:type="dxa"/>
            </w:tcMar>
          </w:tcPr>
          <w:p w14:paraId="434FCA91" w14:textId="77777777" w:rsidR="001C34F4" w:rsidRPr="000274C8" w:rsidRDefault="001C34F4" w:rsidP="00061B39">
            <w:pPr>
              <w:spacing w:after="0" w:line="240" w:lineRule="auto"/>
              <w:jc w:val="center"/>
              <w:rPr>
                <w:rFonts w:ascii="Times New Roman" w:eastAsia="Times New Roman" w:hAnsi="Times New Roman" w:cs="Times New Roman"/>
                <w:b/>
                <w:bCs/>
                <w:kern w:val="0"/>
                <w:lang w:eastAsia="ro-MD"/>
                <w14:ligatures w14:val="none"/>
              </w:rPr>
            </w:pPr>
          </w:p>
        </w:tc>
        <w:tc>
          <w:tcPr>
            <w:tcW w:w="1266" w:type="dxa"/>
            <w:tcBorders>
              <w:left w:val="single" w:sz="6" w:space="0" w:color="000000"/>
              <w:bottom w:val="single" w:sz="6" w:space="0" w:color="000000"/>
              <w:right w:val="single" w:sz="6" w:space="0" w:color="000000"/>
            </w:tcBorders>
            <w:shd w:val="clear" w:color="auto" w:fill="F0F0F0"/>
          </w:tcPr>
          <w:p w14:paraId="671AE56E" w14:textId="0150C8AC" w:rsidR="001C34F4" w:rsidRPr="000274C8" w:rsidRDefault="00C51F22" w:rsidP="00061B39">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 xml:space="preserve">din care: decurgând din riscul de credit al </w:t>
            </w:r>
            <w:proofErr w:type="spellStart"/>
            <w:r w:rsidRPr="000274C8">
              <w:rPr>
                <w:rFonts w:ascii="Times New Roman" w:eastAsia="Times New Roman" w:hAnsi="Times New Roman" w:cs="Times New Roman"/>
                <w:b/>
                <w:bCs/>
                <w:kern w:val="0"/>
                <w:lang w:eastAsia="ro-MD"/>
                <w14:ligatures w14:val="none"/>
              </w:rPr>
              <w:t>contrapăr</w:t>
            </w:r>
            <w:r w:rsidR="002D589D" w:rsidRPr="000274C8">
              <w:rPr>
                <w:rFonts w:ascii="Times New Roman" w:eastAsia="Times New Roman" w:hAnsi="Times New Roman" w:cs="Times New Roman"/>
                <w:b/>
                <w:bCs/>
                <w:kern w:val="0"/>
                <w:lang w:eastAsia="ro-MD"/>
                <w14:ligatures w14:val="none"/>
              </w:rPr>
              <w:t>ti</w:t>
            </w:r>
            <w:r w:rsidRPr="000274C8">
              <w:rPr>
                <w:rFonts w:ascii="Times New Roman" w:eastAsia="Times New Roman" w:hAnsi="Times New Roman" w:cs="Times New Roman"/>
                <w:b/>
                <w:bCs/>
                <w:kern w:val="0"/>
                <w:lang w:eastAsia="ro-MD"/>
                <w14:ligatures w14:val="none"/>
              </w:rPr>
              <w:t>i</w:t>
            </w:r>
            <w:proofErr w:type="spellEnd"/>
            <w:r w:rsidRPr="000274C8">
              <w:rPr>
                <w:rFonts w:ascii="Times New Roman" w:eastAsia="Times New Roman" w:hAnsi="Times New Roman" w:cs="Times New Roman"/>
                <w:b/>
                <w:bCs/>
                <w:kern w:val="0"/>
                <w:lang w:eastAsia="ro-MD"/>
                <w14:ligatures w14:val="none"/>
              </w:rPr>
              <w:t>, cu excluderea expunerilor compensate prin</w:t>
            </w:r>
            <w:r w:rsidR="002D589D" w:rsidRPr="000274C8">
              <w:rPr>
                <w:rFonts w:ascii="Times New Roman" w:eastAsia="Times New Roman" w:hAnsi="Times New Roman" w:cs="Times New Roman"/>
                <w:b/>
                <w:bCs/>
                <w:kern w:val="0"/>
                <w:lang w:eastAsia="ro-MD"/>
                <w14:ligatures w14:val="none"/>
              </w:rPr>
              <w:t>tr-o CPC</w:t>
            </w:r>
          </w:p>
        </w:tc>
      </w:tr>
      <w:tr w:rsidR="006D6C65" w:rsidRPr="008844AC" w14:paraId="6616340E" w14:textId="5914D356" w:rsidTr="00246996">
        <w:tc>
          <w:tcPr>
            <w:tcW w:w="62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704A7C" w14:textId="77777777" w:rsidR="001C34F4" w:rsidRPr="008844AC" w:rsidRDefault="001C34F4" w:rsidP="00061B3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x</w:t>
            </w:r>
          </w:p>
        </w:tc>
        <w:tc>
          <w:tcPr>
            <w:tcW w:w="175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E624D3" w14:textId="77777777" w:rsidR="001C34F4" w:rsidRPr="008844AC" w:rsidRDefault="001C34F4" w:rsidP="00061B39">
            <w:pPr>
              <w:spacing w:after="0" w:line="240" w:lineRule="auto"/>
              <w:jc w:val="center"/>
              <w:rPr>
                <w:rFonts w:ascii="Times New Roman" w:eastAsia="Times New Roman" w:hAnsi="Times New Roman" w:cs="Times New Roman"/>
                <w:kern w:val="0"/>
                <w:lang w:eastAsia="ro-MD"/>
                <w14:ligatures w14:val="none"/>
              </w:rPr>
            </w:pPr>
          </w:p>
        </w:tc>
        <w:tc>
          <w:tcPr>
            <w:tcW w:w="64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1FB22E" w14:textId="755E5585" w:rsidR="001C34F4" w:rsidRPr="000274C8" w:rsidRDefault="00895E30" w:rsidP="00061B39">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0</w:t>
            </w:r>
            <w:r w:rsidR="001C34F4" w:rsidRPr="000274C8">
              <w:rPr>
                <w:rFonts w:ascii="Times New Roman" w:eastAsia="Times New Roman" w:hAnsi="Times New Roman" w:cs="Times New Roman"/>
                <w:b/>
                <w:bCs/>
                <w:kern w:val="0"/>
                <w:lang w:eastAsia="ro-MD"/>
                <w14:ligatures w14:val="none"/>
              </w:rPr>
              <w:t>160</w:t>
            </w:r>
          </w:p>
        </w:tc>
        <w:tc>
          <w:tcPr>
            <w:tcW w:w="554" w:type="dxa"/>
            <w:tcBorders>
              <w:top w:val="single" w:sz="6" w:space="0" w:color="000000"/>
              <w:left w:val="single" w:sz="6" w:space="0" w:color="000000"/>
              <w:bottom w:val="single" w:sz="6" w:space="0" w:color="000000"/>
              <w:right w:val="single" w:sz="6" w:space="0" w:color="000000"/>
            </w:tcBorders>
            <w:shd w:val="clear" w:color="auto" w:fill="F0F0F0"/>
          </w:tcPr>
          <w:p w14:paraId="0B392983" w14:textId="028D3A93" w:rsidR="001C34F4" w:rsidRPr="000274C8" w:rsidRDefault="00895E30" w:rsidP="00061B39">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0</w:t>
            </w:r>
            <w:r w:rsidR="001C34F4" w:rsidRPr="000274C8">
              <w:rPr>
                <w:rFonts w:ascii="Times New Roman" w:eastAsia="Times New Roman" w:hAnsi="Times New Roman" w:cs="Times New Roman"/>
                <w:b/>
                <w:bCs/>
                <w:kern w:val="0"/>
                <w:lang w:eastAsia="ro-MD"/>
                <w14:ligatures w14:val="none"/>
              </w:rPr>
              <w:t>165</w:t>
            </w:r>
          </w:p>
        </w:tc>
        <w:tc>
          <w:tcPr>
            <w:tcW w:w="606"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8036E8C" w14:textId="53976DBD" w:rsidR="001C34F4" w:rsidRPr="000274C8" w:rsidRDefault="00895E30" w:rsidP="00061B39">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0</w:t>
            </w:r>
            <w:r w:rsidR="001C34F4" w:rsidRPr="000274C8">
              <w:rPr>
                <w:rFonts w:ascii="Times New Roman" w:eastAsia="Times New Roman" w:hAnsi="Times New Roman" w:cs="Times New Roman"/>
                <w:b/>
                <w:bCs/>
                <w:kern w:val="0"/>
                <w:lang w:eastAsia="ro-MD"/>
                <w14:ligatures w14:val="none"/>
              </w:rPr>
              <w:t>170</w:t>
            </w:r>
          </w:p>
        </w:tc>
        <w:tc>
          <w:tcPr>
            <w:tcW w:w="478" w:type="dxa"/>
            <w:tcBorders>
              <w:top w:val="single" w:sz="6" w:space="0" w:color="000000"/>
              <w:left w:val="single" w:sz="6" w:space="0" w:color="000000"/>
              <w:bottom w:val="single" w:sz="6" w:space="0" w:color="000000"/>
              <w:right w:val="single" w:sz="6" w:space="0" w:color="000000"/>
            </w:tcBorders>
            <w:shd w:val="clear" w:color="auto" w:fill="F0F0F0"/>
          </w:tcPr>
          <w:p w14:paraId="7CC247FE" w14:textId="2D2BDB85" w:rsidR="001C34F4" w:rsidRPr="000274C8" w:rsidRDefault="00895E30" w:rsidP="00061B39">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0</w:t>
            </w:r>
            <w:r w:rsidR="001C34F4" w:rsidRPr="000274C8">
              <w:rPr>
                <w:rFonts w:ascii="Times New Roman" w:eastAsia="Times New Roman" w:hAnsi="Times New Roman" w:cs="Times New Roman"/>
                <w:b/>
                <w:bCs/>
                <w:kern w:val="0"/>
                <w:lang w:eastAsia="ro-MD"/>
                <w14:ligatures w14:val="none"/>
              </w:rPr>
              <w:t>175</w:t>
            </w:r>
          </w:p>
        </w:tc>
        <w:tc>
          <w:tcPr>
            <w:tcW w:w="49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B4B08D" w14:textId="7DFAC222" w:rsidR="001C34F4" w:rsidRPr="000274C8" w:rsidRDefault="00895E30" w:rsidP="00061B39">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0</w:t>
            </w:r>
            <w:r w:rsidR="001C34F4" w:rsidRPr="000274C8">
              <w:rPr>
                <w:rFonts w:ascii="Times New Roman" w:eastAsia="Times New Roman" w:hAnsi="Times New Roman" w:cs="Times New Roman"/>
                <w:b/>
                <w:bCs/>
                <w:kern w:val="0"/>
                <w:lang w:eastAsia="ro-MD"/>
                <w14:ligatures w14:val="none"/>
              </w:rPr>
              <w:t>180</w:t>
            </w:r>
          </w:p>
        </w:tc>
        <w:tc>
          <w:tcPr>
            <w:tcW w:w="51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E5D3D5" w14:textId="04200D52" w:rsidR="001C34F4" w:rsidRPr="000274C8" w:rsidRDefault="00895E30" w:rsidP="00061B39">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0</w:t>
            </w:r>
            <w:r w:rsidR="001C34F4" w:rsidRPr="000274C8">
              <w:rPr>
                <w:rFonts w:ascii="Times New Roman" w:eastAsia="Times New Roman" w:hAnsi="Times New Roman" w:cs="Times New Roman"/>
                <w:b/>
                <w:bCs/>
                <w:kern w:val="0"/>
                <w:lang w:eastAsia="ro-MD"/>
                <w14:ligatures w14:val="none"/>
              </w:rPr>
              <w:t>190</w:t>
            </w:r>
          </w:p>
        </w:tc>
        <w:tc>
          <w:tcPr>
            <w:tcW w:w="1045" w:type="dxa"/>
            <w:tcBorders>
              <w:top w:val="single" w:sz="6" w:space="0" w:color="000000"/>
              <w:left w:val="single" w:sz="6" w:space="0" w:color="000000"/>
              <w:bottom w:val="single" w:sz="6" w:space="0" w:color="000000"/>
              <w:right w:val="single" w:sz="6" w:space="0" w:color="000000"/>
            </w:tcBorders>
            <w:shd w:val="clear" w:color="auto" w:fill="F0F0F0"/>
          </w:tcPr>
          <w:p w14:paraId="4C759515" w14:textId="45113485" w:rsidR="001C34F4" w:rsidRPr="000274C8" w:rsidRDefault="00895E30" w:rsidP="00061B39">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0</w:t>
            </w:r>
            <w:r w:rsidR="001C34F4" w:rsidRPr="000274C8">
              <w:rPr>
                <w:rFonts w:ascii="Times New Roman" w:eastAsia="Times New Roman" w:hAnsi="Times New Roman" w:cs="Times New Roman"/>
                <w:b/>
                <w:bCs/>
                <w:kern w:val="0"/>
                <w:lang w:eastAsia="ro-MD"/>
                <w14:ligatures w14:val="none"/>
              </w:rPr>
              <w:t>195</w:t>
            </w:r>
          </w:p>
        </w:tc>
        <w:tc>
          <w:tcPr>
            <w:tcW w:w="86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7FC7E94" w14:textId="519A5773" w:rsidR="001C34F4" w:rsidRPr="000274C8" w:rsidRDefault="00895E30" w:rsidP="00061B39">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0</w:t>
            </w:r>
            <w:r w:rsidR="001C34F4" w:rsidRPr="000274C8">
              <w:rPr>
                <w:rFonts w:ascii="Times New Roman" w:eastAsia="Times New Roman" w:hAnsi="Times New Roman" w:cs="Times New Roman"/>
                <w:b/>
                <w:bCs/>
                <w:kern w:val="0"/>
                <w:lang w:eastAsia="ro-MD"/>
                <w14:ligatures w14:val="none"/>
              </w:rPr>
              <w:t>200</w:t>
            </w:r>
          </w:p>
        </w:tc>
        <w:tc>
          <w:tcPr>
            <w:tcW w:w="49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90B255" w14:textId="6490662B" w:rsidR="001C34F4" w:rsidRPr="000274C8" w:rsidRDefault="00895E30" w:rsidP="00061B39">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0</w:t>
            </w:r>
            <w:r w:rsidR="001C34F4" w:rsidRPr="000274C8">
              <w:rPr>
                <w:rFonts w:ascii="Times New Roman" w:eastAsia="Times New Roman" w:hAnsi="Times New Roman" w:cs="Times New Roman"/>
                <w:b/>
                <w:bCs/>
                <w:kern w:val="0"/>
                <w:lang w:eastAsia="ro-MD"/>
                <w14:ligatures w14:val="none"/>
              </w:rPr>
              <w:t>210</w:t>
            </w:r>
          </w:p>
        </w:tc>
        <w:tc>
          <w:tcPr>
            <w:tcW w:w="1266" w:type="dxa"/>
            <w:tcBorders>
              <w:top w:val="single" w:sz="6" w:space="0" w:color="000000"/>
              <w:left w:val="single" w:sz="6" w:space="0" w:color="000000"/>
              <w:bottom w:val="single" w:sz="6" w:space="0" w:color="000000"/>
              <w:right w:val="single" w:sz="6" w:space="0" w:color="000000"/>
            </w:tcBorders>
            <w:shd w:val="clear" w:color="auto" w:fill="F0F0F0"/>
          </w:tcPr>
          <w:p w14:paraId="0EFC7AB6" w14:textId="2C6C15D3" w:rsidR="001C34F4" w:rsidRPr="000274C8" w:rsidRDefault="00895E30" w:rsidP="00061B39">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0</w:t>
            </w:r>
            <w:r w:rsidR="001C34F4" w:rsidRPr="000274C8">
              <w:rPr>
                <w:rFonts w:ascii="Times New Roman" w:eastAsia="Times New Roman" w:hAnsi="Times New Roman" w:cs="Times New Roman"/>
                <w:b/>
                <w:bCs/>
                <w:kern w:val="0"/>
                <w:lang w:eastAsia="ro-MD"/>
                <w14:ligatures w14:val="none"/>
              </w:rPr>
              <w:t>211</w:t>
            </w:r>
          </w:p>
        </w:tc>
      </w:tr>
      <w:tr w:rsidR="001C34F4" w:rsidRPr="008844AC" w14:paraId="1C39641B" w14:textId="06FC6440"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7DA5E" w14:textId="3CDC4E99" w:rsidR="001C34F4" w:rsidRPr="008844AC" w:rsidRDefault="001C34F4" w:rsidP="00061B3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sidR="00895E30">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14DD1" w14:textId="77777777" w:rsidR="001C34F4" w:rsidRPr="008844AC" w:rsidRDefault="001C34F4" w:rsidP="00061B39">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EXPUNERI TOTALE</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34CEE" w14:textId="77777777" w:rsidR="001C34F4" w:rsidRPr="008844AC" w:rsidRDefault="001C34F4" w:rsidP="00061B39">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5EB1C5C8" w14:textId="77777777" w:rsidR="001C34F4" w:rsidRPr="008844AC" w:rsidRDefault="001C34F4"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AFFA2" w14:textId="2AFA483B" w:rsidR="001C34F4" w:rsidRPr="008844AC" w:rsidRDefault="001C34F4"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696BB23F" w14:textId="77777777" w:rsidR="001C34F4" w:rsidRPr="008844AC" w:rsidRDefault="001C34F4"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DB409" w14:textId="4450C393" w:rsidR="001C34F4" w:rsidRPr="008844AC" w:rsidRDefault="001C34F4"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07578" w14:textId="77777777" w:rsidR="001C34F4" w:rsidRPr="008844AC" w:rsidRDefault="001C34F4"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5474323C" w14:textId="77777777" w:rsidR="001C34F4" w:rsidRPr="008844AC" w:rsidRDefault="001C34F4"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738E9" w14:textId="55E53020" w:rsidR="001C34F4" w:rsidRPr="008844AC" w:rsidRDefault="001C34F4"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F24F4" w14:textId="77777777" w:rsidR="001C34F4" w:rsidRPr="008844AC" w:rsidRDefault="001C34F4" w:rsidP="00061B39">
            <w:pPr>
              <w:spacing w:after="0" w:line="240" w:lineRule="auto"/>
              <w:jc w:val="center"/>
              <w:rPr>
                <w:rFonts w:ascii="Times New Roman" w:eastAsia="Times New Roman" w:hAnsi="Times New Roman" w:cs="Times New Roman"/>
                <w:kern w:val="0"/>
                <w:sz w:val="20"/>
                <w:szCs w:val="2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1B9E8D58" w14:textId="22176B6D" w:rsidR="001C34F4" w:rsidRPr="008844AC" w:rsidRDefault="000006E9" w:rsidP="00061B39">
            <w:pPr>
              <w:spacing w:after="0" w:line="240" w:lineRule="auto"/>
              <w:jc w:val="center"/>
              <w:rPr>
                <w:rFonts w:ascii="Times New Roman" w:eastAsia="Times New Roman" w:hAnsi="Times New Roman" w:cs="Times New Roman"/>
                <w:kern w:val="0"/>
                <w:sz w:val="20"/>
                <w:szCs w:val="20"/>
                <w:lang w:eastAsia="ro-MD"/>
                <w14:ligatures w14:val="none"/>
              </w:rPr>
            </w:pPr>
            <w:r>
              <w:rPr>
                <w:rFonts w:ascii="Times New Roman" w:eastAsia="Times New Roman" w:hAnsi="Times New Roman" w:cs="Times New Roman"/>
                <w:kern w:val="0"/>
                <w:sz w:val="20"/>
                <w:szCs w:val="20"/>
                <w:lang w:eastAsia="ro-MD"/>
                <w14:ligatures w14:val="none"/>
              </w:rPr>
              <w:t>x</w:t>
            </w:r>
          </w:p>
        </w:tc>
      </w:tr>
      <w:tr w:rsidR="00CB257B" w:rsidRPr="008844AC" w14:paraId="397781EC" w14:textId="77777777"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A9B5E3" w14:textId="671DC3AF" w:rsidR="00CB257B" w:rsidRPr="00AE4138" w:rsidRDefault="00CB257B" w:rsidP="00CB257B">
            <w:pPr>
              <w:spacing w:after="0" w:line="240" w:lineRule="auto"/>
              <w:jc w:val="center"/>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0011</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B3C658" w14:textId="3721D223" w:rsidR="00CB257B" w:rsidRPr="00AE4138" w:rsidRDefault="00CB257B" w:rsidP="00CB257B">
            <w:pPr>
              <w:spacing w:after="0" w:line="240" w:lineRule="auto"/>
              <w:rPr>
                <w:rFonts w:ascii="Times New Roman" w:eastAsia="Times New Roman" w:hAnsi="Times New Roman" w:cs="Times New Roman"/>
                <w:b/>
                <w:bCs/>
                <w:kern w:val="0"/>
                <w:lang w:eastAsia="ro-MD"/>
                <w14:ligatures w14:val="none"/>
              </w:rPr>
            </w:pPr>
            <w:r w:rsidRPr="00052914">
              <w:rPr>
                <w:rFonts w:ascii="Times New Roman" w:eastAsia="Times New Roman" w:hAnsi="Times New Roman" w:cs="Times New Roman"/>
                <w:kern w:val="0"/>
                <w:lang w:eastAsia="ro-MD"/>
                <w14:ligatures w14:val="none"/>
              </w:rPr>
              <w:t>din care: expuneri față de bănci centrale</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CCE1A2" w14:textId="77777777" w:rsidR="00CB257B" w:rsidRPr="008844AC" w:rsidRDefault="00CB257B" w:rsidP="00CB257B">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13F8B828"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BD81C4"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4C280EA0"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C5E279"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8E0756"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0CBC3DBF"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997126"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969174"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4C56D007" w14:textId="272BB463" w:rsidR="00CB257B" w:rsidRPr="008844AC" w:rsidRDefault="000006E9" w:rsidP="00CB257B">
            <w:pPr>
              <w:spacing w:after="0" w:line="240" w:lineRule="auto"/>
              <w:jc w:val="center"/>
              <w:rPr>
                <w:rFonts w:ascii="Times New Roman" w:eastAsia="Times New Roman" w:hAnsi="Times New Roman" w:cs="Times New Roman"/>
                <w:kern w:val="0"/>
                <w:sz w:val="20"/>
                <w:szCs w:val="20"/>
                <w:lang w:eastAsia="ro-MD"/>
                <w14:ligatures w14:val="none"/>
              </w:rPr>
            </w:pPr>
            <w:r w:rsidRPr="00D54B65">
              <w:rPr>
                <w:rFonts w:ascii="Times New Roman" w:eastAsia="Times New Roman" w:hAnsi="Times New Roman" w:cs="Times New Roman"/>
                <w:kern w:val="0"/>
                <w:sz w:val="20"/>
                <w:szCs w:val="20"/>
                <w:lang w:eastAsia="ro-MD"/>
                <w14:ligatures w14:val="none"/>
              </w:rPr>
              <w:t>x</w:t>
            </w:r>
          </w:p>
        </w:tc>
      </w:tr>
      <w:tr w:rsidR="00CB257B" w:rsidRPr="008844AC" w14:paraId="7999F763" w14:textId="2CA1353F" w:rsidTr="007A0369">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233E0" w14:textId="74867BA3" w:rsidR="00CB257B" w:rsidRPr="008844AC" w:rsidRDefault="00CB257B" w:rsidP="00CB257B">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015</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D10F0" w14:textId="7CDFDF6E" w:rsidR="00CB257B" w:rsidRPr="008844AC" w:rsidRDefault="00CB257B" w:rsidP="00CB257B">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din care: expuneri în stare de nerambursare</w:t>
            </w:r>
            <w:r w:rsidRPr="007072E7">
              <w:rPr>
                <w:rFonts w:ascii="Times New Roman" w:eastAsia="Times New Roman" w:hAnsi="Times New Roman" w:cs="Times New Roman"/>
                <w:kern w:val="0"/>
                <w:lang w:eastAsia="ro-MD"/>
                <w14:ligatures w14:val="none"/>
              </w:rPr>
              <w:t xml:space="preserve"> din clasa de expuneri „</w:t>
            </w:r>
            <w:proofErr w:type="spellStart"/>
            <w:r w:rsidRPr="007072E7">
              <w:rPr>
                <w:rFonts w:ascii="Times New Roman" w:eastAsia="Times New Roman" w:hAnsi="Times New Roman" w:cs="Times New Roman"/>
                <w:kern w:val="0"/>
                <w:lang w:eastAsia="ro-MD"/>
                <w14:ligatures w14:val="none"/>
              </w:rPr>
              <w:t>OPCuri</w:t>
            </w:r>
            <w:proofErr w:type="spellEnd"/>
            <w:r w:rsidRPr="007072E7">
              <w:rPr>
                <w:rFonts w:ascii="Times New Roman" w:eastAsia="Times New Roman" w:hAnsi="Times New Roman" w:cs="Times New Roman"/>
                <w:kern w:val="0"/>
                <w:lang w:eastAsia="ro-MD"/>
                <w14:ligatures w14:val="none"/>
              </w:rPr>
              <w:t>” și „expuneri provenind din titluri de capital”</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8F84A1" w14:textId="77777777" w:rsidR="00CB257B" w:rsidRPr="008844AC" w:rsidRDefault="00CB257B" w:rsidP="00CB257B">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68CED60C"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DFEC3B" w14:textId="64FD69C0"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58AEE44D"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7661CF" w14:textId="63A1FE8A"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931BE4"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193A1853"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A1BD91" w14:textId="08B8163F"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F21EF3" w14:textId="35474B64" w:rsidR="00CB257B" w:rsidRPr="008844AC" w:rsidRDefault="00CB257B" w:rsidP="00CB257B">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3F848848" w14:textId="5E7D3922" w:rsidR="00CB257B" w:rsidRPr="008844AC" w:rsidRDefault="000006E9" w:rsidP="00CB257B">
            <w:pPr>
              <w:spacing w:after="0" w:line="240" w:lineRule="auto"/>
              <w:jc w:val="center"/>
              <w:rPr>
                <w:rFonts w:ascii="Times New Roman" w:eastAsia="Times New Roman" w:hAnsi="Times New Roman" w:cs="Times New Roman"/>
                <w:kern w:val="0"/>
                <w:lang w:eastAsia="ro-MD"/>
                <w14:ligatures w14:val="none"/>
              </w:rPr>
            </w:pPr>
            <w:r w:rsidRPr="00D54B65">
              <w:rPr>
                <w:rFonts w:ascii="Times New Roman" w:eastAsia="Times New Roman" w:hAnsi="Times New Roman" w:cs="Times New Roman"/>
                <w:kern w:val="0"/>
                <w:sz w:val="20"/>
                <w:szCs w:val="20"/>
                <w:lang w:eastAsia="ro-MD"/>
                <w14:ligatures w14:val="none"/>
              </w:rPr>
              <w:t>x</w:t>
            </w:r>
          </w:p>
        </w:tc>
      </w:tr>
      <w:tr w:rsidR="00CB257B" w:rsidRPr="008844AC" w14:paraId="3460EBC6" w14:textId="5A6CF631" w:rsidTr="007A0369">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48A20" w14:textId="38EF93C9" w:rsidR="00CB257B" w:rsidRPr="008844AC" w:rsidRDefault="00CB257B" w:rsidP="00CB257B">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20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3BC87" w14:textId="31060D6B" w:rsidR="00CB257B" w:rsidRPr="008844AC" w:rsidRDefault="00CB257B" w:rsidP="00CB257B">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din care: IMM-uri</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0444CA" w14:textId="77777777" w:rsidR="00CB257B" w:rsidRPr="008844AC" w:rsidRDefault="00CB257B" w:rsidP="00CB257B">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450FC2F5"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CFA045" w14:textId="61F66865"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6CE35DCB"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447250" w14:textId="4879349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E25057"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4B5FC38B"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30D506" w14:textId="64C3ECC9"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692298" w14:textId="0B23FCD2" w:rsidR="00CB257B" w:rsidRPr="008844AC" w:rsidRDefault="00CB257B" w:rsidP="00CB257B">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212D8CF2" w14:textId="447319E8" w:rsidR="00CB257B" w:rsidRPr="008844AC" w:rsidRDefault="000006E9" w:rsidP="00CB257B">
            <w:pPr>
              <w:spacing w:after="0" w:line="240" w:lineRule="auto"/>
              <w:jc w:val="center"/>
              <w:rPr>
                <w:rFonts w:ascii="Times New Roman" w:eastAsia="Times New Roman" w:hAnsi="Times New Roman" w:cs="Times New Roman"/>
                <w:kern w:val="0"/>
                <w:lang w:eastAsia="ro-MD"/>
                <w14:ligatures w14:val="none"/>
              </w:rPr>
            </w:pPr>
            <w:r w:rsidRPr="00D54B65">
              <w:rPr>
                <w:rFonts w:ascii="Times New Roman" w:eastAsia="Times New Roman" w:hAnsi="Times New Roman" w:cs="Times New Roman"/>
                <w:kern w:val="0"/>
                <w:sz w:val="20"/>
                <w:szCs w:val="20"/>
                <w:lang w:eastAsia="ro-MD"/>
                <w14:ligatures w14:val="none"/>
              </w:rPr>
              <w:t>x</w:t>
            </w:r>
          </w:p>
        </w:tc>
      </w:tr>
      <w:tr w:rsidR="00CB257B" w:rsidRPr="008844AC" w14:paraId="35E0826C" w14:textId="6B84DCE7" w:rsidTr="007A0369">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1DA82" w14:textId="6E16FBC7" w:rsidR="00CB257B" w:rsidRPr="008844AC" w:rsidRDefault="00CB257B" w:rsidP="00CB257B">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30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85CF5" w14:textId="2A9EC17D" w:rsidR="00CB257B" w:rsidRPr="008844AC" w:rsidRDefault="00CB257B" w:rsidP="00CB257B">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din care: expuneri aflate sub </w:t>
            </w:r>
            <w:proofErr w:type="spellStart"/>
            <w:r w:rsidRPr="008844AC">
              <w:rPr>
                <w:rFonts w:ascii="Times New Roman" w:eastAsia="Times New Roman" w:hAnsi="Times New Roman" w:cs="Times New Roman"/>
                <w:kern w:val="0"/>
                <w:lang w:eastAsia="ro-MD"/>
                <w14:ligatures w14:val="none"/>
              </w:rPr>
              <w:t>incidenţa</w:t>
            </w:r>
            <w:proofErr w:type="spellEnd"/>
            <w:r w:rsidRPr="008844AC">
              <w:rPr>
                <w:rFonts w:ascii="Times New Roman" w:eastAsia="Times New Roman" w:hAnsi="Times New Roman" w:cs="Times New Roman"/>
                <w:kern w:val="0"/>
                <w:lang w:eastAsia="ro-MD"/>
                <w14:ligatures w14:val="none"/>
              </w:rPr>
              <w:t xml:space="preserve"> factorului de sprijinire a IMM-urilor</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C2F188" w14:textId="77777777" w:rsidR="00CB257B" w:rsidRPr="008844AC" w:rsidRDefault="00CB257B" w:rsidP="00CB257B">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70FF93F3"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B8AFAB" w14:textId="08B709CC"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26C45A18"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3814FA" w14:textId="699225E3"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899D59"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568D0C2D"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665A11" w14:textId="33DD943F"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9A05E2" w14:textId="7EA6AE52" w:rsidR="00CB257B" w:rsidRPr="008844AC" w:rsidRDefault="00CB257B" w:rsidP="00CB257B">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631B8493" w14:textId="68C59F0A" w:rsidR="00CB257B" w:rsidRPr="008844AC" w:rsidRDefault="000006E9" w:rsidP="00CB257B">
            <w:pPr>
              <w:spacing w:after="0" w:line="240" w:lineRule="auto"/>
              <w:jc w:val="center"/>
              <w:rPr>
                <w:rFonts w:ascii="Times New Roman" w:eastAsia="Times New Roman" w:hAnsi="Times New Roman" w:cs="Times New Roman"/>
                <w:kern w:val="0"/>
                <w:lang w:eastAsia="ro-MD"/>
                <w14:ligatures w14:val="none"/>
              </w:rPr>
            </w:pPr>
            <w:r w:rsidRPr="00D54B65">
              <w:rPr>
                <w:rFonts w:ascii="Times New Roman" w:eastAsia="Times New Roman" w:hAnsi="Times New Roman" w:cs="Times New Roman"/>
                <w:kern w:val="0"/>
                <w:sz w:val="20"/>
                <w:szCs w:val="20"/>
                <w:lang w:eastAsia="ro-MD"/>
                <w14:ligatures w14:val="none"/>
              </w:rPr>
              <w:t>x</w:t>
            </w:r>
          </w:p>
        </w:tc>
      </w:tr>
      <w:tr w:rsidR="00CB257B" w:rsidRPr="008844AC" w14:paraId="20086418" w14:textId="77777777"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B6FF90" w14:textId="7E1CBFFF" w:rsidR="00CB257B" w:rsidRPr="00AE4138" w:rsidRDefault="00CB257B" w:rsidP="00CB257B">
            <w:pPr>
              <w:spacing w:after="0" w:line="240" w:lineRule="auto"/>
              <w:jc w:val="center"/>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0035</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773605" w14:textId="0C6305E8" w:rsidR="00CB257B" w:rsidRPr="00AE4138" w:rsidRDefault="00CB257B" w:rsidP="00CB257B">
            <w:pPr>
              <w:spacing w:after="0" w:line="240" w:lineRule="auto"/>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 xml:space="preserve">din care: expuneri aflate sub incidența </w:t>
            </w:r>
            <w:r w:rsidRPr="00052914">
              <w:rPr>
                <w:rFonts w:ascii="Times New Roman" w:eastAsia="Times New Roman" w:hAnsi="Times New Roman" w:cs="Times New Roman"/>
                <w:kern w:val="0"/>
                <w:lang w:eastAsia="ro-MD"/>
                <w14:ligatures w14:val="none"/>
              </w:rPr>
              <w:lastRenderedPageBreak/>
              <w:t>factorului de sprijinire a infrastructurii</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601749" w14:textId="77777777" w:rsidR="00CB257B" w:rsidRPr="008844AC" w:rsidRDefault="00CB257B" w:rsidP="00CB257B">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136A3193"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FC9703"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543A3A49"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DAE772"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EDF3F4"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23B4B4EE"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8DC768" w14:textId="77777777" w:rsidR="00CB257B" w:rsidRPr="008844AC" w:rsidRDefault="00CB257B" w:rsidP="00CB257B">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27BC6B" w14:textId="77777777" w:rsidR="00CB257B" w:rsidRPr="008844AC" w:rsidRDefault="00CB257B" w:rsidP="00CB257B">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57743454" w14:textId="5DE6BF4C" w:rsidR="00CB257B" w:rsidRPr="008844AC" w:rsidRDefault="000006E9" w:rsidP="00CB257B">
            <w:pPr>
              <w:spacing w:after="0" w:line="240" w:lineRule="auto"/>
              <w:jc w:val="center"/>
              <w:rPr>
                <w:rFonts w:ascii="Times New Roman" w:eastAsia="Times New Roman" w:hAnsi="Times New Roman" w:cs="Times New Roman"/>
                <w:kern w:val="0"/>
                <w:lang w:eastAsia="ro-MD"/>
                <w14:ligatures w14:val="none"/>
              </w:rPr>
            </w:pPr>
            <w:r w:rsidRPr="00D54B65">
              <w:rPr>
                <w:rFonts w:ascii="Times New Roman" w:eastAsia="Times New Roman" w:hAnsi="Times New Roman" w:cs="Times New Roman"/>
                <w:kern w:val="0"/>
                <w:sz w:val="20"/>
                <w:szCs w:val="20"/>
                <w:lang w:eastAsia="ro-MD"/>
                <w14:ligatures w14:val="none"/>
              </w:rPr>
              <w:t>x</w:t>
            </w:r>
          </w:p>
        </w:tc>
      </w:tr>
      <w:tr w:rsidR="00CB257B" w:rsidRPr="008844AC" w14:paraId="284DAB59" w14:textId="0F636118" w:rsidTr="007A0369">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3D0C8" w14:textId="6FB9BED9" w:rsidR="00CB257B" w:rsidRPr="008844AC" w:rsidRDefault="00CB257B" w:rsidP="00CB257B">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50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D67D0" w14:textId="0CF9E0A9" w:rsidR="00CB257B" w:rsidRPr="008844AC" w:rsidRDefault="00CB257B" w:rsidP="00CB257B">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din care: expuneri aflate sub </w:t>
            </w:r>
            <w:proofErr w:type="spellStart"/>
            <w:r w:rsidRPr="008844AC">
              <w:rPr>
                <w:rFonts w:ascii="Times New Roman" w:eastAsia="Times New Roman" w:hAnsi="Times New Roman" w:cs="Times New Roman"/>
                <w:kern w:val="0"/>
                <w:lang w:eastAsia="ro-MD"/>
                <w14:ligatures w14:val="none"/>
              </w:rPr>
              <w:t>incidenţa</w:t>
            </w:r>
            <w:proofErr w:type="spellEnd"/>
            <w:r w:rsidRPr="008844AC">
              <w:rPr>
                <w:rFonts w:ascii="Times New Roman" w:eastAsia="Times New Roman" w:hAnsi="Times New Roman" w:cs="Times New Roman"/>
                <w:kern w:val="0"/>
                <w:lang w:eastAsia="ro-MD"/>
                <w14:ligatures w14:val="none"/>
              </w:rPr>
              <w:t xml:space="preserve"> utilizării </w:t>
            </w:r>
            <w:proofErr w:type="spellStart"/>
            <w:r w:rsidRPr="008844AC">
              <w:rPr>
                <w:rFonts w:ascii="Times New Roman" w:eastAsia="Times New Roman" w:hAnsi="Times New Roman" w:cs="Times New Roman"/>
                <w:kern w:val="0"/>
                <w:lang w:eastAsia="ro-MD"/>
                <w14:ligatures w14:val="none"/>
              </w:rPr>
              <w:t>parţiale</w:t>
            </w:r>
            <w:proofErr w:type="spellEnd"/>
            <w:r w:rsidRPr="008844AC">
              <w:rPr>
                <w:rFonts w:ascii="Times New Roman" w:eastAsia="Times New Roman" w:hAnsi="Times New Roman" w:cs="Times New Roman"/>
                <w:kern w:val="0"/>
                <w:lang w:eastAsia="ro-MD"/>
                <w14:ligatures w14:val="none"/>
              </w:rPr>
              <w:t xml:space="preserve"> permanente a abordării standardizate</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F48AA0" w14:textId="7BA43986" w:rsidR="00CB257B" w:rsidRPr="008844AC" w:rsidRDefault="00CB257B" w:rsidP="00CB257B">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0A46602D" w14:textId="77777777" w:rsidR="00CB257B" w:rsidRPr="008844AC" w:rsidRDefault="00CB257B" w:rsidP="00CB257B">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7703E6" w14:textId="6742758B" w:rsidR="00CB257B" w:rsidRPr="008844AC" w:rsidRDefault="00CB257B" w:rsidP="00CB257B">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5DBA9483" w14:textId="77777777" w:rsidR="00CB257B" w:rsidRPr="008844AC" w:rsidRDefault="00CB257B" w:rsidP="00CB257B">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DD7E5A" w14:textId="130FFBFB" w:rsidR="00CB257B" w:rsidRPr="008844AC" w:rsidRDefault="00CB257B" w:rsidP="00CB257B">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44F678" w14:textId="56F86A39" w:rsidR="00CB257B" w:rsidRPr="008844AC" w:rsidRDefault="00CB257B" w:rsidP="00CB257B">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4D506FE0" w14:textId="77777777" w:rsidR="00CB257B" w:rsidRPr="008844AC" w:rsidRDefault="00CB257B" w:rsidP="00CB257B">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B04723" w14:textId="7EC49797" w:rsidR="00CB257B" w:rsidRPr="008844AC" w:rsidRDefault="00CB257B" w:rsidP="00CB257B">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A5F8FD" w14:textId="5B7A7C2B" w:rsidR="00CB257B" w:rsidRPr="008844AC" w:rsidRDefault="00CB257B" w:rsidP="00CB257B">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729099E7" w14:textId="22ECB01F" w:rsidR="00CB257B" w:rsidRPr="008844AC" w:rsidRDefault="000006E9" w:rsidP="00CB257B">
            <w:pPr>
              <w:spacing w:after="0" w:line="240" w:lineRule="auto"/>
              <w:jc w:val="center"/>
              <w:rPr>
                <w:rFonts w:ascii="Times New Roman" w:eastAsia="Times New Roman" w:hAnsi="Times New Roman" w:cs="Times New Roman"/>
                <w:kern w:val="0"/>
                <w:lang w:eastAsia="ro-MD"/>
                <w14:ligatures w14:val="none"/>
              </w:rPr>
            </w:pPr>
            <w:r w:rsidRPr="00D54B65">
              <w:rPr>
                <w:rFonts w:ascii="Times New Roman" w:eastAsia="Times New Roman" w:hAnsi="Times New Roman" w:cs="Times New Roman"/>
                <w:kern w:val="0"/>
                <w:sz w:val="20"/>
                <w:szCs w:val="20"/>
                <w:lang w:eastAsia="ro-MD"/>
                <w14:ligatures w14:val="none"/>
              </w:rPr>
              <w:t>x</w:t>
            </w:r>
          </w:p>
        </w:tc>
      </w:tr>
      <w:tr w:rsidR="00AE2BD1" w:rsidRPr="008844AC" w14:paraId="1B3C660E" w14:textId="306D17FF" w:rsidTr="007A0369">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339F7" w14:textId="2F256EA1" w:rsidR="00AE2BD1" w:rsidRPr="008844AC" w:rsidRDefault="00AE2BD1" w:rsidP="00061B39">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sidR="00895E30">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60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3A141" w14:textId="63CEDFA3" w:rsidR="00AE2BD1" w:rsidRPr="008844AC" w:rsidRDefault="00AE2BD1" w:rsidP="00061B39">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din care: expunerile din cadrul abordării standardizate cu </w:t>
            </w:r>
            <w:r w:rsidRPr="00052914">
              <w:rPr>
                <w:rFonts w:ascii="Times New Roman" w:eastAsia="Times New Roman" w:hAnsi="Times New Roman" w:cs="Times New Roman"/>
                <w:kern w:val="0"/>
                <w:lang w:eastAsia="ro-MD"/>
                <w14:ligatures w14:val="none"/>
              </w:rPr>
              <w:t>aprobarea</w:t>
            </w:r>
            <w:r w:rsidRPr="008844AC">
              <w:rPr>
                <w:rFonts w:ascii="Times New Roman" w:eastAsia="Times New Roman" w:hAnsi="Times New Roman" w:cs="Times New Roman"/>
                <w:kern w:val="0"/>
                <w:lang w:eastAsia="ro-MD"/>
                <w14:ligatures w14:val="none"/>
              </w:rPr>
              <w:t xml:space="preserve"> prealabilă a </w:t>
            </w:r>
            <w:proofErr w:type="spellStart"/>
            <w:r w:rsidRPr="008844AC">
              <w:rPr>
                <w:rFonts w:ascii="Times New Roman" w:eastAsia="Times New Roman" w:hAnsi="Times New Roman" w:cs="Times New Roman"/>
                <w:kern w:val="0"/>
                <w:lang w:eastAsia="ro-MD"/>
                <w14:ligatures w14:val="none"/>
              </w:rPr>
              <w:t>autorităţii</w:t>
            </w:r>
            <w:proofErr w:type="spellEnd"/>
            <w:r w:rsidRPr="008844AC">
              <w:rPr>
                <w:rFonts w:ascii="Times New Roman" w:eastAsia="Times New Roman" w:hAnsi="Times New Roman" w:cs="Times New Roman"/>
                <w:kern w:val="0"/>
                <w:lang w:eastAsia="ro-MD"/>
                <w14:ligatures w14:val="none"/>
              </w:rPr>
              <w:t xml:space="preserve"> de supraveghere de a efectua o implementare progresivă a abordării IRB</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0E235D" w14:textId="667F1B4D" w:rsidR="00AE2BD1" w:rsidRPr="008844AC" w:rsidRDefault="00AE2BD1" w:rsidP="00061B39">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7D121B91" w14:textId="77777777" w:rsidR="00AE2BD1" w:rsidRPr="008844AC" w:rsidRDefault="00AE2BD1" w:rsidP="00061B39">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6F7E13" w14:textId="2829CBE0" w:rsidR="00AE2BD1" w:rsidRPr="008844AC" w:rsidRDefault="00AE2BD1" w:rsidP="00061B39">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0CA03D1C" w14:textId="77777777" w:rsidR="00AE2BD1" w:rsidRPr="008844AC" w:rsidRDefault="00AE2BD1" w:rsidP="00061B39">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449032" w14:textId="51CFB399" w:rsidR="00AE2BD1" w:rsidRPr="008844AC" w:rsidRDefault="00AE2BD1" w:rsidP="00061B39">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5C9A37" w14:textId="354276AE" w:rsidR="00AE2BD1" w:rsidRPr="008844AC" w:rsidRDefault="00AE2BD1" w:rsidP="00061B39">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44BD635C" w14:textId="77777777" w:rsidR="00AE2BD1" w:rsidRPr="008844AC" w:rsidRDefault="00AE2BD1" w:rsidP="00061B39">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9517D4" w14:textId="663FB653" w:rsidR="00AE2BD1" w:rsidRPr="008844AC" w:rsidRDefault="00AE2BD1" w:rsidP="00061B39">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C016EE" w14:textId="04FA6B8B" w:rsidR="00AE2BD1" w:rsidRPr="008844AC" w:rsidRDefault="00AE2BD1" w:rsidP="00061B39">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643E6CD3" w14:textId="0009ACC8" w:rsidR="00AE2BD1" w:rsidRPr="008844AC" w:rsidRDefault="000006E9" w:rsidP="00061B39">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r>
      <w:tr w:rsidR="00AE4138" w:rsidRPr="00AE4138" w14:paraId="7ED16C81" w14:textId="77777777"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DFDA5F" w14:textId="168EFF44"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0061</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C94102" w14:textId="0DA86D89" w:rsidR="00AE4138" w:rsidRPr="00052914" w:rsidRDefault="00AE4138" w:rsidP="00AE4138">
            <w:pPr>
              <w:spacing w:after="0" w:line="240" w:lineRule="auto"/>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 xml:space="preserve">din care: </w:t>
            </w:r>
            <w:r w:rsidR="00BE2F10">
              <w:rPr>
                <w:rFonts w:ascii="Times New Roman" w:eastAsia="Times New Roman" w:hAnsi="Times New Roman" w:cs="Times New Roman"/>
                <w:kern w:val="0"/>
                <w:lang w:eastAsia="ro-MD"/>
                <w14:ligatures w14:val="none"/>
              </w:rPr>
              <w:t>e</w:t>
            </w:r>
            <w:r w:rsidRPr="00052914">
              <w:rPr>
                <w:rFonts w:ascii="Times New Roman" w:eastAsia="Times New Roman" w:hAnsi="Times New Roman" w:cs="Times New Roman"/>
                <w:kern w:val="0"/>
                <w:lang w:eastAsia="ro-MD"/>
                <w14:ligatures w14:val="none"/>
              </w:rPr>
              <w:t xml:space="preserve">xpuneri IPRE care îndeplinesc oricare dintre condițiile prevăzute la </w:t>
            </w:r>
            <w:r w:rsidRPr="00052914">
              <w:rPr>
                <w:rStyle w:val="InstructionsTabelleberschrift"/>
                <w:rFonts w:ascii="Times New Roman" w:hAnsi="Times New Roman"/>
                <w:b w:val="0"/>
                <w:bCs w:val="0"/>
                <w:sz w:val="22"/>
                <w:u w:val="none"/>
              </w:rPr>
              <w:t>punctul 66 subpunctul 1) lit. b) din Regulamentul nr. 111/2018</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CFC30A"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1E7A4441"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99417C"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39722403"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DC6B7E"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14A9E6"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24C6B067"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6A1CB5"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DC3BED"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55F3A36D" w14:textId="4D6C8082" w:rsidR="00AE4138" w:rsidRPr="00AE4138" w:rsidRDefault="000006E9" w:rsidP="00AE4138">
            <w:pPr>
              <w:spacing w:after="0" w:line="240" w:lineRule="auto"/>
              <w:jc w:val="center"/>
              <w:rPr>
                <w:rFonts w:ascii="Times New Roman" w:eastAsia="Times New Roman" w:hAnsi="Times New Roman" w:cs="Times New Roman"/>
                <w:kern w:val="0"/>
                <w:lang w:eastAsia="ro-MD"/>
                <w14:ligatures w14:val="none"/>
              </w:rPr>
            </w:pPr>
            <w:r w:rsidRPr="00AE4138">
              <w:rPr>
                <w:rFonts w:ascii="Times New Roman" w:eastAsia="Times New Roman" w:hAnsi="Times New Roman" w:cs="Times New Roman"/>
                <w:kern w:val="0"/>
                <w:lang w:eastAsia="ro-MD"/>
                <w14:ligatures w14:val="none"/>
              </w:rPr>
              <w:t>x</w:t>
            </w:r>
          </w:p>
        </w:tc>
      </w:tr>
      <w:tr w:rsidR="00AE4138" w:rsidRPr="00AE4138" w14:paraId="12B68A1B" w14:textId="77777777"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3247DB" w14:textId="7E0DF24B"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0062</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FB6BC3" w14:textId="71AE4D98" w:rsidR="00AE4138" w:rsidRPr="00052914" w:rsidRDefault="00AE4138" w:rsidP="00AE4138">
            <w:pPr>
              <w:spacing w:after="0" w:line="240" w:lineRule="auto"/>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 xml:space="preserve">din care: </w:t>
            </w:r>
            <w:r w:rsidR="00BE2F10">
              <w:rPr>
                <w:rFonts w:ascii="Times New Roman" w:eastAsia="Times New Roman" w:hAnsi="Times New Roman" w:cs="Times New Roman"/>
                <w:kern w:val="0"/>
                <w:lang w:eastAsia="ro-MD"/>
                <w14:ligatures w14:val="none"/>
              </w:rPr>
              <w:t>e</w:t>
            </w:r>
            <w:r w:rsidRPr="00052914">
              <w:rPr>
                <w:rFonts w:ascii="Times New Roman" w:eastAsia="Times New Roman" w:hAnsi="Times New Roman" w:cs="Times New Roman"/>
                <w:kern w:val="0"/>
                <w:lang w:eastAsia="ro-MD"/>
                <w14:ligatures w14:val="none"/>
              </w:rPr>
              <w:t xml:space="preserve">xpuneri IPRE în cazul cărora se aplică derogarea prevăzută la </w:t>
            </w:r>
            <w:r w:rsidRPr="00052914">
              <w:rPr>
                <w:rStyle w:val="InstructionsTabelleberschrift"/>
                <w:rFonts w:ascii="Times New Roman" w:hAnsi="Times New Roman"/>
                <w:b w:val="0"/>
                <w:bCs w:val="0"/>
                <w:sz w:val="22"/>
                <w:u w:val="none"/>
              </w:rPr>
              <w:t>punctul 70</w:t>
            </w:r>
            <w:r w:rsidRPr="00052914">
              <w:rPr>
                <w:rStyle w:val="InstructionsTabelleberschrift"/>
                <w:rFonts w:ascii="Times New Roman" w:hAnsi="Times New Roman"/>
                <w:b w:val="0"/>
                <w:bCs w:val="0"/>
                <w:sz w:val="22"/>
                <w:u w:val="none"/>
                <w:vertAlign w:val="superscript"/>
              </w:rPr>
              <w:t xml:space="preserve">2 </w:t>
            </w:r>
            <w:r w:rsidRPr="00052914">
              <w:rPr>
                <w:rStyle w:val="InstructionsTabelleberschrift"/>
                <w:rFonts w:ascii="Times New Roman" w:hAnsi="Times New Roman"/>
                <w:b w:val="0"/>
                <w:bCs w:val="0"/>
                <w:sz w:val="22"/>
                <w:u w:val="none"/>
              </w:rPr>
              <w:t>din Regulamentul nr. 111/2018</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61CB17"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53B9147C"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53BECC"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6DCB8B92"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B65CCC"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12C238"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11B1BC75"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978D5F"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17708B"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45456813" w14:textId="29455DF8" w:rsidR="00AE4138" w:rsidRPr="00AE4138" w:rsidRDefault="000006E9" w:rsidP="00AE4138">
            <w:pPr>
              <w:spacing w:after="0" w:line="240" w:lineRule="auto"/>
              <w:jc w:val="center"/>
              <w:rPr>
                <w:rFonts w:ascii="Times New Roman" w:eastAsia="Times New Roman" w:hAnsi="Times New Roman" w:cs="Times New Roman"/>
                <w:kern w:val="0"/>
                <w:lang w:eastAsia="ro-MD"/>
                <w14:ligatures w14:val="none"/>
              </w:rPr>
            </w:pPr>
            <w:r w:rsidRPr="00AE4138">
              <w:rPr>
                <w:rFonts w:ascii="Times New Roman" w:eastAsia="Times New Roman" w:hAnsi="Times New Roman" w:cs="Times New Roman"/>
                <w:kern w:val="0"/>
                <w:lang w:eastAsia="ro-MD"/>
                <w14:ligatures w14:val="none"/>
              </w:rPr>
              <w:t>x</w:t>
            </w:r>
          </w:p>
        </w:tc>
      </w:tr>
      <w:tr w:rsidR="00AE4138" w:rsidRPr="008844AC" w14:paraId="203BCE51" w14:textId="77777777"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B91E5E" w14:textId="58C6B94B"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0063</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CEA224" w14:textId="04666CDA" w:rsidR="00AE4138" w:rsidRPr="00AE4138" w:rsidRDefault="00AE4138" w:rsidP="00AE4138">
            <w:pPr>
              <w:spacing w:after="0" w:line="240" w:lineRule="auto"/>
              <w:rPr>
                <w:rFonts w:ascii="Times New Roman" w:eastAsia="Times New Roman" w:hAnsi="Times New Roman" w:cs="Times New Roman"/>
                <w:kern w:val="0"/>
                <w:lang w:eastAsia="ro-MD"/>
                <w14:ligatures w14:val="none"/>
              </w:rPr>
            </w:pPr>
            <w:r w:rsidRPr="00E13C25">
              <w:rPr>
                <w:rFonts w:ascii="Times New Roman" w:eastAsia="Times New Roman" w:hAnsi="Times New Roman" w:cs="Times New Roman"/>
                <w:kern w:val="0"/>
                <w:lang w:eastAsia="ro-MD"/>
                <w14:ligatures w14:val="none"/>
              </w:rPr>
              <w:t xml:space="preserve">din care: </w:t>
            </w:r>
            <w:r w:rsidR="00E17F77">
              <w:rPr>
                <w:rFonts w:ascii="Times New Roman" w:eastAsia="Times New Roman" w:hAnsi="Times New Roman" w:cs="Times New Roman"/>
                <w:kern w:val="0"/>
                <w:lang w:eastAsia="ro-MD"/>
                <w14:ligatures w14:val="none"/>
              </w:rPr>
              <w:t>e</w:t>
            </w:r>
            <w:r w:rsidRPr="00E13C25">
              <w:rPr>
                <w:rFonts w:ascii="Times New Roman" w:eastAsia="Times New Roman" w:hAnsi="Times New Roman" w:cs="Times New Roman"/>
                <w:kern w:val="0"/>
                <w:lang w:eastAsia="ro-MD"/>
                <w14:ligatures w14:val="none"/>
              </w:rPr>
              <w:t xml:space="preserve">xpuneri IPRE în cazul cărora se aplică derogarea prevăzută la </w:t>
            </w:r>
            <w:r w:rsidRPr="00E13C25">
              <w:rPr>
                <w:rStyle w:val="InstructionsTabelleberschrift"/>
                <w:rFonts w:ascii="Times New Roman" w:hAnsi="Times New Roman"/>
                <w:b w:val="0"/>
                <w:bCs w:val="0"/>
                <w:sz w:val="22"/>
                <w:u w:val="none"/>
              </w:rPr>
              <w:t>punctul 72</w:t>
            </w:r>
            <w:r w:rsidRPr="00E13C25">
              <w:rPr>
                <w:rStyle w:val="InstructionsTabelleberschrift"/>
                <w:rFonts w:ascii="Times New Roman" w:hAnsi="Times New Roman"/>
                <w:b w:val="0"/>
                <w:bCs w:val="0"/>
                <w:sz w:val="22"/>
                <w:u w:val="none"/>
                <w:vertAlign w:val="superscript"/>
              </w:rPr>
              <w:t>2</w:t>
            </w:r>
            <w:r w:rsidRPr="00E13C25">
              <w:rPr>
                <w:rStyle w:val="InstructionsTabelleberschrift"/>
                <w:rFonts w:ascii="Times New Roman" w:hAnsi="Times New Roman"/>
                <w:b w:val="0"/>
                <w:bCs w:val="0"/>
                <w:sz w:val="22"/>
                <w:u w:val="none"/>
              </w:rPr>
              <w:t xml:space="preserve"> din Regulamentul nr. 111/2018</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2EF613"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5FA31D2E"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A3454E"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05A681C7"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CD6ADC"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896345"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3FB236BE"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EAE759"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BA1061" w14:textId="77777777"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15134B48" w14:textId="64D94D70"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AE4138">
              <w:rPr>
                <w:rFonts w:ascii="Times New Roman" w:eastAsia="Times New Roman" w:hAnsi="Times New Roman" w:cs="Times New Roman"/>
                <w:kern w:val="0"/>
                <w:lang w:eastAsia="ro-MD"/>
                <w14:ligatures w14:val="none"/>
              </w:rPr>
              <w:t>x</w:t>
            </w:r>
          </w:p>
        </w:tc>
      </w:tr>
      <w:tr w:rsidR="00AE4138" w:rsidRPr="008844AC" w14:paraId="3B1CB3A0" w14:textId="77777777"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D4F1F0" w14:textId="3DC91052" w:rsidR="00AE4138" w:rsidRPr="00AE4138" w:rsidRDefault="00AE4138" w:rsidP="00AE4138">
            <w:pPr>
              <w:spacing w:after="0" w:line="240" w:lineRule="auto"/>
              <w:jc w:val="center"/>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0064</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525E41" w14:textId="6E863F75" w:rsidR="00AE4138" w:rsidRPr="00AE4138" w:rsidRDefault="00AE4138" w:rsidP="00AE4138">
            <w:pPr>
              <w:spacing w:after="0" w:line="240" w:lineRule="auto"/>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din care: Expuneri din cadrul abordării IRB</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F6A3D4"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4FF7C90B"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E87A58"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44AA6985"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9EEE5A"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2AE722"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5CF1E787"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4C20A0"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8C7A42"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7E3B1189" w14:textId="700D3AA9"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r>
      <w:tr w:rsidR="00AE4138" w:rsidRPr="008844AC" w14:paraId="4A3CD2A9" w14:textId="49E1B6AA" w:rsidTr="00246996">
        <w:tc>
          <w:tcPr>
            <w:tcW w:w="9338" w:type="dxa"/>
            <w:gridSpan w:val="12"/>
            <w:tcBorders>
              <w:top w:val="single" w:sz="6" w:space="0" w:color="000000"/>
              <w:left w:val="single" w:sz="6" w:space="0" w:color="000000"/>
              <w:bottom w:val="single" w:sz="6" w:space="0" w:color="000000"/>
              <w:right w:val="single" w:sz="6" w:space="0" w:color="000000"/>
            </w:tcBorders>
          </w:tcPr>
          <w:p w14:paraId="2F220C23" w14:textId="2F26CE49" w:rsidR="00AE4138" w:rsidRPr="008844AC" w:rsidRDefault="00AE4138" w:rsidP="00AE4138">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  </w:t>
            </w:r>
          </w:p>
          <w:p w14:paraId="732973B1" w14:textId="48386019" w:rsidR="00AE4138" w:rsidRPr="008844AC" w:rsidRDefault="00AE4138" w:rsidP="00AE4138">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DEFALCAREA EXPUNERILOR TOTALE PE TIPURI DE EXPUNERE:</w:t>
            </w:r>
          </w:p>
        </w:tc>
      </w:tr>
      <w:tr w:rsidR="00AE4138" w:rsidRPr="008844AC" w14:paraId="3EFB1093" w14:textId="184848A3" w:rsidTr="00217644">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A8074" w14:textId="70B03C4B"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lastRenderedPageBreak/>
              <w:t>0</w:t>
            </w: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70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E9A91" w14:textId="2FD51FEC" w:rsidR="00AE4138" w:rsidRPr="008844AC" w:rsidRDefault="00AE4138" w:rsidP="00AE4138">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Expuneri </w:t>
            </w:r>
            <w:proofErr w:type="spellStart"/>
            <w:r w:rsidRPr="008844AC">
              <w:rPr>
                <w:rFonts w:ascii="Times New Roman" w:eastAsia="Times New Roman" w:hAnsi="Times New Roman" w:cs="Times New Roman"/>
                <w:kern w:val="0"/>
                <w:lang w:eastAsia="ro-MD"/>
                <w14:ligatures w14:val="none"/>
              </w:rPr>
              <w:t>bilanţiere</w:t>
            </w:r>
            <w:proofErr w:type="spellEnd"/>
            <w:r w:rsidRPr="008844AC">
              <w:rPr>
                <w:rFonts w:ascii="Times New Roman" w:eastAsia="Times New Roman" w:hAnsi="Times New Roman" w:cs="Times New Roman"/>
                <w:kern w:val="0"/>
                <w:lang w:eastAsia="ro-MD"/>
                <w14:ligatures w14:val="none"/>
              </w:rPr>
              <w:t xml:space="preserve"> supuse riscului de credit</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0C5789" w14:textId="2C57332D"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54" w:type="dxa"/>
            <w:tcBorders>
              <w:top w:val="single" w:sz="6" w:space="0" w:color="000000"/>
              <w:left w:val="single" w:sz="6" w:space="0" w:color="000000"/>
              <w:bottom w:val="single" w:sz="6" w:space="0" w:color="000000"/>
              <w:right w:val="single" w:sz="6" w:space="0" w:color="000000"/>
            </w:tcBorders>
          </w:tcPr>
          <w:p w14:paraId="620BB3B5" w14:textId="15314505"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86F8B7" w14:textId="707B7713"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478" w:type="dxa"/>
            <w:tcBorders>
              <w:top w:val="single" w:sz="6" w:space="0" w:color="000000"/>
              <w:left w:val="single" w:sz="6" w:space="0" w:color="000000"/>
              <w:bottom w:val="single" w:sz="6" w:space="0" w:color="000000"/>
              <w:right w:val="single" w:sz="6" w:space="0" w:color="000000"/>
            </w:tcBorders>
          </w:tcPr>
          <w:p w14:paraId="7FA3CC95" w14:textId="085E9DCE"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005C12" w14:textId="03BF1BBA"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D90558" w14:textId="2A15297E"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1045" w:type="dxa"/>
            <w:tcBorders>
              <w:top w:val="single" w:sz="6" w:space="0" w:color="000000"/>
              <w:left w:val="single" w:sz="6" w:space="0" w:color="000000"/>
              <w:bottom w:val="single" w:sz="6" w:space="0" w:color="000000"/>
              <w:right w:val="single" w:sz="6" w:space="0" w:color="000000"/>
            </w:tcBorders>
          </w:tcPr>
          <w:p w14:paraId="0C26BDD8" w14:textId="69613A75"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AEBC89" w14:textId="7356A54C"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83BD1F" w14:textId="48BD41BF"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1266" w:type="dxa"/>
            <w:tcBorders>
              <w:top w:val="single" w:sz="6" w:space="0" w:color="000000"/>
              <w:left w:val="single" w:sz="6" w:space="0" w:color="000000"/>
              <w:bottom w:val="single" w:sz="6" w:space="0" w:color="000000"/>
              <w:right w:val="single" w:sz="6" w:space="0" w:color="000000"/>
            </w:tcBorders>
          </w:tcPr>
          <w:p w14:paraId="28174818" w14:textId="7358BBC5"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r>
      <w:tr w:rsidR="00AE4138" w:rsidRPr="008844AC" w14:paraId="216BCA4A" w14:textId="20358102" w:rsidTr="00217644">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7A7BA" w14:textId="15D0C708"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80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A599E" w14:textId="28294C2F" w:rsidR="00AE4138" w:rsidRPr="008844AC" w:rsidRDefault="00AE4138" w:rsidP="00AE4138">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Expuneri </w:t>
            </w:r>
            <w:proofErr w:type="spellStart"/>
            <w:r w:rsidRPr="008844AC">
              <w:rPr>
                <w:rFonts w:ascii="Times New Roman" w:eastAsia="Times New Roman" w:hAnsi="Times New Roman" w:cs="Times New Roman"/>
                <w:kern w:val="0"/>
                <w:lang w:eastAsia="ro-MD"/>
                <w14:ligatures w14:val="none"/>
              </w:rPr>
              <w:t>extrabilanţiere</w:t>
            </w:r>
            <w:proofErr w:type="spellEnd"/>
            <w:r w:rsidRPr="008844AC">
              <w:rPr>
                <w:rFonts w:ascii="Times New Roman" w:eastAsia="Times New Roman" w:hAnsi="Times New Roman" w:cs="Times New Roman"/>
                <w:kern w:val="0"/>
                <w:lang w:eastAsia="ro-MD"/>
                <w14:ligatures w14:val="none"/>
              </w:rPr>
              <w:t xml:space="preserve"> supuse riscului de credit</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3CF472" w14:textId="77777777" w:rsidR="00AE4138" w:rsidRPr="008844AC" w:rsidRDefault="00AE4138" w:rsidP="00AE4138">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12A7FC63" w14:textId="77777777" w:rsidR="00AE4138" w:rsidRPr="008844AC"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7A580F" w14:textId="75F9FE91" w:rsidR="00AE4138" w:rsidRPr="008844AC"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0B73A319" w14:textId="77777777" w:rsidR="00AE4138" w:rsidRPr="008844AC"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911C75" w14:textId="49EC5B33" w:rsidR="00AE4138" w:rsidRPr="008844AC"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FD795C" w14:textId="77777777" w:rsidR="00AE4138" w:rsidRPr="008844AC"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52153292" w14:textId="77777777" w:rsidR="00AE4138" w:rsidRPr="008844AC"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25BBDA" w14:textId="454DBB3F" w:rsidR="00AE4138" w:rsidRPr="008844AC"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A476BB" w14:textId="5DDB805A"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1266" w:type="dxa"/>
            <w:tcBorders>
              <w:top w:val="single" w:sz="6" w:space="0" w:color="000000"/>
              <w:left w:val="single" w:sz="6" w:space="0" w:color="000000"/>
              <w:bottom w:val="single" w:sz="6" w:space="0" w:color="000000"/>
              <w:right w:val="single" w:sz="6" w:space="0" w:color="000000"/>
            </w:tcBorders>
          </w:tcPr>
          <w:p w14:paraId="3FA2FDB9" w14:textId="20028142"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r>
      <w:tr w:rsidR="00AE4138" w:rsidRPr="008844AC" w14:paraId="78A5DB87" w14:textId="6AEC6D6F" w:rsidTr="00217644">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C3101"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0CF14" w14:textId="1BD94491" w:rsidR="00AE4138" w:rsidRPr="00052914" w:rsidRDefault="00AE4138" w:rsidP="00AE4138">
            <w:pPr>
              <w:spacing w:after="0" w:line="240" w:lineRule="auto"/>
              <w:rPr>
                <w:rFonts w:ascii="Times New Roman" w:eastAsia="Times New Roman" w:hAnsi="Times New Roman" w:cs="Times New Roman"/>
                <w:b/>
                <w:bCs/>
                <w:kern w:val="0"/>
                <w:lang w:eastAsia="ro-MD"/>
                <w14:ligatures w14:val="none"/>
              </w:rPr>
            </w:pPr>
            <w:r w:rsidRPr="00052914">
              <w:rPr>
                <w:rFonts w:ascii="Times New Roman" w:eastAsia="Times New Roman" w:hAnsi="Times New Roman" w:cs="Times New Roman"/>
                <w:b/>
                <w:bCs/>
                <w:kern w:val="0"/>
                <w:lang w:eastAsia="ro-MD"/>
                <w14:ligatures w14:val="none"/>
              </w:rPr>
              <w:t>Expuneri/</w:t>
            </w:r>
            <w:proofErr w:type="spellStart"/>
            <w:r w:rsidRPr="00052914">
              <w:rPr>
                <w:rFonts w:ascii="Times New Roman" w:eastAsia="Times New Roman" w:hAnsi="Times New Roman" w:cs="Times New Roman"/>
                <w:b/>
                <w:bCs/>
                <w:kern w:val="0"/>
                <w:lang w:eastAsia="ro-MD"/>
                <w14:ligatures w14:val="none"/>
              </w:rPr>
              <w:t>tranzacţii</w:t>
            </w:r>
            <w:proofErr w:type="spellEnd"/>
            <w:r w:rsidRPr="00052914">
              <w:rPr>
                <w:rFonts w:ascii="Times New Roman" w:eastAsia="Times New Roman" w:hAnsi="Times New Roman" w:cs="Times New Roman"/>
                <w:b/>
                <w:bCs/>
                <w:kern w:val="0"/>
                <w:lang w:eastAsia="ro-MD"/>
                <w14:ligatures w14:val="none"/>
              </w:rPr>
              <w:t xml:space="preserve"> supuse riscului de credit al </w:t>
            </w:r>
            <w:proofErr w:type="spellStart"/>
            <w:r w:rsidRPr="00052914">
              <w:rPr>
                <w:rFonts w:ascii="Times New Roman" w:eastAsia="Times New Roman" w:hAnsi="Times New Roman" w:cs="Times New Roman"/>
                <w:b/>
                <w:bCs/>
                <w:kern w:val="0"/>
                <w:lang w:eastAsia="ro-MD"/>
                <w14:ligatures w14:val="none"/>
              </w:rPr>
              <w:t>contrapărţii</w:t>
            </w:r>
            <w:proofErr w:type="spellEnd"/>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84F255" w14:textId="06D1B93D"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54" w:type="dxa"/>
            <w:tcBorders>
              <w:top w:val="single" w:sz="6" w:space="0" w:color="000000"/>
              <w:left w:val="single" w:sz="6" w:space="0" w:color="000000"/>
              <w:bottom w:val="single" w:sz="6" w:space="0" w:color="000000"/>
              <w:right w:val="single" w:sz="6" w:space="0" w:color="000000"/>
            </w:tcBorders>
          </w:tcPr>
          <w:p w14:paraId="38C468F7" w14:textId="6837AFA2"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FC4852">
              <w:rPr>
                <w:rFonts w:ascii="Times New Roman" w:eastAsia="Times New Roman" w:hAnsi="Times New Roman" w:cs="Times New Roman"/>
                <w:kern w:val="0"/>
                <w:lang w:eastAsia="ro-MD"/>
                <w14:ligatures w14:val="none"/>
              </w:rPr>
              <w:t>x</w:t>
            </w: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5165F9" w14:textId="7F01146C"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FC4852">
              <w:rPr>
                <w:rFonts w:ascii="Times New Roman" w:eastAsia="Times New Roman" w:hAnsi="Times New Roman" w:cs="Times New Roman"/>
                <w:kern w:val="0"/>
                <w:lang w:eastAsia="ro-MD"/>
                <w14:ligatures w14:val="none"/>
              </w:rPr>
              <w:t>x</w:t>
            </w:r>
          </w:p>
        </w:tc>
        <w:tc>
          <w:tcPr>
            <w:tcW w:w="478" w:type="dxa"/>
            <w:tcBorders>
              <w:top w:val="single" w:sz="6" w:space="0" w:color="000000"/>
              <w:left w:val="single" w:sz="6" w:space="0" w:color="000000"/>
              <w:bottom w:val="single" w:sz="6" w:space="0" w:color="000000"/>
              <w:right w:val="single" w:sz="6" w:space="0" w:color="000000"/>
            </w:tcBorders>
          </w:tcPr>
          <w:p w14:paraId="5DD2E5F8" w14:textId="374618EB"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FC4852">
              <w:rPr>
                <w:rFonts w:ascii="Times New Roman" w:eastAsia="Times New Roman" w:hAnsi="Times New Roman" w:cs="Times New Roman"/>
                <w:kern w:val="0"/>
                <w:lang w:eastAsia="ro-MD"/>
                <w14:ligatures w14:val="none"/>
              </w:rPr>
              <w:t>x</w:t>
            </w: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C1C9AE" w14:textId="2AA41BDF"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FC4852">
              <w:rPr>
                <w:rFonts w:ascii="Times New Roman" w:eastAsia="Times New Roman" w:hAnsi="Times New Roman" w:cs="Times New Roman"/>
                <w:kern w:val="0"/>
                <w:lang w:eastAsia="ro-MD"/>
                <w14:ligatures w14:val="none"/>
              </w:rPr>
              <w:t>x</w:t>
            </w: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6314AB" w14:textId="1CA6745E"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FC4852">
              <w:rPr>
                <w:rFonts w:ascii="Times New Roman" w:eastAsia="Times New Roman" w:hAnsi="Times New Roman" w:cs="Times New Roman"/>
                <w:kern w:val="0"/>
                <w:lang w:eastAsia="ro-MD"/>
                <w14:ligatures w14:val="none"/>
              </w:rPr>
              <w:t>x</w:t>
            </w:r>
          </w:p>
        </w:tc>
        <w:tc>
          <w:tcPr>
            <w:tcW w:w="1045" w:type="dxa"/>
            <w:tcBorders>
              <w:top w:val="single" w:sz="6" w:space="0" w:color="000000"/>
              <w:left w:val="single" w:sz="6" w:space="0" w:color="000000"/>
              <w:bottom w:val="single" w:sz="6" w:space="0" w:color="000000"/>
              <w:right w:val="single" w:sz="6" w:space="0" w:color="000000"/>
            </w:tcBorders>
          </w:tcPr>
          <w:p w14:paraId="049D416C" w14:textId="5D9D52B1"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FC4852">
              <w:rPr>
                <w:rFonts w:ascii="Times New Roman" w:eastAsia="Times New Roman" w:hAnsi="Times New Roman" w:cs="Times New Roman"/>
                <w:kern w:val="0"/>
                <w:lang w:eastAsia="ro-MD"/>
                <w14:ligatures w14:val="none"/>
              </w:rPr>
              <w:t>x</w:t>
            </w: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1CB2A6" w14:textId="2464BC1D"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FC4852">
              <w:rPr>
                <w:rFonts w:ascii="Times New Roman" w:eastAsia="Times New Roman" w:hAnsi="Times New Roman" w:cs="Times New Roman"/>
                <w:kern w:val="0"/>
                <w:lang w:eastAsia="ro-MD"/>
                <w14:ligatures w14:val="none"/>
              </w:rPr>
              <w:t>x</w:t>
            </w: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FE4B92" w14:textId="32680908"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FC4852">
              <w:rPr>
                <w:rFonts w:ascii="Times New Roman" w:eastAsia="Times New Roman" w:hAnsi="Times New Roman" w:cs="Times New Roman"/>
                <w:kern w:val="0"/>
                <w:lang w:eastAsia="ro-MD"/>
                <w14:ligatures w14:val="none"/>
              </w:rPr>
              <w:t>x</w:t>
            </w:r>
          </w:p>
        </w:tc>
        <w:tc>
          <w:tcPr>
            <w:tcW w:w="1266" w:type="dxa"/>
            <w:tcBorders>
              <w:top w:val="single" w:sz="6" w:space="0" w:color="000000"/>
              <w:left w:val="single" w:sz="6" w:space="0" w:color="000000"/>
              <w:bottom w:val="single" w:sz="6" w:space="0" w:color="000000"/>
              <w:right w:val="single" w:sz="6" w:space="0" w:color="000000"/>
            </w:tcBorders>
          </w:tcPr>
          <w:p w14:paraId="0B2F2341" w14:textId="1E7C9CC5"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FC4852">
              <w:rPr>
                <w:rFonts w:ascii="Times New Roman" w:eastAsia="Times New Roman" w:hAnsi="Times New Roman" w:cs="Times New Roman"/>
                <w:kern w:val="0"/>
                <w:lang w:eastAsia="ro-MD"/>
                <w14:ligatures w14:val="none"/>
              </w:rPr>
              <w:t>x</w:t>
            </w:r>
          </w:p>
        </w:tc>
      </w:tr>
      <w:tr w:rsidR="00AE4138" w:rsidRPr="008844AC" w14:paraId="72471FFE" w14:textId="2A6825B1" w:rsidTr="00217644">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3D2CA" w14:textId="460125BB"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90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A55E3" w14:textId="14767B0C" w:rsidR="00AE4138" w:rsidRPr="008844AC" w:rsidRDefault="00AE4138" w:rsidP="00AE4138">
            <w:pPr>
              <w:spacing w:after="0" w:line="240" w:lineRule="auto"/>
              <w:rPr>
                <w:rFonts w:ascii="Times New Roman" w:eastAsia="Times New Roman" w:hAnsi="Times New Roman" w:cs="Times New Roman"/>
                <w:kern w:val="0"/>
                <w:lang w:eastAsia="ro-MD"/>
                <w14:ligatures w14:val="none"/>
              </w:rPr>
            </w:pPr>
            <w:r w:rsidRPr="00AE7AA6">
              <w:rPr>
                <w:rFonts w:ascii="Times New Roman" w:eastAsia="Times New Roman" w:hAnsi="Times New Roman" w:cs="Times New Roman"/>
                <w:kern w:val="0"/>
                <w:lang w:eastAsia="ro-MD"/>
                <w14:ligatures w14:val="none"/>
              </w:rPr>
              <w:t>Seturi de compensare pentru operațiunile de finanțare prin instrumente financiare</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5DE2BF" w14:textId="105F2E5D"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54" w:type="dxa"/>
            <w:tcBorders>
              <w:top w:val="single" w:sz="6" w:space="0" w:color="000000"/>
              <w:left w:val="single" w:sz="6" w:space="0" w:color="000000"/>
              <w:bottom w:val="single" w:sz="6" w:space="0" w:color="000000"/>
              <w:right w:val="single" w:sz="6" w:space="0" w:color="000000"/>
            </w:tcBorders>
          </w:tcPr>
          <w:p w14:paraId="0E116375" w14:textId="580383E4"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D087D7" w14:textId="6928944D"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478" w:type="dxa"/>
            <w:tcBorders>
              <w:top w:val="single" w:sz="6" w:space="0" w:color="000000"/>
              <w:left w:val="single" w:sz="6" w:space="0" w:color="000000"/>
              <w:bottom w:val="single" w:sz="6" w:space="0" w:color="000000"/>
              <w:right w:val="single" w:sz="6" w:space="0" w:color="000000"/>
            </w:tcBorders>
          </w:tcPr>
          <w:p w14:paraId="24826352" w14:textId="09CDA3B2"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F7FD66" w14:textId="71BC8E20"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C11808" w14:textId="088A150F"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1045" w:type="dxa"/>
            <w:tcBorders>
              <w:top w:val="single" w:sz="6" w:space="0" w:color="000000"/>
              <w:left w:val="single" w:sz="6" w:space="0" w:color="000000"/>
              <w:bottom w:val="single" w:sz="6" w:space="0" w:color="000000"/>
              <w:right w:val="single" w:sz="6" w:space="0" w:color="000000"/>
            </w:tcBorders>
          </w:tcPr>
          <w:p w14:paraId="777BC5B5" w14:textId="79DD0C9A"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C3CCE9" w14:textId="5858A4CC"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98F6F6" w14:textId="7FC2342D"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787AD02A"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8844AC" w14:paraId="033196C6" w14:textId="1A90C56F" w:rsidTr="00217644">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3514E" w14:textId="1AA697C8"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100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2E4E4" w14:textId="5F365212" w:rsidR="00AE4138" w:rsidRPr="008844AC" w:rsidRDefault="00AE4138" w:rsidP="00AE4138">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din care: compensate la nivel central printr-o CPCC</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C3EA93" w14:textId="240970BA"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54" w:type="dxa"/>
            <w:tcBorders>
              <w:top w:val="single" w:sz="6" w:space="0" w:color="000000"/>
              <w:left w:val="single" w:sz="6" w:space="0" w:color="000000"/>
              <w:bottom w:val="single" w:sz="6" w:space="0" w:color="000000"/>
              <w:right w:val="single" w:sz="6" w:space="0" w:color="000000"/>
            </w:tcBorders>
          </w:tcPr>
          <w:p w14:paraId="2F6027DC" w14:textId="54B67280"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0AEB08" w14:textId="7C1990F8"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478" w:type="dxa"/>
            <w:tcBorders>
              <w:top w:val="single" w:sz="6" w:space="0" w:color="000000"/>
              <w:left w:val="single" w:sz="6" w:space="0" w:color="000000"/>
              <w:bottom w:val="single" w:sz="6" w:space="0" w:color="000000"/>
              <w:right w:val="single" w:sz="6" w:space="0" w:color="000000"/>
            </w:tcBorders>
          </w:tcPr>
          <w:p w14:paraId="77A1F329" w14:textId="2EA77F15"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E785D1" w14:textId="570355D2"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05A30D" w14:textId="4481DEF3"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1045" w:type="dxa"/>
            <w:tcBorders>
              <w:top w:val="single" w:sz="6" w:space="0" w:color="000000"/>
              <w:left w:val="single" w:sz="6" w:space="0" w:color="000000"/>
              <w:bottom w:val="single" w:sz="6" w:space="0" w:color="000000"/>
              <w:right w:val="single" w:sz="6" w:space="0" w:color="000000"/>
            </w:tcBorders>
          </w:tcPr>
          <w:p w14:paraId="15FDFB35" w14:textId="1714E7C8"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4D1AF0" w14:textId="54A33F8E"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0F54B6" w14:textId="0A3CAC1B"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3EF2F5A3" w14:textId="3989DCEF"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r>
      <w:tr w:rsidR="00AE4138" w:rsidRPr="008844AC" w14:paraId="39C1B734" w14:textId="09C63E8B" w:rsidTr="00217644">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1D670" w14:textId="2B92EB86"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110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C5C7C" w14:textId="5FDC9D27" w:rsidR="00AE4138" w:rsidRPr="008844AC" w:rsidRDefault="00AE4138" w:rsidP="00AE4138">
            <w:pPr>
              <w:spacing w:after="0" w:line="240" w:lineRule="auto"/>
              <w:rPr>
                <w:rFonts w:ascii="Times New Roman" w:eastAsia="Times New Roman" w:hAnsi="Times New Roman" w:cs="Times New Roman"/>
                <w:kern w:val="0"/>
                <w:lang w:eastAsia="ro-MD"/>
                <w14:ligatures w14:val="none"/>
              </w:rPr>
            </w:pPr>
            <w:r w:rsidRPr="00AE7AA6">
              <w:rPr>
                <w:rFonts w:ascii="Times New Roman" w:eastAsia="Times New Roman" w:hAnsi="Times New Roman" w:cs="Times New Roman"/>
                <w:kern w:val="0"/>
                <w:lang w:eastAsia="ro-MD"/>
                <w14:ligatures w14:val="none"/>
              </w:rPr>
              <w:t>Seturi de compensare pentru instrumentele financiare derivate și tranzacțiile cu termen lung de decontare</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B4CAB5" w14:textId="4BEDDE1F"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54" w:type="dxa"/>
            <w:tcBorders>
              <w:top w:val="single" w:sz="6" w:space="0" w:color="000000"/>
              <w:left w:val="single" w:sz="6" w:space="0" w:color="000000"/>
              <w:bottom w:val="single" w:sz="6" w:space="0" w:color="000000"/>
              <w:right w:val="single" w:sz="6" w:space="0" w:color="000000"/>
            </w:tcBorders>
          </w:tcPr>
          <w:p w14:paraId="0CF3FAFC" w14:textId="66F79C38"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D12413" w14:textId="2435D781"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478" w:type="dxa"/>
            <w:tcBorders>
              <w:top w:val="single" w:sz="6" w:space="0" w:color="000000"/>
              <w:left w:val="single" w:sz="6" w:space="0" w:color="000000"/>
              <w:bottom w:val="single" w:sz="6" w:space="0" w:color="000000"/>
              <w:right w:val="single" w:sz="6" w:space="0" w:color="000000"/>
            </w:tcBorders>
          </w:tcPr>
          <w:p w14:paraId="10E7314D" w14:textId="538511DF"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61A7B8" w14:textId="5BEFE947"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6C2E3D" w14:textId="1425B7F5"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1045" w:type="dxa"/>
            <w:tcBorders>
              <w:top w:val="single" w:sz="6" w:space="0" w:color="000000"/>
              <w:left w:val="single" w:sz="6" w:space="0" w:color="000000"/>
              <w:bottom w:val="single" w:sz="6" w:space="0" w:color="000000"/>
              <w:right w:val="single" w:sz="6" w:space="0" w:color="000000"/>
            </w:tcBorders>
          </w:tcPr>
          <w:p w14:paraId="11937240" w14:textId="07665040"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369F51" w14:textId="73ED0776"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08AD95E" w14:textId="0B667040"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155A032F"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8844AC" w14:paraId="3255C4D0" w14:textId="3938EDC1" w:rsidTr="00217644">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E0760" w14:textId="541AC7D8"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120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DE4A2" w14:textId="608141B1" w:rsidR="00AE4138" w:rsidRPr="008844AC" w:rsidRDefault="00AE4138" w:rsidP="00AE4138">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din care: compensate la nivel central printr-o CPCC</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89173C" w14:textId="4C7102E9"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54" w:type="dxa"/>
            <w:tcBorders>
              <w:top w:val="single" w:sz="6" w:space="0" w:color="000000"/>
              <w:left w:val="single" w:sz="6" w:space="0" w:color="000000"/>
              <w:bottom w:val="single" w:sz="6" w:space="0" w:color="000000"/>
              <w:right w:val="single" w:sz="6" w:space="0" w:color="000000"/>
            </w:tcBorders>
          </w:tcPr>
          <w:p w14:paraId="4CCC2A3A" w14:textId="0489A3EE"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4D205A" w14:textId="7226E1CF"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478" w:type="dxa"/>
            <w:tcBorders>
              <w:top w:val="single" w:sz="6" w:space="0" w:color="000000"/>
              <w:left w:val="single" w:sz="6" w:space="0" w:color="000000"/>
              <w:bottom w:val="single" w:sz="6" w:space="0" w:color="000000"/>
              <w:right w:val="single" w:sz="6" w:space="0" w:color="000000"/>
            </w:tcBorders>
          </w:tcPr>
          <w:p w14:paraId="1255F0CD" w14:textId="32FAE384"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DF0871" w14:textId="69B02A3D"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53B888" w14:textId="17B1DEEC"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1045" w:type="dxa"/>
            <w:tcBorders>
              <w:top w:val="single" w:sz="6" w:space="0" w:color="000000"/>
              <w:left w:val="single" w:sz="6" w:space="0" w:color="000000"/>
              <w:bottom w:val="single" w:sz="6" w:space="0" w:color="000000"/>
              <w:right w:val="single" w:sz="6" w:space="0" w:color="000000"/>
            </w:tcBorders>
          </w:tcPr>
          <w:p w14:paraId="77FDEBCC" w14:textId="2DFCE901"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DB1F4E" w14:textId="40183EAB"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4CF4BC" w14:textId="7035194B"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5805CA1F" w14:textId="03801A71"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r>
      <w:tr w:rsidR="00AE4138" w:rsidRPr="008844AC" w14:paraId="31608917" w14:textId="7127EC43"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C2459" w14:textId="23423EDE"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130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B3A6F" w14:textId="5995C598" w:rsidR="00AE4138" w:rsidRPr="008844AC" w:rsidRDefault="00AE4138" w:rsidP="00AE4138">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Din </w:t>
            </w:r>
            <w:r w:rsidR="001D169C">
              <w:rPr>
                <w:rFonts w:ascii="Times New Roman" w:eastAsia="Times New Roman" w:hAnsi="Times New Roman" w:cs="Times New Roman"/>
                <w:kern w:val="0"/>
                <w:lang w:eastAsia="ro-MD"/>
                <w14:ligatures w14:val="none"/>
              </w:rPr>
              <w:t xml:space="preserve"> seturi de </w:t>
            </w:r>
            <w:r w:rsidRPr="008844AC">
              <w:rPr>
                <w:rFonts w:ascii="Times New Roman" w:eastAsia="Times New Roman" w:hAnsi="Times New Roman" w:cs="Times New Roman"/>
                <w:kern w:val="0"/>
                <w:lang w:eastAsia="ro-MD"/>
                <w14:ligatures w14:val="none"/>
              </w:rPr>
              <w:t>compensări contractuale între produse diferite</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D6E78" w14:textId="153B5F42"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54" w:type="dxa"/>
            <w:tcBorders>
              <w:top w:val="single" w:sz="6" w:space="0" w:color="000000"/>
              <w:left w:val="single" w:sz="6" w:space="0" w:color="000000"/>
              <w:bottom w:val="single" w:sz="6" w:space="0" w:color="000000"/>
              <w:right w:val="single" w:sz="6" w:space="0" w:color="000000"/>
            </w:tcBorders>
          </w:tcPr>
          <w:p w14:paraId="04CA75EB" w14:textId="3149659D"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3C9A3" w14:textId="1678625C"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478" w:type="dxa"/>
            <w:tcBorders>
              <w:top w:val="single" w:sz="6" w:space="0" w:color="000000"/>
              <w:left w:val="single" w:sz="6" w:space="0" w:color="000000"/>
              <w:bottom w:val="single" w:sz="6" w:space="0" w:color="000000"/>
              <w:right w:val="single" w:sz="6" w:space="0" w:color="000000"/>
            </w:tcBorders>
          </w:tcPr>
          <w:p w14:paraId="568D87E7" w14:textId="03CAB61A"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B361A" w14:textId="554556C6"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74CA7" w14:textId="186001B2"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1045" w:type="dxa"/>
            <w:tcBorders>
              <w:top w:val="single" w:sz="6" w:space="0" w:color="000000"/>
              <w:left w:val="single" w:sz="6" w:space="0" w:color="000000"/>
              <w:bottom w:val="single" w:sz="6" w:space="0" w:color="000000"/>
              <w:right w:val="single" w:sz="6" w:space="0" w:color="000000"/>
            </w:tcBorders>
          </w:tcPr>
          <w:p w14:paraId="744CF22F" w14:textId="17025A1E"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467E6" w14:textId="7541384E"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w:t>
            </w: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2DC77" w14:textId="1B508D42"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w:t>
            </w:r>
          </w:p>
        </w:tc>
        <w:tc>
          <w:tcPr>
            <w:tcW w:w="1266" w:type="dxa"/>
            <w:tcBorders>
              <w:top w:val="single" w:sz="6" w:space="0" w:color="000000"/>
              <w:left w:val="single" w:sz="6" w:space="0" w:color="000000"/>
              <w:bottom w:val="single" w:sz="6" w:space="0" w:color="000000"/>
              <w:right w:val="single" w:sz="6" w:space="0" w:color="000000"/>
            </w:tcBorders>
          </w:tcPr>
          <w:p w14:paraId="239FC0DA"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8844AC" w14:paraId="56812249" w14:textId="42B61E12" w:rsidTr="00246996">
        <w:tc>
          <w:tcPr>
            <w:tcW w:w="9338" w:type="dxa"/>
            <w:gridSpan w:val="12"/>
            <w:tcBorders>
              <w:top w:val="single" w:sz="6" w:space="0" w:color="000000"/>
              <w:left w:val="single" w:sz="6" w:space="0" w:color="000000"/>
              <w:bottom w:val="single" w:sz="6" w:space="0" w:color="000000"/>
              <w:right w:val="single" w:sz="6" w:space="0" w:color="000000"/>
            </w:tcBorders>
          </w:tcPr>
          <w:p w14:paraId="7161C259" w14:textId="77777777" w:rsidR="00AE4138" w:rsidRPr="008844AC" w:rsidRDefault="00AE4138" w:rsidP="00AE4138">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  </w:t>
            </w:r>
          </w:p>
          <w:p w14:paraId="5FAC7F30" w14:textId="4E69C346" w:rsidR="00AE4138" w:rsidRPr="008844AC" w:rsidRDefault="00AE4138" w:rsidP="00AE4138">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DEFALCAREA EXPUNERILOR TOTALE PE PONDERI DE RISC:</w:t>
            </w:r>
          </w:p>
        </w:tc>
      </w:tr>
      <w:tr w:rsidR="00AE4138" w:rsidRPr="008844AC" w14:paraId="3BF57012" w14:textId="77984ECB"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D3DD6" w14:textId="3951214F"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140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A0320" w14:textId="3EFAB762" w:rsidR="00AE4138" w:rsidRPr="008844AC" w:rsidRDefault="00AE4138" w:rsidP="00AE4138">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26A7F0" w14:textId="77777777" w:rsidR="00AE4138" w:rsidRPr="008844AC" w:rsidRDefault="00AE4138" w:rsidP="00AE4138">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440049D3" w14:textId="77777777" w:rsidR="00AE4138" w:rsidRPr="008844AC"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055656" w14:textId="08692014" w:rsidR="00AE4138" w:rsidRPr="008844AC"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6BA49C9D" w14:textId="77777777" w:rsidR="00AE4138" w:rsidRPr="008844AC"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CE0B44" w14:textId="41296215" w:rsidR="00AE4138" w:rsidRPr="008844AC"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9315D6" w14:textId="77777777" w:rsidR="00AE4138" w:rsidRPr="008844AC"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04053893" w14:textId="77777777" w:rsidR="00AE4138" w:rsidRPr="008844AC"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B955F6" w14:textId="0928F9D6" w:rsidR="00AE4138" w:rsidRPr="008844AC"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238015" w14:textId="78EB3668"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2913B357"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8844AC" w14:paraId="5EF4C42D" w14:textId="73D3D22A"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923D7" w14:textId="583990A0"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150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0C13B" w14:textId="5D1F5681" w:rsidR="00AE4138" w:rsidRPr="008844AC" w:rsidRDefault="00AE4138" w:rsidP="00AE4138">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2%</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41AAE8" w14:textId="5D669056"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26329111"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466225" w14:textId="0EB1FDE9"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4F740380"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2FF370" w14:textId="512189D8"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9B1343" w14:textId="6D75894F"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67A5813F"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3EC9AE" w14:textId="10642895"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CBF7F8" w14:textId="72931A48"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203292FD"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8844AC" w14:paraId="519FF5AA" w14:textId="77777777"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4E795F" w14:textId="6BF96DC6"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160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9311A4" w14:textId="2BB2EE4A" w:rsidR="00AE4138" w:rsidRPr="008844AC" w:rsidRDefault="00AE4138" w:rsidP="00AE4138">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4%</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18C280"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0BEAA782"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428D535"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6D8827D2"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6C8DC4"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875007"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1815DC62"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9B46C27"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A5D1C2"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296CE528"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8844AC" w14:paraId="710404F3" w14:textId="77777777"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8F6306" w14:textId="1E9F0D5B"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170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D6B0CD" w14:textId="7AB38421" w:rsidR="00AE4138" w:rsidRPr="008844AC" w:rsidRDefault="00AE4138" w:rsidP="00AE4138">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10%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49773A"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056F9BE1"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BBB5DF"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2D3CE928"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4C95F67"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5DAAEB"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0072AB34"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1E9559"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545EAA"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49C04AD7"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8844AC" w14:paraId="086978FA" w14:textId="77777777"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725E06" w14:textId="7C04B841"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180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8DD66E" w14:textId="721783B8" w:rsidR="00AE4138" w:rsidRPr="008844AC" w:rsidRDefault="00AE4138" w:rsidP="00AE4138">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20%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683A63"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0494CE8C"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C47785"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1B2A1F08"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F53718"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4F6E9C"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755316CF"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9EEFA0"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5B7A4E"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536FF07B" w14:textId="77777777" w:rsidR="00AE4138" w:rsidRPr="008844AC"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4EEFFB9B" w14:textId="77777777"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0B8FDB" w14:textId="76CDA06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0185</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9A95ED" w14:textId="2BB10159"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30%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76AF58"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1B317B64"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577C8D"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3B52032B"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504935"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156620"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7AFB945E"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77C393"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96A7C2"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07AE90A7"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438A8A17" w14:textId="77777777"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83098D" w14:textId="3F76A4AA"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0190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12683A" w14:textId="0D826FCB"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35%</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35323D"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00D53EB5"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D3527D"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391049BF"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E9FC8A"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8A1BB0"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2C551BCF"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18AB31"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6C4C38"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66B4DCE1"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712D40F1" w14:textId="77777777"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7F6D04" w14:textId="6126BAB9"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0195</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860B64" w14:textId="1B7606B2"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40%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6FEC77"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78CF9C38"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A90E73"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239C203B"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8D31BB"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B9928C"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7037E6DD"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A09C9B"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A4A493"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064A7313"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63871761" w14:textId="77777777"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C28794" w14:textId="23DD8F8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0196</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D8299B" w14:textId="0092C065"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45%</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C10E6D"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0D5353C0"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C0B2A8"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0B92C2EE"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4CED85"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40BE9D"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00DD68D4"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0B2DAF"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E473E8"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733F6EB5"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2DCC6351" w14:textId="77777777"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78C289" w14:textId="0DD29E8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0200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CBC0C9" w14:textId="21BE97DB"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50%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AFAFA4"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1EF21181"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963D22"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69B40ED3"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A9ADD0"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7DD362"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31235A1A"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4468E5"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78DDAD"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1ADD1070"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6595A030" w14:textId="77777777"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8D3785" w14:textId="52644D86"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0205</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97C3FB" w14:textId="1C05DD65"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60%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4645C7"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48EFDC14"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DABD9D"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46A8FB6A"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C1E101"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7E1D8DA"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6E48F5D7"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00C205C"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422896"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411BE10E"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2082E045" w14:textId="77777777"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C9A4A7" w14:textId="100C738F"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lastRenderedPageBreak/>
              <w:t>0210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BE8059" w14:textId="4D62BA1C"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70%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4E9C78"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54D55BAB"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2A922E"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3436A722"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B69493"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6EA159"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513093EB"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A78E3D"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089B44"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67396920"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44B120F5" w14:textId="4F3DC5F5"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6DF71" w14:textId="2F5B30A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0220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6DDDF" w14:textId="25D97921"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75%</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FA9C89" w14:textId="22B2BD46"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37DE30E8"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541C85" w14:textId="1FB5F633"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7CD83729"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D6F19C" w14:textId="2C0D9265"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FFB89A" w14:textId="2AF5A026"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1432DC4D"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59B7FF" w14:textId="440C67C4"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F4997C" w14:textId="42BC120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0FE01DE0"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1B087D93" w14:textId="23E6D3FF"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A3B08" w14:textId="31D70783"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0225</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78E8D" w14:textId="00C8A493"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80%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B49F99" w14:textId="77777777"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41262A6C"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5B8B79" w14:textId="6206FD09"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78570B73"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D026118" w14:textId="0DC9232C"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53C223"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1AF2B452"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4BB2A0" w14:textId="7E3A3AE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106BE9" w14:textId="3E13E97E"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695FAB43"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61499FBD" w14:textId="163A0A13"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61F29" w14:textId="513BB683"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0226</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6288E" w14:textId="02AE234A"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90%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6EC66D" w14:textId="77777777"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6AEE4BF9"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BEFA38" w14:textId="70363724"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64023C8D"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922025" w14:textId="3E5F2B05"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E7F133"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4BF2C1F6"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1D0F7C" w14:textId="6BFC5FC4"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E7FFB4" w14:textId="1CF1500E"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4BA1417C"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19AB2976" w14:textId="045A0FF0"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1FF88" w14:textId="0FD08084"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0230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4F77E" w14:textId="0985FF79"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100%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079CF9" w14:textId="2A8C2572"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4941351C"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1DF491" w14:textId="7333F00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730C9317"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3C3F08" w14:textId="40896D53"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4B065F" w14:textId="1EE489DC"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3733BD9D"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405D13" w14:textId="3706E74F"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3F97B0" w14:textId="7098F549"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0E220E28"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1C6ECB05" w14:textId="4B85CF33"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24445" w14:textId="306056D4"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0231</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1F1F2" w14:textId="148F9D25"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105%</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0B9374" w14:textId="77777777"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2CB04E60"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248802" w14:textId="659F55ED"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2C9BE70B"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827769" w14:textId="4473E16D"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2BF5D0"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6C43573B"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81F5C4" w14:textId="56FE139D"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BE4BCD" w14:textId="5D85454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676AB9FB"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62D2F0CD" w14:textId="046DC5F4"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F4699" w14:textId="1CC7F674"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0232</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435E0" w14:textId="3E3CEBE4"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110%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C38122" w14:textId="64A506FD"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6C665CC9"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3DB605" w14:textId="01E5B6DE"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0D9218B0"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7C87ED" w14:textId="12632DEE"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776C16" w14:textId="1B3D1BE0"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513B2769"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7A4B6E" w14:textId="3E173445"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AC80B8" w14:textId="5CBF9DD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024FC71C"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08EE0C7B" w14:textId="499629C1"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CE022" w14:textId="29C0DD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0235</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F5543" w14:textId="111623F4"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130%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D6CE2D" w14:textId="77777777"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30F7A5BA"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B037DC" w14:textId="2E028010"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3087B371"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C5BF6E0" w14:textId="38C9CB44"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1A9DE9"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3E42DCFB"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289F68" w14:textId="6563BC7C"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780F41" w14:textId="2A09F56D"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20CCADE1"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46B8E027" w14:textId="67375645"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17252" w14:textId="6AE155AC"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0240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B9100" w14:textId="7264180D"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150%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A68557" w14:textId="77777777"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664633D3"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563A5D" w14:textId="279DA81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32CE6444"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09E0DF" w14:textId="60FBB151"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0491BE"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59B6145B"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5811D8" w14:textId="26244D4C"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B173EC" w14:textId="5B191516"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50F5847C"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4894A170" w14:textId="75E866B4"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C1395" w14:textId="2A0342F2"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0250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805AE" w14:textId="3532A8EA"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250%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CEDA26" w14:textId="77777777"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43B0E15E"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93B9E6" w14:textId="2E3F0BB5"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3CCE9853"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4F7B15" w14:textId="32E95780"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3195E5"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2BBEFFEB"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7502DB0" w14:textId="3937C64B"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F574F5" w14:textId="6C4AD990"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6FB9098A"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22030304" w14:textId="28AFE09B"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215A4" w14:textId="4A608116"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0260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4E0CA" w14:textId="385428A9"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370%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305F4D" w14:textId="6E6D31C3" w:rsidR="00AE4138" w:rsidRPr="00E91D07" w:rsidRDefault="000006E9" w:rsidP="000006E9">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x</w:t>
            </w:r>
          </w:p>
        </w:tc>
        <w:tc>
          <w:tcPr>
            <w:tcW w:w="554" w:type="dxa"/>
            <w:tcBorders>
              <w:top w:val="single" w:sz="6" w:space="0" w:color="000000"/>
              <w:left w:val="single" w:sz="6" w:space="0" w:color="000000"/>
              <w:bottom w:val="single" w:sz="6" w:space="0" w:color="000000"/>
              <w:right w:val="single" w:sz="6" w:space="0" w:color="000000"/>
            </w:tcBorders>
          </w:tcPr>
          <w:p w14:paraId="0B73BA1E" w14:textId="1A6B0C49" w:rsidR="00AE4138" w:rsidRPr="00E91D07" w:rsidRDefault="000006E9" w:rsidP="000006E9">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C4F679" w14:textId="2FF1DF27" w:rsidR="00AE4138" w:rsidRPr="00E91D07" w:rsidRDefault="000006E9" w:rsidP="000006E9">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c>
          <w:tcPr>
            <w:tcW w:w="478" w:type="dxa"/>
            <w:tcBorders>
              <w:top w:val="single" w:sz="6" w:space="0" w:color="000000"/>
              <w:left w:val="single" w:sz="6" w:space="0" w:color="000000"/>
              <w:bottom w:val="single" w:sz="6" w:space="0" w:color="000000"/>
              <w:right w:val="single" w:sz="6" w:space="0" w:color="000000"/>
            </w:tcBorders>
          </w:tcPr>
          <w:p w14:paraId="61243941" w14:textId="4E2DE6A4" w:rsidR="00AE4138" w:rsidRPr="00E91D07" w:rsidRDefault="000006E9" w:rsidP="000006E9">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7305035" w14:textId="64C68906" w:rsidR="00AE4138" w:rsidRPr="00E91D07" w:rsidRDefault="000006E9" w:rsidP="000006E9">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81C956" w14:textId="66C8FD80" w:rsidR="00AE4138" w:rsidRPr="00E91D07" w:rsidRDefault="000006E9" w:rsidP="000006E9">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c>
          <w:tcPr>
            <w:tcW w:w="1045" w:type="dxa"/>
            <w:tcBorders>
              <w:top w:val="single" w:sz="6" w:space="0" w:color="000000"/>
              <w:left w:val="single" w:sz="6" w:space="0" w:color="000000"/>
              <w:bottom w:val="single" w:sz="6" w:space="0" w:color="000000"/>
              <w:right w:val="single" w:sz="6" w:space="0" w:color="000000"/>
            </w:tcBorders>
          </w:tcPr>
          <w:p w14:paraId="36003EB1" w14:textId="120B56B1" w:rsidR="00AE4138" w:rsidRPr="00E91D07" w:rsidRDefault="000006E9" w:rsidP="000006E9">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15B80A" w14:textId="007285E1" w:rsidR="00AE4138" w:rsidRPr="00E91D07" w:rsidRDefault="000006E9" w:rsidP="000006E9">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4242A1" w14:textId="00C9D1D4" w:rsidR="00AE4138" w:rsidRPr="00E91D07" w:rsidRDefault="000006E9" w:rsidP="000006E9">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x</w:t>
            </w:r>
          </w:p>
        </w:tc>
        <w:tc>
          <w:tcPr>
            <w:tcW w:w="1266" w:type="dxa"/>
            <w:tcBorders>
              <w:top w:val="single" w:sz="6" w:space="0" w:color="000000"/>
              <w:left w:val="single" w:sz="6" w:space="0" w:color="000000"/>
              <w:bottom w:val="single" w:sz="6" w:space="0" w:color="000000"/>
              <w:right w:val="single" w:sz="6" w:space="0" w:color="000000"/>
            </w:tcBorders>
          </w:tcPr>
          <w:p w14:paraId="7E485C51" w14:textId="218E7C4D" w:rsidR="00AE4138" w:rsidRPr="00E91D07" w:rsidRDefault="000006E9" w:rsidP="000006E9">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x</w:t>
            </w:r>
          </w:p>
        </w:tc>
      </w:tr>
      <w:tr w:rsidR="00AE4138" w:rsidRPr="00E91D07" w14:paraId="09E2F4AC" w14:textId="390A909A"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772EA" w14:textId="287EAFA0"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0265</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05945" w14:textId="772E93E3"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400%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0D72E0" w14:textId="1283808C"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30127E46"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FCC7CD" w14:textId="3B9D0988"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58C3FE7B"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89E7CD" w14:textId="763DCAE1"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8E85A1" w14:textId="5592A7D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26B94333"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A94962" w14:textId="750ED873"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70EA8C" w14:textId="440453C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655A437A"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53BBF051" w14:textId="52DB8FDD"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12EF8" w14:textId="30E80136"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0270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3BAAF" w14:textId="7FF2DD2B"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1000%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1D9634" w14:textId="77777777"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51402F27"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181F6F" w14:textId="50831EC4"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0400550A"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7AB74C" w14:textId="7206A54C"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D6AD82"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25729CBD"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CB3854" w14:textId="2C53C9D4"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3CE221" w14:textId="59E7420A"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4C2AE461"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3F2C85BA" w14:textId="248847F0"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F35A8" w14:textId="181D02CA"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0280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A4CE4" w14:textId="54E8D451"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Alte ponderi de risc</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249F2B" w14:textId="77777777"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756FFA00"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FB1461" w14:textId="265DBEDD"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5ABDB199"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49AC52" w14:textId="1BCB2100"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64B2E2"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7B139735"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2F73ED" w14:textId="38F3C684"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7F0D42" w14:textId="17DD68E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1B3C8ED7"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0B6A728D" w14:textId="77777777" w:rsidTr="00246996">
        <w:tc>
          <w:tcPr>
            <w:tcW w:w="9338" w:type="dxa"/>
            <w:gridSpan w:val="1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002557" w14:textId="502035B9"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b/>
                <w:bCs/>
                <w:kern w:val="0"/>
                <w:lang w:eastAsia="ro-MD"/>
                <w14:ligatures w14:val="none"/>
              </w:rPr>
              <w:t>DEFALCAREA EXPUNERILOR TOTALE ÎN FUNCȚIE DE ABORDARE (OPC):</w:t>
            </w:r>
          </w:p>
          <w:p w14:paraId="43436445"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262527E9" w14:textId="77777777"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B35662" w14:textId="42117F36"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0281</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05AB1F" w14:textId="59D27011"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Abordarea de tip look-</w:t>
            </w:r>
            <w:proofErr w:type="spellStart"/>
            <w:r w:rsidRPr="00E91D07">
              <w:rPr>
                <w:rFonts w:ascii="Times New Roman" w:eastAsia="Times New Roman" w:hAnsi="Times New Roman" w:cs="Times New Roman"/>
                <w:kern w:val="0"/>
                <w:lang w:eastAsia="ro-MD"/>
                <w14:ligatures w14:val="none"/>
              </w:rPr>
              <w:t>through</w:t>
            </w:r>
            <w:proofErr w:type="spellEnd"/>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827C9D" w14:textId="77777777"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4AF336ED"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8EFC29"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5B6C9778"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FBCA0E"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8377C5"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33967DA2"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5E8B1E"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0BBA84"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31FF31C5" w14:textId="5A23142C" w:rsidR="00AE4138" w:rsidRPr="00E91D07" w:rsidRDefault="000006E9"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x</w:t>
            </w:r>
          </w:p>
        </w:tc>
      </w:tr>
      <w:tr w:rsidR="00AE4138" w:rsidRPr="00E91D07" w14:paraId="18A320F0" w14:textId="77777777"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BCE86B" w14:textId="07EE84F9"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0282</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2D4156" w14:textId="2F14A233"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Abordarea pe bază de mandat</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3072BB" w14:textId="77777777"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0FAE5EC1"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75DE64"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57E178B8"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FE1153D"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F8C2A9"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7A50D72F"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5C27C7"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6EC0F5"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0FED2B4F" w14:textId="6DFD528B" w:rsidR="00AE4138" w:rsidRPr="00E91D07" w:rsidRDefault="000006E9"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x</w:t>
            </w:r>
          </w:p>
        </w:tc>
      </w:tr>
      <w:tr w:rsidR="00AE4138" w:rsidRPr="00E91D07" w14:paraId="75996680" w14:textId="77777777" w:rsidTr="00246996">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A004AA" w14:textId="7B32D6DA"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0283</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DFC19A" w14:textId="0B13F696"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Abordarea de rezervă (</w:t>
            </w:r>
            <w:proofErr w:type="spellStart"/>
            <w:r w:rsidRPr="00E91D07">
              <w:rPr>
                <w:rFonts w:ascii="Times New Roman" w:eastAsia="Times New Roman" w:hAnsi="Times New Roman" w:cs="Times New Roman"/>
                <w:kern w:val="0"/>
                <w:lang w:eastAsia="ro-MD"/>
                <w14:ligatures w14:val="none"/>
              </w:rPr>
              <w:t>fall</w:t>
            </w:r>
            <w:proofErr w:type="spellEnd"/>
            <w:r w:rsidRPr="00E91D07">
              <w:rPr>
                <w:rFonts w:ascii="Times New Roman" w:eastAsia="Times New Roman" w:hAnsi="Times New Roman" w:cs="Times New Roman"/>
                <w:kern w:val="0"/>
                <w:lang w:eastAsia="ro-MD"/>
                <w14:ligatures w14:val="none"/>
              </w:rPr>
              <w:t>-back)</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13226C" w14:textId="77777777"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431C7A00"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6813A00"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169AF056"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02E104"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7F451F"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0B8B9AF8"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C4D45E"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13DD6F"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7422C982" w14:textId="0806310F" w:rsidR="00AE4138" w:rsidRPr="00E91D07" w:rsidRDefault="000006E9"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x</w:t>
            </w:r>
          </w:p>
        </w:tc>
      </w:tr>
      <w:tr w:rsidR="00AE4138" w:rsidRPr="00E91D07" w14:paraId="19742E09" w14:textId="7D40A0F9" w:rsidTr="00246996">
        <w:tc>
          <w:tcPr>
            <w:tcW w:w="8072" w:type="dxa"/>
            <w:gridSpan w:val="11"/>
            <w:tcBorders>
              <w:top w:val="single" w:sz="6" w:space="0" w:color="000000"/>
              <w:left w:val="single" w:sz="6" w:space="0" w:color="000000"/>
              <w:bottom w:val="single" w:sz="6" w:space="0" w:color="000000"/>
              <w:right w:val="single" w:sz="6" w:space="0" w:color="000000"/>
            </w:tcBorders>
          </w:tcPr>
          <w:p w14:paraId="2A1307DD" w14:textId="399CC39E"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 xml:space="preserve">  </w:t>
            </w:r>
          </w:p>
          <w:p w14:paraId="37217437" w14:textId="77777777" w:rsidR="00AE4138" w:rsidRPr="00E91D07" w:rsidRDefault="00AE4138" w:rsidP="00AE4138">
            <w:pPr>
              <w:spacing w:after="0" w:line="240" w:lineRule="auto"/>
              <w:jc w:val="both"/>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b/>
                <w:bCs/>
                <w:kern w:val="0"/>
                <w:lang w:eastAsia="ro-MD"/>
                <w14:ligatures w14:val="none"/>
              </w:rPr>
              <w:t>ELEMENTE MEMORANDUM</w:t>
            </w:r>
          </w:p>
        </w:tc>
        <w:tc>
          <w:tcPr>
            <w:tcW w:w="1266" w:type="dxa"/>
            <w:tcBorders>
              <w:top w:val="single" w:sz="6" w:space="0" w:color="000000"/>
              <w:left w:val="single" w:sz="6" w:space="0" w:color="000000"/>
              <w:bottom w:val="single" w:sz="6" w:space="0" w:color="000000"/>
              <w:right w:val="single" w:sz="6" w:space="0" w:color="000000"/>
            </w:tcBorders>
          </w:tcPr>
          <w:p w14:paraId="336C6C9D" w14:textId="7777777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r>
      <w:tr w:rsidR="00AE4138" w:rsidRPr="00E91D07" w14:paraId="14DC6A50" w14:textId="618F9C20"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6D0C2" w14:textId="260CCC7F"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0290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372E1" w14:textId="77777777"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Expuneri garantate cu ipoteci asupra bunurilor imobile comerciale</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AD164" w14:textId="77777777"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65B9CB6B"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FD73F" w14:textId="5EE3D6F1"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26DF16D6"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177B6" w14:textId="2BC7B10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A4348"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5F8113D9"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3E38B" w14:textId="54BC8682"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6D22CA" w14:textId="13EBBF05"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5D655057" w14:textId="534EAFA7" w:rsidR="00AE4138" w:rsidRPr="00E91D07" w:rsidRDefault="000006E9"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x</w:t>
            </w:r>
          </w:p>
        </w:tc>
      </w:tr>
      <w:tr w:rsidR="00AE4138" w:rsidRPr="00E91D07" w14:paraId="2B9A9927" w14:textId="12C7F5D8"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74B1D" w14:textId="771A1658"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0300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97F63" w14:textId="77777777"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Expuneri în stare de nerambursare supuse unei ponderi de risc de 100%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8C95E" w14:textId="77777777"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3E08683F"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1CACD" w14:textId="23BDA8FB"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4555A67A"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E0865" w14:textId="577BD98C"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4E715"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2DAF29BB"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1C2AF" w14:textId="75E357E0"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0673EF" w14:textId="560BD744"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1C2F29F3" w14:textId="289B8E36" w:rsidR="00AE4138" w:rsidRPr="00E91D07" w:rsidRDefault="000006E9"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x</w:t>
            </w:r>
          </w:p>
        </w:tc>
      </w:tr>
      <w:tr w:rsidR="00AE4138" w:rsidRPr="00E91D07" w14:paraId="247B404C" w14:textId="586917E2"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23FD0" w14:textId="01DBBBD7"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0310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6F5D0" w14:textId="77777777"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Expuneri garantate cu ipoteci asupra bunurilor imobile locative</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111F1" w14:textId="77777777"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4023F7D3"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A1B2C" w14:textId="6394022A"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1A19281F"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151E9" w14:textId="01E06F44"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012E9"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5042F91A"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2687C" w14:textId="33E0C06E"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1F2FD9" w14:textId="1F4E2B3D"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52C61350" w14:textId="3539D610" w:rsidR="00AE4138" w:rsidRPr="00E91D07" w:rsidRDefault="000006E9"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x</w:t>
            </w:r>
          </w:p>
        </w:tc>
      </w:tr>
      <w:tr w:rsidR="00AE4138" w:rsidRPr="008844AC" w14:paraId="5090F4FA" w14:textId="13DFD894"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E5A63" w14:textId="1F0B8A9B"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0320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E3E79" w14:textId="77777777"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Expuneri în stare de nerambursare supuse unei ponderi de risc de 150%</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F9A7C" w14:textId="77777777" w:rsidR="00AE4138" w:rsidRPr="00E91D07" w:rsidRDefault="00AE4138" w:rsidP="00AE4138">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451FAC6C"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66635" w14:textId="3EE72914"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6D66C8F8"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BCCF5" w14:textId="5224EB61"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29458"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2B3397B5" w14:textId="77777777"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1B66E" w14:textId="345B3CAD" w:rsidR="00AE4138" w:rsidRPr="00E91D07" w:rsidRDefault="00AE4138"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807838" w14:textId="14DD8D58" w:rsidR="00AE4138" w:rsidRPr="00E91D07" w:rsidRDefault="00AE4138"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0D846A8E" w14:textId="581ADC3D" w:rsidR="00AE4138" w:rsidRPr="008844AC" w:rsidRDefault="000006E9" w:rsidP="00AE413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x</w:t>
            </w:r>
          </w:p>
        </w:tc>
      </w:tr>
      <w:tr w:rsidR="008373B4" w:rsidRPr="008844AC" w14:paraId="25B3A692" w14:textId="77777777" w:rsidTr="002162D3">
        <w:tc>
          <w:tcPr>
            <w:tcW w:w="62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270FD7" w14:textId="740B3194" w:rsidR="008373B4" w:rsidRPr="00E91D07" w:rsidRDefault="008373B4"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0330</w:t>
            </w:r>
          </w:p>
        </w:tc>
        <w:tc>
          <w:tcPr>
            <w:tcW w:w="17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97AA1C" w14:textId="6C79E40A" w:rsidR="008373B4" w:rsidRPr="00E91D07" w:rsidRDefault="008373B4" w:rsidP="00AE4138">
            <w:pPr>
              <w:spacing w:after="0" w:line="240" w:lineRule="auto"/>
              <w:rPr>
                <w:rFonts w:ascii="Times New Roman" w:eastAsia="Times New Roman" w:hAnsi="Times New Roman" w:cs="Times New Roman"/>
                <w:kern w:val="0"/>
                <w:lang w:eastAsia="ro-MD"/>
                <w14:ligatures w14:val="none"/>
              </w:rPr>
            </w:pPr>
            <w:r w:rsidRPr="008373B4">
              <w:rPr>
                <w:rFonts w:ascii="Times New Roman" w:eastAsia="Times New Roman" w:hAnsi="Times New Roman" w:cs="Times New Roman"/>
                <w:kern w:val="0"/>
                <w:lang w:eastAsia="ro-MD"/>
                <w14:ligatures w14:val="none"/>
              </w:rPr>
              <w:t>Achiziții, dezvoltare și construcții (ADC)</w:t>
            </w:r>
          </w:p>
        </w:tc>
        <w:tc>
          <w:tcPr>
            <w:tcW w:w="6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65C984" w14:textId="77777777" w:rsidR="008373B4" w:rsidRPr="00E91D07" w:rsidRDefault="008373B4" w:rsidP="00AE4138">
            <w:pPr>
              <w:spacing w:after="0" w:line="240" w:lineRule="auto"/>
              <w:rPr>
                <w:rFonts w:ascii="Times New Roman" w:eastAsia="Times New Roman" w:hAnsi="Times New Roman" w:cs="Times New Roman"/>
                <w:kern w:val="0"/>
                <w:lang w:eastAsia="ro-MD"/>
                <w14:ligatures w14:val="none"/>
              </w:rPr>
            </w:pPr>
          </w:p>
        </w:tc>
        <w:tc>
          <w:tcPr>
            <w:tcW w:w="554" w:type="dxa"/>
            <w:tcBorders>
              <w:top w:val="single" w:sz="6" w:space="0" w:color="000000"/>
              <w:left w:val="single" w:sz="6" w:space="0" w:color="000000"/>
              <w:bottom w:val="single" w:sz="6" w:space="0" w:color="000000"/>
              <w:right w:val="single" w:sz="6" w:space="0" w:color="000000"/>
            </w:tcBorders>
          </w:tcPr>
          <w:p w14:paraId="49F0A285" w14:textId="77777777" w:rsidR="008373B4" w:rsidRPr="00E91D07" w:rsidRDefault="008373B4"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6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97B2CA" w14:textId="77777777" w:rsidR="008373B4" w:rsidRPr="00E91D07" w:rsidRDefault="008373B4"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78" w:type="dxa"/>
            <w:tcBorders>
              <w:top w:val="single" w:sz="6" w:space="0" w:color="000000"/>
              <w:left w:val="single" w:sz="6" w:space="0" w:color="000000"/>
              <w:bottom w:val="single" w:sz="6" w:space="0" w:color="000000"/>
              <w:right w:val="single" w:sz="6" w:space="0" w:color="000000"/>
            </w:tcBorders>
          </w:tcPr>
          <w:p w14:paraId="69B2CD7E" w14:textId="77777777" w:rsidR="008373B4" w:rsidRPr="00E91D07" w:rsidRDefault="008373B4"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823A03" w14:textId="77777777" w:rsidR="008373B4" w:rsidRPr="00E91D07" w:rsidRDefault="008373B4"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5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DF83366" w14:textId="77777777" w:rsidR="008373B4" w:rsidRPr="00E91D07" w:rsidRDefault="008373B4"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1045" w:type="dxa"/>
            <w:tcBorders>
              <w:top w:val="single" w:sz="6" w:space="0" w:color="000000"/>
              <w:left w:val="single" w:sz="6" w:space="0" w:color="000000"/>
              <w:bottom w:val="single" w:sz="6" w:space="0" w:color="000000"/>
              <w:right w:val="single" w:sz="6" w:space="0" w:color="000000"/>
            </w:tcBorders>
          </w:tcPr>
          <w:p w14:paraId="55D88D45" w14:textId="77777777" w:rsidR="008373B4" w:rsidRPr="00E91D07" w:rsidRDefault="008373B4"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86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B07943" w14:textId="77777777" w:rsidR="008373B4" w:rsidRPr="00E91D07" w:rsidRDefault="008373B4" w:rsidP="00AE4138">
            <w:pPr>
              <w:spacing w:after="0" w:line="240" w:lineRule="auto"/>
              <w:jc w:val="center"/>
              <w:rPr>
                <w:rFonts w:ascii="Times New Roman" w:eastAsia="Times New Roman" w:hAnsi="Times New Roman" w:cs="Times New Roman"/>
                <w:kern w:val="0"/>
                <w:sz w:val="20"/>
                <w:szCs w:val="20"/>
                <w:lang w:eastAsia="ro-MD"/>
                <w14:ligatures w14:val="none"/>
              </w:rPr>
            </w:pPr>
          </w:p>
        </w:tc>
        <w:tc>
          <w:tcPr>
            <w:tcW w:w="49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290071" w14:textId="77777777" w:rsidR="008373B4" w:rsidRPr="00E91D07" w:rsidRDefault="008373B4" w:rsidP="00AE4138">
            <w:pPr>
              <w:spacing w:after="0" w:line="240" w:lineRule="auto"/>
              <w:jc w:val="center"/>
              <w:rPr>
                <w:rFonts w:ascii="Times New Roman" w:eastAsia="Times New Roman" w:hAnsi="Times New Roman" w:cs="Times New Roman"/>
                <w:kern w:val="0"/>
                <w:lang w:eastAsia="ro-MD"/>
                <w14:ligatures w14:val="none"/>
              </w:rPr>
            </w:pPr>
          </w:p>
        </w:tc>
        <w:tc>
          <w:tcPr>
            <w:tcW w:w="1266" w:type="dxa"/>
            <w:tcBorders>
              <w:top w:val="single" w:sz="6" w:space="0" w:color="000000"/>
              <w:left w:val="single" w:sz="6" w:space="0" w:color="000000"/>
              <w:bottom w:val="single" w:sz="6" w:space="0" w:color="000000"/>
              <w:right w:val="single" w:sz="6" w:space="0" w:color="000000"/>
            </w:tcBorders>
          </w:tcPr>
          <w:p w14:paraId="2002C7B1" w14:textId="5D297DAF" w:rsidR="008373B4" w:rsidRPr="00E91D07" w:rsidRDefault="000006E9" w:rsidP="00AE4138">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r>
    </w:tbl>
    <w:p w14:paraId="04FA3E5A" w14:textId="77777777" w:rsidR="00246996" w:rsidRDefault="00246996" w:rsidP="00246996">
      <w:pPr>
        <w:spacing w:after="0" w:line="240" w:lineRule="auto"/>
        <w:jc w:val="center"/>
        <w:sectPr w:rsidR="00246996" w:rsidSect="00061B39">
          <w:type w:val="continuous"/>
          <w:pgSz w:w="11906" w:h="16838"/>
          <w:pgMar w:top="1134" w:right="851" w:bottom="992" w:left="1701" w:header="709" w:footer="709" w:gutter="0"/>
          <w:cols w:space="708"/>
          <w:docGrid w:linePitch="360"/>
        </w:sectPr>
      </w:pPr>
    </w:p>
    <w:p w14:paraId="0F36C3BD" w14:textId="77777777" w:rsidR="00246996" w:rsidRDefault="00246996" w:rsidP="00246996">
      <w:pPr>
        <w:spacing w:after="0" w:line="240" w:lineRule="auto"/>
        <w:jc w:val="center"/>
        <w:sectPr w:rsidR="00246996" w:rsidSect="00061B39">
          <w:type w:val="continuous"/>
          <w:pgSz w:w="11906" w:h="16838"/>
          <w:pgMar w:top="1134" w:right="851" w:bottom="992" w:left="1701" w:header="709" w:footer="709" w:gutter="0"/>
          <w:cols w:space="708"/>
          <w:docGrid w:linePitch="360"/>
        </w:sectPr>
      </w:pPr>
    </w:p>
    <w:tbl>
      <w:tblPr>
        <w:tblW w:w="5000" w:type="pct"/>
        <w:tblCellMar>
          <w:top w:w="15" w:type="dxa"/>
          <w:left w:w="15" w:type="dxa"/>
          <w:bottom w:w="15" w:type="dxa"/>
          <w:right w:w="15" w:type="dxa"/>
        </w:tblCellMar>
        <w:tblLook w:val="04A0" w:firstRow="1" w:lastRow="0" w:firstColumn="1" w:lastColumn="0" w:noHBand="0" w:noVBand="1"/>
      </w:tblPr>
      <w:tblGrid>
        <w:gridCol w:w="631"/>
        <w:gridCol w:w="1681"/>
        <w:gridCol w:w="1335"/>
        <w:gridCol w:w="1059"/>
        <w:gridCol w:w="1142"/>
        <w:gridCol w:w="1335"/>
        <w:gridCol w:w="957"/>
        <w:gridCol w:w="1198"/>
      </w:tblGrid>
      <w:tr w:rsidR="00246996" w:rsidRPr="008844AC" w14:paraId="665ACE34" w14:textId="77777777" w:rsidTr="00B47F18">
        <w:tc>
          <w:tcPr>
            <w:tcW w:w="634"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tcPr>
          <w:p w14:paraId="5A80599D" w14:textId="77777777" w:rsidR="00246996" w:rsidRDefault="00246996" w:rsidP="00246996">
            <w:pPr>
              <w:spacing w:after="0" w:line="240" w:lineRule="auto"/>
              <w:jc w:val="center"/>
              <w:rPr>
                <w:rFonts w:ascii="Times New Roman" w:eastAsia="Times New Roman" w:hAnsi="Times New Roman" w:cs="Times New Roman"/>
                <w:b/>
                <w:bCs/>
                <w:kern w:val="0"/>
                <w:lang w:eastAsia="ro-MD"/>
                <w14:ligatures w14:val="none"/>
              </w:rPr>
            </w:pPr>
            <w:r>
              <w:lastRenderedPageBreak/>
              <w:br w:type="page"/>
            </w:r>
          </w:p>
          <w:p w14:paraId="08FAB6B4" w14:textId="77777777" w:rsidR="00246996" w:rsidRDefault="00246996" w:rsidP="00246996">
            <w:pPr>
              <w:spacing w:after="0" w:line="240" w:lineRule="auto"/>
              <w:jc w:val="center"/>
              <w:rPr>
                <w:rFonts w:ascii="Times New Roman" w:eastAsia="Times New Roman" w:hAnsi="Times New Roman" w:cs="Times New Roman"/>
                <w:b/>
                <w:bCs/>
                <w:kern w:val="0"/>
                <w:lang w:eastAsia="ro-MD"/>
                <w14:ligatures w14:val="none"/>
              </w:rPr>
            </w:pPr>
          </w:p>
          <w:p w14:paraId="2548CA85" w14:textId="153FC2A1" w:rsidR="00246996" w:rsidRDefault="00246996" w:rsidP="00246996">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 xml:space="preserve">Cod </w:t>
            </w:r>
            <w:proofErr w:type="spellStart"/>
            <w:r w:rsidRPr="008844AC">
              <w:rPr>
                <w:rFonts w:ascii="Times New Roman" w:eastAsia="Times New Roman" w:hAnsi="Times New Roman" w:cs="Times New Roman"/>
                <w:b/>
                <w:bCs/>
                <w:kern w:val="0"/>
                <w:lang w:eastAsia="ro-MD"/>
                <w14:ligatures w14:val="none"/>
              </w:rPr>
              <w:t>poziţie</w:t>
            </w:r>
            <w:proofErr w:type="spellEnd"/>
          </w:p>
        </w:tc>
        <w:tc>
          <w:tcPr>
            <w:tcW w:w="1549"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tcPr>
          <w:p w14:paraId="748E20C9" w14:textId="7045BC61" w:rsidR="00246996" w:rsidRPr="008844AC" w:rsidRDefault="00B47F18" w:rsidP="00246996">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Clasele de expuneri din SA</w:t>
            </w:r>
            <w:r w:rsidR="00246996" w:rsidRPr="008844AC">
              <w:rPr>
                <w:rFonts w:ascii="Times New Roman" w:eastAsia="Times New Roman" w:hAnsi="Times New Roman" w:cs="Times New Roman"/>
                <w:b/>
                <w:bCs/>
                <w:kern w:val="0"/>
                <w:lang w:eastAsia="ro-MD"/>
                <w14:ligatures w14:val="none"/>
              </w:rPr>
              <w:t> </w:t>
            </w:r>
          </w:p>
        </w:tc>
        <w:tc>
          <w:tcPr>
            <w:tcW w:w="1339"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tcPr>
          <w:p w14:paraId="0B8CC25F" w14:textId="63E2BC7F" w:rsidR="00246996" w:rsidRPr="008844AC" w:rsidRDefault="00246996" w:rsidP="00246996">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 xml:space="preserve">Cuantumul ponderat la risc al expunerii înainte de aplicarea factorului de sprijinire </w:t>
            </w:r>
            <w:r>
              <w:rPr>
                <w:rFonts w:ascii="Times New Roman" w:eastAsia="Times New Roman" w:hAnsi="Times New Roman" w:cs="Times New Roman"/>
                <w:b/>
                <w:bCs/>
                <w:kern w:val="0"/>
                <w:lang w:val="ro-RO" w:eastAsia="ro-MD"/>
                <w14:ligatures w14:val="none"/>
              </w:rPr>
              <w:t>și de luare în calcul a neconcordanței valutare</w:t>
            </w:r>
          </w:p>
        </w:tc>
        <w:tc>
          <w:tcPr>
            <w:tcW w:w="1063" w:type="dxa"/>
            <w:vMerge w:val="restart"/>
            <w:tcBorders>
              <w:top w:val="single" w:sz="6" w:space="0" w:color="000000"/>
              <w:left w:val="single" w:sz="6" w:space="0" w:color="000000"/>
              <w:right w:val="single" w:sz="6" w:space="0" w:color="000000"/>
            </w:tcBorders>
            <w:shd w:val="clear" w:color="auto" w:fill="F0F0F0"/>
          </w:tcPr>
          <w:p w14:paraId="32097A06" w14:textId="0BE44885" w:rsidR="00246996" w:rsidRPr="000274C8" w:rsidRDefault="00246996" w:rsidP="00246996">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 Ajustarea cuantumului ponderat la risc al expunerii ca urmare a factorului de sprijinire a IMM-urilor</w:t>
            </w:r>
          </w:p>
        </w:tc>
        <w:tc>
          <w:tcPr>
            <w:tcW w:w="1147" w:type="dxa"/>
            <w:vMerge w:val="restart"/>
            <w:tcBorders>
              <w:top w:val="single" w:sz="6" w:space="0" w:color="000000"/>
              <w:left w:val="single" w:sz="6" w:space="0" w:color="000000"/>
              <w:right w:val="single" w:sz="6" w:space="0" w:color="000000"/>
            </w:tcBorders>
            <w:shd w:val="clear" w:color="auto" w:fill="F0F0F0"/>
          </w:tcPr>
          <w:p w14:paraId="309B04E8" w14:textId="4DF57B0E" w:rsidR="00246996" w:rsidRPr="000274C8" w:rsidRDefault="00246996" w:rsidP="00246996">
            <w:pPr>
              <w:spacing w:after="0" w:line="240" w:lineRule="auto"/>
              <w:jc w:val="center"/>
              <w:rPr>
                <w:rFonts w:ascii="Times New Roman" w:eastAsia="Times New Roman" w:hAnsi="Times New Roman" w:cs="Times New Roman"/>
                <w:b/>
                <w:bCs/>
                <w:kern w:val="0"/>
                <w:lang w:eastAsia="ro-MD"/>
                <w14:ligatures w14:val="none"/>
              </w:rPr>
            </w:pPr>
            <w:r w:rsidRPr="000274C8">
              <w:rPr>
                <w:rFonts w:ascii="Times New Roman" w:eastAsia="Times New Roman" w:hAnsi="Times New Roman" w:cs="Times New Roman"/>
                <w:b/>
                <w:bCs/>
                <w:kern w:val="0"/>
                <w:lang w:eastAsia="ro-MD"/>
                <w14:ligatures w14:val="none"/>
              </w:rPr>
              <w:t>(-) Ajustarea cuantumului ponderat la risc al expunerii ca urmare a factorului de sprijinire a infrastructuri i</w:t>
            </w:r>
          </w:p>
        </w:tc>
        <w:tc>
          <w:tcPr>
            <w:tcW w:w="1339"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tcPr>
          <w:p w14:paraId="4618121F" w14:textId="04BDE50C" w:rsidR="00246996" w:rsidRPr="008844AC" w:rsidRDefault="00246996" w:rsidP="00246996">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Cuantumul ponderat la risc al expunerii după aplicarea factorului de sprijinire</w:t>
            </w:r>
            <w:r>
              <w:rPr>
                <w:rFonts w:ascii="Times New Roman" w:eastAsia="Times New Roman" w:hAnsi="Times New Roman" w:cs="Times New Roman"/>
                <w:b/>
                <w:bCs/>
                <w:kern w:val="0"/>
                <w:lang w:eastAsia="ro-MD"/>
                <w14:ligatures w14:val="none"/>
              </w:rPr>
              <w:t xml:space="preserve"> și luarea în calcul a neconcordanței valutare</w:t>
            </w:r>
          </w:p>
        </w:tc>
        <w:tc>
          <w:tcPr>
            <w:tcW w:w="96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14:paraId="65477B86" w14:textId="77777777" w:rsidR="00246996" w:rsidRDefault="00246996" w:rsidP="00246996">
            <w:pPr>
              <w:spacing w:after="0" w:line="240" w:lineRule="auto"/>
              <w:jc w:val="center"/>
              <w:rPr>
                <w:rFonts w:ascii="Times New Roman" w:eastAsia="Times New Roman" w:hAnsi="Times New Roman" w:cs="Times New Roman"/>
                <w:b/>
                <w:bCs/>
                <w:kern w:val="0"/>
                <w:lang w:eastAsia="ro-MD"/>
                <w14:ligatures w14:val="none"/>
              </w:rPr>
            </w:pPr>
          </w:p>
          <w:p w14:paraId="6AFA963C" w14:textId="77777777" w:rsidR="00D90AA2" w:rsidRDefault="00D90AA2" w:rsidP="00246996">
            <w:pPr>
              <w:spacing w:after="0" w:line="240" w:lineRule="auto"/>
              <w:jc w:val="center"/>
              <w:rPr>
                <w:rFonts w:ascii="Times New Roman" w:eastAsia="Times New Roman" w:hAnsi="Times New Roman" w:cs="Times New Roman"/>
                <w:b/>
                <w:bCs/>
                <w:kern w:val="0"/>
                <w:lang w:eastAsia="ro-MD"/>
                <w14:ligatures w14:val="none"/>
              </w:rPr>
            </w:pPr>
          </w:p>
          <w:p w14:paraId="1BDABBAE" w14:textId="77777777" w:rsidR="00D90AA2" w:rsidRDefault="00D90AA2" w:rsidP="00246996">
            <w:pPr>
              <w:spacing w:after="0" w:line="240" w:lineRule="auto"/>
              <w:jc w:val="center"/>
              <w:rPr>
                <w:rFonts w:ascii="Times New Roman" w:eastAsia="Times New Roman" w:hAnsi="Times New Roman" w:cs="Times New Roman"/>
                <w:b/>
                <w:bCs/>
                <w:kern w:val="0"/>
                <w:lang w:eastAsia="ro-MD"/>
                <w14:ligatures w14:val="none"/>
              </w:rPr>
            </w:pPr>
          </w:p>
          <w:p w14:paraId="1AF6C0E5" w14:textId="77777777" w:rsidR="00D90AA2" w:rsidRDefault="00D90AA2" w:rsidP="00246996">
            <w:pPr>
              <w:spacing w:after="0" w:line="240" w:lineRule="auto"/>
              <w:jc w:val="center"/>
              <w:rPr>
                <w:rFonts w:ascii="Times New Roman" w:eastAsia="Times New Roman" w:hAnsi="Times New Roman" w:cs="Times New Roman"/>
                <w:b/>
                <w:bCs/>
                <w:kern w:val="0"/>
                <w:lang w:eastAsia="ro-MD"/>
                <w14:ligatures w14:val="none"/>
              </w:rPr>
            </w:pPr>
          </w:p>
          <w:p w14:paraId="0EDF33D2" w14:textId="77777777" w:rsidR="00D90AA2" w:rsidRDefault="00D90AA2" w:rsidP="00246996">
            <w:pPr>
              <w:spacing w:after="0" w:line="240" w:lineRule="auto"/>
              <w:jc w:val="center"/>
              <w:rPr>
                <w:rFonts w:ascii="Times New Roman" w:eastAsia="Times New Roman" w:hAnsi="Times New Roman" w:cs="Times New Roman"/>
                <w:b/>
                <w:bCs/>
                <w:kern w:val="0"/>
                <w:lang w:eastAsia="ro-MD"/>
                <w14:ligatures w14:val="none"/>
              </w:rPr>
            </w:pPr>
          </w:p>
          <w:p w14:paraId="0BD13721" w14:textId="77777777" w:rsidR="00D90AA2" w:rsidRDefault="00D90AA2" w:rsidP="00246996">
            <w:pPr>
              <w:spacing w:after="0" w:line="240" w:lineRule="auto"/>
              <w:jc w:val="center"/>
              <w:rPr>
                <w:rFonts w:ascii="Times New Roman" w:eastAsia="Times New Roman" w:hAnsi="Times New Roman" w:cs="Times New Roman"/>
                <w:b/>
                <w:bCs/>
                <w:kern w:val="0"/>
                <w:lang w:eastAsia="ro-MD"/>
                <w14:ligatures w14:val="none"/>
              </w:rPr>
            </w:pPr>
          </w:p>
          <w:p w14:paraId="5429EF4F" w14:textId="77777777" w:rsidR="00D90AA2" w:rsidRDefault="00D90AA2" w:rsidP="00246996">
            <w:pPr>
              <w:spacing w:after="0" w:line="240" w:lineRule="auto"/>
              <w:jc w:val="center"/>
              <w:rPr>
                <w:rFonts w:ascii="Times New Roman" w:eastAsia="Times New Roman" w:hAnsi="Times New Roman" w:cs="Times New Roman"/>
                <w:b/>
                <w:bCs/>
                <w:kern w:val="0"/>
                <w:lang w:eastAsia="ro-MD"/>
                <w14:ligatures w14:val="none"/>
              </w:rPr>
            </w:pPr>
          </w:p>
          <w:p w14:paraId="7870D89D" w14:textId="77777777" w:rsidR="00D90AA2" w:rsidRDefault="00D90AA2" w:rsidP="00246996">
            <w:pPr>
              <w:spacing w:after="0" w:line="240" w:lineRule="auto"/>
              <w:jc w:val="center"/>
              <w:rPr>
                <w:rFonts w:ascii="Times New Roman" w:eastAsia="Times New Roman" w:hAnsi="Times New Roman" w:cs="Times New Roman"/>
                <w:b/>
                <w:bCs/>
                <w:kern w:val="0"/>
                <w:lang w:eastAsia="ro-MD"/>
                <w14:ligatures w14:val="none"/>
              </w:rPr>
            </w:pPr>
          </w:p>
          <w:p w14:paraId="688B3A88" w14:textId="77777777" w:rsidR="00D90AA2" w:rsidRDefault="00D90AA2" w:rsidP="00246996">
            <w:pPr>
              <w:spacing w:after="0" w:line="240" w:lineRule="auto"/>
              <w:jc w:val="center"/>
              <w:rPr>
                <w:rFonts w:ascii="Times New Roman" w:eastAsia="Times New Roman" w:hAnsi="Times New Roman" w:cs="Times New Roman"/>
                <w:b/>
                <w:bCs/>
                <w:kern w:val="0"/>
                <w:lang w:eastAsia="ro-MD"/>
                <w14:ligatures w14:val="none"/>
              </w:rPr>
            </w:pPr>
          </w:p>
          <w:p w14:paraId="0A9FD4F7" w14:textId="77777777" w:rsidR="00D90AA2" w:rsidRDefault="00D90AA2" w:rsidP="00246996">
            <w:pPr>
              <w:spacing w:after="0" w:line="240" w:lineRule="auto"/>
              <w:jc w:val="center"/>
              <w:rPr>
                <w:rFonts w:ascii="Times New Roman" w:eastAsia="Times New Roman" w:hAnsi="Times New Roman" w:cs="Times New Roman"/>
                <w:b/>
                <w:bCs/>
                <w:kern w:val="0"/>
                <w:lang w:eastAsia="ro-MD"/>
                <w14:ligatures w14:val="none"/>
              </w:rPr>
            </w:pPr>
          </w:p>
          <w:p w14:paraId="633DF02B" w14:textId="77777777" w:rsidR="00D90AA2" w:rsidRDefault="00D90AA2" w:rsidP="00246996">
            <w:pPr>
              <w:spacing w:after="0" w:line="240" w:lineRule="auto"/>
              <w:jc w:val="center"/>
              <w:rPr>
                <w:rFonts w:ascii="Times New Roman" w:eastAsia="Times New Roman" w:hAnsi="Times New Roman" w:cs="Times New Roman"/>
                <w:b/>
                <w:bCs/>
                <w:kern w:val="0"/>
                <w:lang w:eastAsia="ro-MD"/>
                <w14:ligatures w14:val="none"/>
              </w:rPr>
            </w:pPr>
          </w:p>
          <w:p w14:paraId="098C1090" w14:textId="77777777" w:rsidR="00D90AA2" w:rsidRDefault="00D90AA2" w:rsidP="00246996">
            <w:pPr>
              <w:spacing w:after="0" w:line="240" w:lineRule="auto"/>
              <w:jc w:val="center"/>
              <w:rPr>
                <w:rFonts w:ascii="Times New Roman" w:eastAsia="Times New Roman" w:hAnsi="Times New Roman" w:cs="Times New Roman"/>
                <w:b/>
                <w:bCs/>
                <w:kern w:val="0"/>
                <w:lang w:eastAsia="ro-MD"/>
                <w14:ligatures w14:val="none"/>
              </w:rPr>
            </w:pPr>
          </w:p>
          <w:p w14:paraId="621167A6" w14:textId="77777777" w:rsidR="00D90AA2" w:rsidRDefault="00D90AA2" w:rsidP="00246996">
            <w:pPr>
              <w:spacing w:after="0" w:line="240" w:lineRule="auto"/>
              <w:jc w:val="center"/>
              <w:rPr>
                <w:rFonts w:ascii="Times New Roman" w:eastAsia="Times New Roman" w:hAnsi="Times New Roman" w:cs="Times New Roman"/>
                <w:b/>
                <w:bCs/>
                <w:kern w:val="0"/>
                <w:lang w:eastAsia="ro-MD"/>
                <w14:ligatures w14:val="none"/>
              </w:rPr>
            </w:pPr>
          </w:p>
          <w:p w14:paraId="247C00F0" w14:textId="77777777" w:rsidR="00D90AA2" w:rsidRPr="008844AC" w:rsidRDefault="00D90AA2" w:rsidP="00246996">
            <w:pPr>
              <w:spacing w:after="0" w:line="240" w:lineRule="auto"/>
              <w:jc w:val="center"/>
              <w:rPr>
                <w:rFonts w:ascii="Times New Roman" w:eastAsia="Times New Roman" w:hAnsi="Times New Roman" w:cs="Times New Roman"/>
                <w:b/>
                <w:bCs/>
                <w:kern w:val="0"/>
                <w:lang w:eastAsia="ro-MD"/>
                <w14:ligatures w14:val="none"/>
              </w:rPr>
            </w:pPr>
          </w:p>
        </w:tc>
        <w:tc>
          <w:tcPr>
            <w:tcW w:w="1307" w:type="dxa"/>
            <w:vMerge w:val="restart"/>
            <w:tcBorders>
              <w:top w:val="single" w:sz="6" w:space="0" w:color="000000"/>
              <w:left w:val="single" w:sz="6" w:space="0" w:color="000000"/>
              <w:right w:val="single" w:sz="6" w:space="0" w:color="000000"/>
            </w:tcBorders>
            <w:shd w:val="clear" w:color="auto" w:fill="F0F0F0"/>
            <w:tcMar>
              <w:top w:w="24" w:type="dxa"/>
              <w:left w:w="48" w:type="dxa"/>
              <w:bottom w:w="24" w:type="dxa"/>
              <w:right w:w="48" w:type="dxa"/>
            </w:tcMar>
          </w:tcPr>
          <w:p w14:paraId="0CF597CA" w14:textId="77777777" w:rsidR="00246996" w:rsidRPr="00AF6B97" w:rsidRDefault="00246996" w:rsidP="00A84D2B">
            <w:pPr>
              <w:pStyle w:val="InstructionsText"/>
            </w:pPr>
            <w:r w:rsidRPr="00AF6B97">
              <w:t>Element memorandum: RWEA legat de impactul aplicării dispozițiilor tranzitorii privind factorul de conversie a creditului pentru angajamentele care pot fi revocate necondiționat</w:t>
            </w:r>
          </w:p>
          <w:p w14:paraId="443CAA37" w14:textId="483F031C" w:rsidR="00246996" w:rsidRPr="007B516D" w:rsidRDefault="00246996" w:rsidP="00246996">
            <w:pPr>
              <w:spacing w:after="0" w:line="240" w:lineRule="auto"/>
            </w:pPr>
          </w:p>
        </w:tc>
      </w:tr>
      <w:tr w:rsidR="00246996" w:rsidRPr="008844AC" w14:paraId="2BA7135A" w14:textId="77777777" w:rsidTr="00B47F18">
        <w:tc>
          <w:tcPr>
            <w:tcW w:w="634"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49D45D" w14:textId="69862683" w:rsidR="00246996" w:rsidRPr="008844AC" w:rsidRDefault="00246996" w:rsidP="00246996">
            <w:pPr>
              <w:spacing w:after="0" w:line="240" w:lineRule="auto"/>
              <w:jc w:val="center"/>
              <w:rPr>
                <w:rFonts w:ascii="Times New Roman" w:eastAsia="Times New Roman" w:hAnsi="Times New Roman" w:cs="Times New Roman"/>
                <w:kern w:val="0"/>
                <w:lang w:eastAsia="ro-MD"/>
                <w14:ligatures w14:val="none"/>
              </w:rPr>
            </w:pPr>
          </w:p>
        </w:tc>
        <w:tc>
          <w:tcPr>
            <w:tcW w:w="1549"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64B8B7" w14:textId="38CB7C0F" w:rsidR="00246996" w:rsidRPr="008844AC" w:rsidRDefault="00246996" w:rsidP="00246996">
            <w:pPr>
              <w:spacing w:after="0" w:line="240" w:lineRule="auto"/>
              <w:jc w:val="center"/>
              <w:rPr>
                <w:rFonts w:ascii="Times New Roman" w:eastAsia="Times New Roman" w:hAnsi="Times New Roman" w:cs="Times New Roman"/>
                <w:b/>
                <w:bCs/>
                <w:kern w:val="0"/>
                <w:lang w:eastAsia="ro-MD"/>
                <w14:ligatures w14:val="none"/>
              </w:rPr>
            </w:pPr>
          </w:p>
        </w:tc>
        <w:tc>
          <w:tcPr>
            <w:tcW w:w="1339"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80F48E1" w14:textId="6AA1FFE4" w:rsidR="00246996" w:rsidRPr="007B516D" w:rsidRDefault="00246996" w:rsidP="00246996">
            <w:pPr>
              <w:spacing w:after="0" w:line="240" w:lineRule="auto"/>
              <w:jc w:val="center"/>
              <w:rPr>
                <w:rFonts w:ascii="Times New Roman" w:eastAsia="Times New Roman" w:hAnsi="Times New Roman" w:cs="Times New Roman"/>
                <w:b/>
                <w:bCs/>
                <w:kern w:val="0"/>
                <w:lang w:val="ro-RO" w:eastAsia="ro-MD"/>
                <w14:ligatures w14:val="none"/>
              </w:rPr>
            </w:pPr>
          </w:p>
        </w:tc>
        <w:tc>
          <w:tcPr>
            <w:tcW w:w="1063" w:type="dxa"/>
            <w:vMerge/>
            <w:tcBorders>
              <w:left w:val="single" w:sz="6" w:space="0" w:color="000000"/>
              <w:bottom w:val="single" w:sz="6" w:space="0" w:color="000000"/>
              <w:right w:val="single" w:sz="6" w:space="0" w:color="000000"/>
            </w:tcBorders>
            <w:shd w:val="clear" w:color="auto" w:fill="F0F0F0"/>
          </w:tcPr>
          <w:p w14:paraId="6D6BB814" w14:textId="350B41B3" w:rsidR="00246996" w:rsidRPr="00237CCF" w:rsidRDefault="00246996" w:rsidP="00246996">
            <w:pPr>
              <w:spacing w:after="0" w:line="240" w:lineRule="auto"/>
              <w:jc w:val="center"/>
              <w:rPr>
                <w:rFonts w:ascii="Times New Roman" w:eastAsia="Times New Roman" w:hAnsi="Times New Roman" w:cs="Times New Roman"/>
                <w:b/>
                <w:bCs/>
                <w:kern w:val="0"/>
                <w:highlight w:val="yellow"/>
                <w:lang w:eastAsia="ro-MD"/>
                <w14:ligatures w14:val="none"/>
              </w:rPr>
            </w:pPr>
          </w:p>
        </w:tc>
        <w:tc>
          <w:tcPr>
            <w:tcW w:w="1147" w:type="dxa"/>
            <w:vMerge/>
            <w:tcBorders>
              <w:left w:val="single" w:sz="6" w:space="0" w:color="000000"/>
              <w:bottom w:val="single" w:sz="6" w:space="0" w:color="000000"/>
              <w:right w:val="single" w:sz="6" w:space="0" w:color="000000"/>
            </w:tcBorders>
            <w:shd w:val="clear" w:color="auto" w:fill="F0F0F0"/>
          </w:tcPr>
          <w:p w14:paraId="5881B706" w14:textId="364D48FA" w:rsidR="00246996" w:rsidRPr="00237CCF" w:rsidRDefault="00246996" w:rsidP="00246996">
            <w:pPr>
              <w:spacing w:after="0" w:line="240" w:lineRule="auto"/>
              <w:jc w:val="center"/>
              <w:rPr>
                <w:rFonts w:ascii="Times New Roman" w:eastAsia="Times New Roman" w:hAnsi="Times New Roman" w:cs="Times New Roman"/>
                <w:b/>
                <w:bCs/>
                <w:kern w:val="0"/>
                <w:highlight w:val="yellow"/>
                <w:lang w:eastAsia="ro-MD"/>
                <w14:ligatures w14:val="none"/>
              </w:rPr>
            </w:pPr>
          </w:p>
        </w:tc>
        <w:tc>
          <w:tcPr>
            <w:tcW w:w="1339"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357406B" w14:textId="3CD64FBD" w:rsidR="00246996" w:rsidRPr="008844AC" w:rsidRDefault="00246996" w:rsidP="00246996">
            <w:pPr>
              <w:spacing w:after="0" w:line="240" w:lineRule="auto"/>
              <w:jc w:val="center"/>
              <w:rPr>
                <w:rFonts w:ascii="Times New Roman" w:eastAsia="Times New Roman" w:hAnsi="Times New Roman" w:cs="Times New Roman"/>
                <w:b/>
                <w:bCs/>
                <w:kern w:val="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4EF72D" w14:textId="5C9AB9B9" w:rsidR="00246996" w:rsidRPr="008844AC" w:rsidRDefault="00246996" w:rsidP="000274C8">
            <w:pPr>
              <w:spacing w:after="0" w:line="240" w:lineRule="auto"/>
              <w:jc w:val="center"/>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 xml:space="preserve">din care: cu o evaluare a creditului efectuată de o </w:t>
            </w:r>
            <w:r w:rsidR="001D169C">
              <w:rPr>
                <w:rFonts w:ascii="Times New Roman" w:eastAsia="Times New Roman" w:hAnsi="Times New Roman" w:cs="Times New Roman"/>
                <w:b/>
                <w:bCs/>
                <w:kern w:val="0"/>
                <w:lang w:eastAsia="ro-MD"/>
                <w14:ligatures w14:val="none"/>
              </w:rPr>
              <w:t>societate</w:t>
            </w:r>
            <w:r w:rsidRPr="008844AC">
              <w:rPr>
                <w:rFonts w:ascii="Times New Roman" w:eastAsia="Times New Roman" w:hAnsi="Times New Roman" w:cs="Times New Roman"/>
                <w:b/>
                <w:bCs/>
                <w:kern w:val="0"/>
                <w:lang w:eastAsia="ro-MD"/>
                <w14:ligatures w14:val="none"/>
              </w:rPr>
              <w:t xml:space="preserve"> externă de evaluare a creditului desemnată</w:t>
            </w:r>
          </w:p>
        </w:tc>
        <w:tc>
          <w:tcPr>
            <w:tcW w:w="1307" w:type="dxa"/>
            <w:vMerge/>
            <w:tcBorders>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92D94C" w14:textId="47972865" w:rsidR="00246996" w:rsidRPr="007B516D" w:rsidRDefault="00246996" w:rsidP="00246996">
            <w:pPr>
              <w:spacing w:after="0" w:line="240" w:lineRule="auto"/>
              <w:rPr>
                <w:rFonts w:ascii="Times New Roman" w:eastAsia="Times New Roman" w:hAnsi="Times New Roman" w:cs="Times New Roman"/>
                <w:b/>
                <w:bCs/>
                <w:kern w:val="0"/>
                <w:lang w:eastAsia="ro-MD"/>
                <w14:ligatures w14:val="none"/>
              </w:rPr>
            </w:pPr>
          </w:p>
        </w:tc>
      </w:tr>
      <w:tr w:rsidR="00061B39" w:rsidRPr="008844AC" w14:paraId="2BAD6B79" w14:textId="77777777" w:rsidTr="00B47F18">
        <w:tc>
          <w:tcPr>
            <w:tcW w:w="6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9E215D" w14:textId="31E7CF25" w:rsidR="0044252E" w:rsidRPr="008844AC" w:rsidRDefault="0044252E" w:rsidP="00246996">
            <w:pPr>
              <w:spacing w:after="0" w:line="240" w:lineRule="auto"/>
              <w:jc w:val="center"/>
              <w:rPr>
                <w:rFonts w:ascii="Times New Roman" w:eastAsia="Times New Roman" w:hAnsi="Times New Roman" w:cs="Times New Roman"/>
                <w:kern w:val="0"/>
                <w:lang w:eastAsia="ro-MD"/>
                <w14:ligatures w14:val="none"/>
              </w:rPr>
            </w:pPr>
          </w:p>
        </w:tc>
        <w:tc>
          <w:tcPr>
            <w:tcW w:w="154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72B312" w14:textId="77777777" w:rsidR="0044252E" w:rsidRPr="008844AC" w:rsidRDefault="0044252E" w:rsidP="00246996">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4C7B8D" w14:textId="5AB254D8" w:rsidR="0044252E" w:rsidRPr="008844AC" w:rsidRDefault="00E63527" w:rsidP="00246996">
            <w:pPr>
              <w:spacing w:after="0" w:line="240" w:lineRule="auto"/>
              <w:jc w:val="center"/>
              <w:rPr>
                <w:rFonts w:ascii="Times New Roman" w:eastAsia="Times New Roman" w:hAnsi="Times New Roman" w:cs="Times New Roman"/>
                <w:b/>
                <w:bCs/>
                <w:kern w:val="0"/>
                <w:lang w:eastAsia="ro-MD"/>
                <w14:ligatures w14:val="none"/>
              </w:rPr>
            </w:pPr>
            <w:r>
              <w:rPr>
                <w:rFonts w:ascii="Times New Roman" w:eastAsia="Times New Roman" w:hAnsi="Times New Roman" w:cs="Times New Roman"/>
                <w:b/>
                <w:bCs/>
                <w:kern w:val="0"/>
                <w:lang w:eastAsia="ro-MD"/>
                <w14:ligatures w14:val="none"/>
              </w:rPr>
              <w:t>0</w:t>
            </w:r>
            <w:r w:rsidR="0044252E" w:rsidRPr="008844AC">
              <w:rPr>
                <w:rFonts w:ascii="Times New Roman" w:eastAsia="Times New Roman" w:hAnsi="Times New Roman" w:cs="Times New Roman"/>
                <w:b/>
                <w:bCs/>
                <w:kern w:val="0"/>
                <w:lang w:eastAsia="ro-MD"/>
                <w14:ligatures w14:val="none"/>
              </w:rPr>
              <w:t>215</w:t>
            </w:r>
          </w:p>
        </w:tc>
        <w:tc>
          <w:tcPr>
            <w:tcW w:w="1063" w:type="dxa"/>
            <w:tcBorders>
              <w:top w:val="single" w:sz="6" w:space="0" w:color="000000"/>
              <w:left w:val="single" w:sz="6" w:space="0" w:color="000000"/>
              <w:bottom w:val="single" w:sz="6" w:space="0" w:color="000000"/>
              <w:right w:val="single" w:sz="6" w:space="0" w:color="000000"/>
            </w:tcBorders>
            <w:shd w:val="clear" w:color="auto" w:fill="F0F0F0"/>
          </w:tcPr>
          <w:p w14:paraId="142CAB0A" w14:textId="076FFCB3" w:rsidR="0044252E" w:rsidRPr="008844AC" w:rsidRDefault="00E63527" w:rsidP="00246996">
            <w:pPr>
              <w:spacing w:after="0" w:line="240" w:lineRule="auto"/>
              <w:jc w:val="center"/>
              <w:rPr>
                <w:rFonts w:ascii="Times New Roman" w:eastAsia="Times New Roman" w:hAnsi="Times New Roman" w:cs="Times New Roman"/>
                <w:b/>
                <w:bCs/>
                <w:kern w:val="0"/>
                <w:lang w:eastAsia="ro-MD"/>
                <w14:ligatures w14:val="none"/>
              </w:rPr>
            </w:pPr>
            <w:r>
              <w:rPr>
                <w:rFonts w:ascii="Times New Roman" w:eastAsia="Times New Roman" w:hAnsi="Times New Roman" w:cs="Times New Roman"/>
                <w:b/>
                <w:bCs/>
                <w:kern w:val="0"/>
                <w:lang w:eastAsia="ro-MD"/>
                <w14:ligatures w14:val="none"/>
              </w:rPr>
              <w:t>0</w:t>
            </w:r>
            <w:r w:rsidR="0044252E">
              <w:rPr>
                <w:rFonts w:ascii="Times New Roman" w:eastAsia="Times New Roman" w:hAnsi="Times New Roman" w:cs="Times New Roman"/>
                <w:b/>
                <w:bCs/>
                <w:kern w:val="0"/>
                <w:lang w:eastAsia="ro-MD"/>
                <w14:ligatures w14:val="none"/>
              </w:rPr>
              <w:t>216</w:t>
            </w:r>
          </w:p>
        </w:tc>
        <w:tc>
          <w:tcPr>
            <w:tcW w:w="1147" w:type="dxa"/>
            <w:tcBorders>
              <w:top w:val="single" w:sz="6" w:space="0" w:color="000000"/>
              <w:left w:val="single" w:sz="6" w:space="0" w:color="000000"/>
              <w:bottom w:val="single" w:sz="6" w:space="0" w:color="000000"/>
              <w:right w:val="single" w:sz="6" w:space="0" w:color="000000"/>
            </w:tcBorders>
            <w:shd w:val="clear" w:color="auto" w:fill="F0F0F0"/>
          </w:tcPr>
          <w:p w14:paraId="10AA57CE" w14:textId="7FDE2D9F" w:rsidR="0044252E" w:rsidRPr="008844AC" w:rsidRDefault="00E63527" w:rsidP="00246996">
            <w:pPr>
              <w:spacing w:after="0" w:line="240" w:lineRule="auto"/>
              <w:jc w:val="center"/>
              <w:rPr>
                <w:rFonts w:ascii="Times New Roman" w:eastAsia="Times New Roman" w:hAnsi="Times New Roman" w:cs="Times New Roman"/>
                <w:b/>
                <w:bCs/>
                <w:kern w:val="0"/>
                <w:lang w:eastAsia="ro-MD"/>
                <w14:ligatures w14:val="none"/>
              </w:rPr>
            </w:pPr>
            <w:r>
              <w:rPr>
                <w:rFonts w:ascii="Times New Roman" w:eastAsia="Times New Roman" w:hAnsi="Times New Roman" w:cs="Times New Roman"/>
                <w:b/>
                <w:bCs/>
                <w:kern w:val="0"/>
                <w:lang w:eastAsia="ro-MD"/>
                <w14:ligatures w14:val="none"/>
              </w:rPr>
              <w:t>0</w:t>
            </w:r>
            <w:r w:rsidR="0044252E">
              <w:rPr>
                <w:rFonts w:ascii="Times New Roman" w:eastAsia="Times New Roman" w:hAnsi="Times New Roman" w:cs="Times New Roman"/>
                <w:b/>
                <w:bCs/>
                <w:kern w:val="0"/>
                <w:lang w:eastAsia="ro-MD"/>
                <w14:ligatures w14:val="none"/>
              </w:rPr>
              <w:t>217</w:t>
            </w:r>
          </w:p>
        </w:tc>
        <w:tc>
          <w:tcPr>
            <w:tcW w:w="133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F74403" w14:textId="48B8E53F" w:rsidR="0044252E" w:rsidRPr="008844AC" w:rsidRDefault="00E63527" w:rsidP="00246996">
            <w:pPr>
              <w:spacing w:after="0" w:line="240" w:lineRule="auto"/>
              <w:jc w:val="center"/>
              <w:rPr>
                <w:rFonts w:ascii="Times New Roman" w:eastAsia="Times New Roman" w:hAnsi="Times New Roman" w:cs="Times New Roman"/>
                <w:b/>
                <w:bCs/>
                <w:kern w:val="0"/>
                <w:lang w:eastAsia="ro-MD"/>
                <w14:ligatures w14:val="none"/>
              </w:rPr>
            </w:pPr>
            <w:r>
              <w:rPr>
                <w:rFonts w:ascii="Times New Roman" w:eastAsia="Times New Roman" w:hAnsi="Times New Roman" w:cs="Times New Roman"/>
                <w:b/>
                <w:bCs/>
                <w:kern w:val="0"/>
                <w:lang w:eastAsia="ro-MD"/>
                <w14:ligatures w14:val="none"/>
              </w:rPr>
              <w:t>0</w:t>
            </w:r>
            <w:r w:rsidR="0044252E" w:rsidRPr="008844AC">
              <w:rPr>
                <w:rFonts w:ascii="Times New Roman" w:eastAsia="Times New Roman" w:hAnsi="Times New Roman" w:cs="Times New Roman"/>
                <w:b/>
                <w:bCs/>
                <w:kern w:val="0"/>
                <w:lang w:eastAsia="ro-MD"/>
                <w14:ligatures w14:val="none"/>
              </w:rPr>
              <w:t>220</w:t>
            </w:r>
          </w:p>
        </w:tc>
        <w:tc>
          <w:tcPr>
            <w:tcW w:w="960"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F9208D" w14:textId="22DDBEA8" w:rsidR="0044252E" w:rsidRPr="008844AC" w:rsidRDefault="00E63527" w:rsidP="00246996">
            <w:pPr>
              <w:spacing w:after="0" w:line="240" w:lineRule="auto"/>
              <w:jc w:val="center"/>
              <w:rPr>
                <w:rFonts w:ascii="Times New Roman" w:eastAsia="Times New Roman" w:hAnsi="Times New Roman" w:cs="Times New Roman"/>
                <w:b/>
                <w:bCs/>
                <w:kern w:val="0"/>
                <w:lang w:eastAsia="ro-MD"/>
                <w14:ligatures w14:val="none"/>
              </w:rPr>
            </w:pPr>
            <w:r>
              <w:rPr>
                <w:rFonts w:ascii="Times New Roman" w:eastAsia="Times New Roman" w:hAnsi="Times New Roman" w:cs="Times New Roman"/>
                <w:b/>
                <w:bCs/>
                <w:kern w:val="0"/>
                <w:lang w:eastAsia="ro-MD"/>
                <w14:ligatures w14:val="none"/>
              </w:rPr>
              <w:t>0</w:t>
            </w:r>
            <w:r w:rsidR="0044252E" w:rsidRPr="008844AC">
              <w:rPr>
                <w:rFonts w:ascii="Times New Roman" w:eastAsia="Times New Roman" w:hAnsi="Times New Roman" w:cs="Times New Roman"/>
                <w:b/>
                <w:bCs/>
                <w:kern w:val="0"/>
                <w:lang w:eastAsia="ro-MD"/>
                <w14:ligatures w14:val="none"/>
              </w:rPr>
              <w:t>230</w:t>
            </w:r>
          </w:p>
        </w:tc>
        <w:tc>
          <w:tcPr>
            <w:tcW w:w="130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6285A2" w14:textId="73C8B79B" w:rsidR="0044252E" w:rsidRPr="008844AC" w:rsidRDefault="00E63527" w:rsidP="00246996">
            <w:pPr>
              <w:spacing w:after="0" w:line="240" w:lineRule="auto"/>
              <w:jc w:val="center"/>
              <w:rPr>
                <w:rFonts w:ascii="Times New Roman" w:eastAsia="Times New Roman" w:hAnsi="Times New Roman" w:cs="Times New Roman"/>
                <w:b/>
                <w:bCs/>
                <w:kern w:val="0"/>
                <w:lang w:eastAsia="ro-MD"/>
                <w14:ligatures w14:val="none"/>
              </w:rPr>
            </w:pPr>
            <w:r>
              <w:rPr>
                <w:rFonts w:ascii="Times New Roman" w:eastAsia="Times New Roman" w:hAnsi="Times New Roman" w:cs="Times New Roman"/>
                <w:b/>
                <w:bCs/>
                <w:kern w:val="0"/>
                <w:lang w:eastAsia="ro-MD"/>
                <w14:ligatures w14:val="none"/>
              </w:rPr>
              <w:t>0</w:t>
            </w:r>
            <w:r w:rsidR="0044252E" w:rsidRPr="008844AC">
              <w:rPr>
                <w:rFonts w:ascii="Times New Roman" w:eastAsia="Times New Roman" w:hAnsi="Times New Roman" w:cs="Times New Roman"/>
                <w:b/>
                <w:bCs/>
                <w:kern w:val="0"/>
                <w:lang w:eastAsia="ro-MD"/>
                <w14:ligatures w14:val="none"/>
              </w:rPr>
              <w:t>24</w:t>
            </w:r>
            <w:r w:rsidR="0044252E">
              <w:rPr>
                <w:rFonts w:ascii="Times New Roman" w:eastAsia="Times New Roman" w:hAnsi="Times New Roman" w:cs="Times New Roman"/>
                <w:b/>
                <w:bCs/>
                <w:kern w:val="0"/>
                <w:lang w:eastAsia="ro-MD"/>
                <w14:ligatures w14:val="none"/>
              </w:rPr>
              <w:t>1</w:t>
            </w:r>
          </w:p>
        </w:tc>
      </w:tr>
      <w:tr w:rsidR="00AF6B97" w:rsidRPr="008844AC" w14:paraId="6D67A4A4"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0CFB5" w14:textId="30503D8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010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D28EC"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EXPUNERI TOTALE</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7BB3B"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12268394"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6A9280A2"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DA5B7"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Celulă legată de CA</w:t>
            </w: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B0F4F"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71B85" w14:textId="1281CC98" w:rsidR="00AF6B97" w:rsidRPr="008844AC"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255978">
              <w:rPr>
                <w:rFonts w:ascii="Times New Roman" w:eastAsia="Times New Roman" w:hAnsi="Times New Roman" w:cs="Times New Roman"/>
                <w:kern w:val="0"/>
                <w:lang w:eastAsia="ro-MD"/>
                <w14:ligatures w14:val="none"/>
              </w:rPr>
              <w:t>x</w:t>
            </w:r>
          </w:p>
        </w:tc>
      </w:tr>
      <w:tr w:rsidR="00AF6B97" w:rsidRPr="008844AC" w14:paraId="2CD602A1"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413ED" w14:textId="1ED3A38A"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0011</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D37C0" w14:textId="43F31E45"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din care: expuneri față de bănci centrale</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0939F"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5E5C108E"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0CF3F09B"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215B2"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707A9" w14:textId="495E8B56" w:rsidR="00AF6B97" w:rsidRPr="00E91D07" w:rsidRDefault="000006E9"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DA880" w14:textId="64E6E58E"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8844AC" w14:paraId="61821C5B"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2FA2F2" w14:textId="1127BF02"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015</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8AEA31"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din care: expuneri în stare de nerambursare</w:t>
            </w:r>
            <w:r w:rsidRPr="007072E7">
              <w:rPr>
                <w:rFonts w:ascii="Times New Roman" w:eastAsia="Times New Roman" w:hAnsi="Times New Roman" w:cs="Times New Roman"/>
                <w:kern w:val="0"/>
                <w:lang w:eastAsia="ro-MD"/>
                <w14:ligatures w14:val="none"/>
              </w:rPr>
              <w:t xml:space="preserve"> din clasa de expuneri „</w:t>
            </w:r>
            <w:proofErr w:type="spellStart"/>
            <w:r w:rsidRPr="007072E7">
              <w:rPr>
                <w:rFonts w:ascii="Times New Roman" w:eastAsia="Times New Roman" w:hAnsi="Times New Roman" w:cs="Times New Roman"/>
                <w:kern w:val="0"/>
                <w:lang w:eastAsia="ro-MD"/>
                <w14:ligatures w14:val="none"/>
              </w:rPr>
              <w:t>OPCuri</w:t>
            </w:r>
            <w:proofErr w:type="spellEnd"/>
            <w:r w:rsidRPr="007072E7">
              <w:rPr>
                <w:rFonts w:ascii="Times New Roman" w:eastAsia="Times New Roman" w:hAnsi="Times New Roman" w:cs="Times New Roman"/>
                <w:kern w:val="0"/>
                <w:lang w:eastAsia="ro-MD"/>
                <w14:ligatures w14:val="none"/>
              </w:rPr>
              <w:t>” și „expuneri provenind din titluri de capital”</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473032"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7D10B232"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049125AC"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5EF48D"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8D8A07D" w14:textId="1461DEA6"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919806" w14:textId="725D1CED"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255978">
              <w:rPr>
                <w:rFonts w:ascii="Times New Roman" w:eastAsia="Times New Roman" w:hAnsi="Times New Roman" w:cs="Times New Roman"/>
                <w:kern w:val="0"/>
                <w:lang w:eastAsia="ro-MD"/>
                <w14:ligatures w14:val="none"/>
              </w:rPr>
              <w:t>x</w:t>
            </w:r>
          </w:p>
        </w:tc>
      </w:tr>
      <w:tr w:rsidR="00AF6B97" w:rsidRPr="008844AC" w14:paraId="2E38C9B1"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6CAC4" w14:textId="4B63F2CE"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020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D96C5"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din care: IMM-uri</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DEE0A"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1011D3BF"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16F4FF43"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15BA5"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5AC85" w14:textId="18B8F285"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C85384" w14:textId="52162209"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255978">
              <w:rPr>
                <w:rFonts w:ascii="Times New Roman" w:eastAsia="Times New Roman" w:hAnsi="Times New Roman" w:cs="Times New Roman"/>
                <w:kern w:val="0"/>
                <w:lang w:eastAsia="ro-MD"/>
                <w14:ligatures w14:val="none"/>
              </w:rPr>
              <w:t>x</w:t>
            </w:r>
          </w:p>
        </w:tc>
      </w:tr>
      <w:tr w:rsidR="00AF6B97" w:rsidRPr="008844AC" w14:paraId="11577D81"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E63DD" w14:textId="3F2760F8"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30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A09F2"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din care: expuneri aflate sub </w:t>
            </w:r>
            <w:proofErr w:type="spellStart"/>
            <w:r w:rsidRPr="008844AC">
              <w:rPr>
                <w:rFonts w:ascii="Times New Roman" w:eastAsia="Times New Roman" w:hAnsi="Times New Roman" w:cs="Times New Roman"/>
                <w:kern w:val="0"/>
                <w:lang w:eastAsia="ro-MD"/>
                <w14:ligatures w14:val="none"/>
              </w:rPr>
              <w:t>incidenţa</w:t>
            </w:r>
            <w:proofErr w:type="spellEnd"/>
            <w:r w:rsidRPr="008844AC">
              <w:rPr>
                <w:rFonts w:ascii="Times New Roman" w:eastAsia="Times New Roman" w:hAnsi="Times New Roman" w:cs="Times New Roman"/>
                <w:kern w:val="0"/>
                <w:lang w:eastAsia="ro-MD"/>
                <w14:ligatures w14:val="none"/>
              </w:rPr>
              <w:t xml:space="preserve"> factorului de sprijinire a IMM-urilor</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C8200"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0BE401DC"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45280FD1"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395ED"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B6623" w14:textId="33B377EE"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1A19AA" w14:textId="0E89C4DB"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255978">
              <w:rPr>
                <w:rFonts w:ascii="Times New Roman" w:eastAsia="Times New Roman" w:hAnsi="Times New Roman" w:cs="Times New Roman"/>
                <w:kern w:val="0"/>
                <w:lang w:eastAsia="ro-MD"/>
                <w14:ligatures w14:val="none"/>
              </w:rPr>
              <w:t>x</w:t>
            </w:r>
          </w:p>
        </w:tc>
      </w:tr>
      <w:tr w:rsidR="00AF6B97" w:rsidRPr="008844AC" w14:paraId="5A3EAC1E"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768352" w14:textId="5674C8B9" w:rsidR="00AF6B97" w:rsidRPr="00A36CBB" w:rsidRDefault="00AF6B97" w:rsidP="00AF6B97">
            <w:pPr>
              <w:spacing w:after="0" w:line="240" w:lineRule="auto"/>
              <w:jc w:val="center"/>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lastRenderedPageBreak/>
              <w:t>0035</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98C93E" w14:textId="77777777" w:rsidR="00AF6B97" w:rsidRPr="00A36CBB" w:rsidRDefault="00AF6B97" w:rsidP="00AF6B97">
            <w:pPr>
              <w:spacing w:after="0" w:line="240" w:lineRule="auto"/>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din care: expuneri aflate sub incidența factorului de sprijinire a infrastructurii</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D0AF1" w14:textId="77777777" w:rsidR="00AF6B97" w:rsidRPr="00A36CBB"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6B499AF6"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01CAC04A"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F802B"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4CEAF" w14:textId="0888051A"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19F0FC" w14:textId="430D3455"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255978">
              <w:rPr>
                <w:rFonts w:ascii="Times New Roman" w:eastAsia="Times New Roman" w:hAnsi="Times New Roman" w:cs="Times New Roman"/>
                <w:kern w:val="0"/>
                <w:lang w:eastAsia="ro-MD"/>
                <w14:ligatures w14:val="none"/>
              </w:rPr>
              <w:t>x</w:t>
            </w:r>
          </w:p>
        </w:tc>
      </w:tr>
      <w:tr w:rsidR="00AF6B97" w:rsidRPr="008844AC" w14:paraId="4005C302"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DDA0F" w14:textId="18A3F7FC"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050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33F26"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din care: expuneri aflate sub </w:t>
            </w:r>
            <w:proofErr w:type="spellStart"/>
            <w:r w:rsidRPr="008844AC">
              <w:rPr>
                <w:rFonts w:ascii="Times New Roman" w:eastAsia="Times New Roman" w:hAnsi="Times New Roman" w:cs="Times New Roman"/>
                <w:kern w:val="0"/>
                <w:lang w:eastAsia="ro-MD"/>
                <w14:ligatures w14:val="none"/>
              </w:rPr>
              <w:t>incidenţa</w:t>
            </w:r>
            <w:proofErr w:type="spellEnd"/>
            <w:r w:rsidRPr="008844AC">
              <w:rPr>
                <w:rFonts w:ascii="Times New Roman" w:eastAsia="Times New Roman" w:hAnsi="Times New Roman" w:cs="Times New Roman"/>
                <w:kern w:val="0"/>
                <w:lang w:eastAsia="ro-MD"/>
                <w14:ligatures w14:val="none"/>
              </w:rPr>
              <w:t xml:space="preserve"> utilizării </w:t>
            </w:r>
            <w:proofErr w:type="spellStart"/>
            <w:r w:rsidRPr="008844AC">
              <w:rPr>
                <w:rFonts w:ascii="Times New Roman" w:eastAsia="Times New Roman" w:hAnsi="Times New Roman" w:cs="Times New Roman"/>
                <w:kern w:val="0"/>
                <w:lang w:eastAsia="ro-MD"/>
                <w14:ligatures w14:val="none"/>
              </w:rPr>
              <w:t>parţiale</w:t>
            </w:r>
            <w:proofErr w:type="spellEnd"/>
            <w:r w:rsidRPr="008844AC">
              <w:rPr>
                <w:rFonts w:ascii="Times New Roman" w:eastAsia="Times New Roman" w:hAnsi="Times New Roman" w:cs="Times New Roman"/>
                <w:kern w:val="0"/>
                <w:lang w:eastAsia="ro-MD"/>
                <w14:ligatures w14:val="none"/>
              </w:rPr>
              <w:t xml:space="preserve"> permanente a abordării standardizate</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E1A7C81" w14:textId="4E5483C9"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392749B0"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3342C333"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474256" w14:textId="46127D0F"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8A9AA" w14:textId="72795F7E"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21E973" w14:textId="0DD8255D"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255978">
              <w:rPr>
                <w:rFonts w:ascii="Times New Roman" w:eastAsia="Times New Roman" w:hAnsi="Times New Roman" w:cs="Times New Roman"/>
                <w:kern w:val="0"/>
                <w:lang w:eastAsia="ro-MD"/>
                <w14:ligatures w14:val="none"/>
              </w:rPr>
              <w:t>x</w:t>
            </w:r>
          </w:p>
        </w:tc>
      </w:tr>
      <w:tr w:rsidR="00AF6B97" w:rsidRPr="008844AC" w14:paraId="1F7222F7"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70296" w14:textId="6A22707A"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060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B0CAE"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din care: expunerile din cadrul abordării s</w:t>
            </w:r>
            <w:r w:rsidRPr="00E91D07">
              <w:rPr>
                <w:rFonts w:ascii="Times New Roman" w:eastAsia="Times New Roman" w:hAnsi="Times New Roman" w:cs="Times New Roman"/>
                <w:kern w:val="0"/>
                <w:lang w:eastAsia="ro-MD"/>
                <w14:ligatures w14:val="none"/>
              </w:rPr>
              <w:t>tandardizate cu aprobarea</w:t>
            </w:r>
            <w:r w:rsidRPr="008844AC">
              <w:rPr>
                <w:rFonts w:ascii="Times New Roman" w:eastAsia="Times New Roman" w:hAnsi="Times New Roman" w:cs="Times New Roman"/>
                <w:kern w:val="0"/>
                <w:lang w:eastAsia="ro-MD"/>
                <w14:ligatures w14:val="none"/>
              </w:rPr>
              <w:t xml:space="preserve"> prealabilă a </w:t>
            </w:r>
            <w:proofErr w:type="spellStart"/>
            <w:r w:rsidRPr="008844AC">
              <w:rPr>
                <w:rFonts w:ascii="Times New Roman" w:eastAsia="Times New Roman" w:hAnsi="Times New Roman" w:cs="Times New Roman"/>
                <w:kern w:val="0"/>
                <w:lang w:eastAsia="ro-MD"/>
                <w14:ligatures w14:val="none"/>
              </w:rPr>
              <w:t>autorităţii</w:t>
            </w:r>
            <w:proofErr w:type="spellEnd"/>
            <w:r w:rsidRPr="008844AC">
              <w:rPr>
                <w:rFonts w:ascii="Times New Roman" w:eastAsia="Times New Roman" w:hAnsi="Times New Roman" w:cs="Times New Roman"/>
                <w:kern w:val="0"/>
                <w:lang w:eastAsia="ro-MD"/>
                <w14:ligatures w14:val="none"/>
              </w:rPr>
              <w:t xml:space="preserve"> de supraveghere de a efectua o implementare progresivă a abordării IRB</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B26766" w14:textId="7F15C0C9"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0C357505"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79D706CC"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2CB2F9" w14:textId="1B509FF8"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AE5D4" w14:textId="77B6A095"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AFDB05" w14:textId="67411A2E"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255978">
              <w:rPr>
                <w:rFonts w:ascii="Times New Roman" w:eastAsia="Times New Roman" w:hAnsi="Times New Roman" w:cs="Times New Roman"/>
                <w:kern w:val="0"/>
                <w:lang w:eastAsia="ro-MD"/>
                <w14:ligatures w14:val="none"/>
              </w:rPr>
              <w:t>x</w:t>
            </w:r>
          </w:p>
        </w:tc>
      </w:tr>
      <w:tr w:rsidR="00AF6B97" w:rsidRPr="008844AC" w14:paraId="4F5E0AAD"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B41087" w14:textId="1D79811E" w:rsidR="00AF6B97" w:rsidRPr="00A36CBB" w:rsidRDefault="00AF6B97" w:rsidP="00AF6B97">
            <w:pPr>
              <w:spacing w:after="0" w:line="240" w:lineRule="auto"/>
              <w:jc w:val="center"/>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0061</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EB1117" w14:textId="20EB13A9" w:rsidR="00AF6B97" w:rsidRPr="00052914" w:rsidRDefault="00AF6B97" w:rsidP="00AF6B97">
            <w:pPr>
              <w:spacing w:after="0" w:line="240" w:lineRule="auto"/>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 xml:space="preserve">din care: Expuneri IPRE care îndeplinesc oricare dintre condițiile prevăzute la </w:t>
            </w:r>
            <w:r w:rsidR="00A36CBB" w:rsidRPr="00052914">
              <w:rPr>
                <w:rStyle w:val="InstructionsTabelleberschrift"/>
                <w:rFonts w:ascii="Times New Roman" w:hAnsi="Times New Roman"/>
                <w:b w:val="0"/>
                <w:bCs w:val="0"/>
                <w:sz w:val="22"/>
                <w:u w:val="none"/>
              </w:rPr>
              <w:t>punctul 66 subpunctul 1) lit. b) din Regulamentul nr. 111/2018</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FB778D"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6C2607AE"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0A01858A"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6CC530"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D5BC46" w14:textId="69B16D4B"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A48A64" w14:textId="5909A837"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255978">
              <w:rPr>
                <w:rFonts w:ascii="Times New Roman" w:eastAsia="Times New Roman" w:hAnsi="Times New Roman" w:cs="Times New Roman"/>
                <w:kern w:val="0"/>
                <w:lang w:eastAsia="ro-MD"/>
                <w14:ligatures w14:val="none"/>
              </w:rPr>
              <w:t>x</w:t>
            </w:r>
          </w:p>
        </w:tc>
      </w:tr>
      <w:tr w:rsidR="00AF6B97" w:rsidRPr="008844AC" w14:paraId="29A5619A"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CC5B7F" w14:textId="0B1AF955" w:rsidR="00AF6B97" w:rsidRPr="00A36CBB" w:rsidRDefault="00AF6B97" w:rsidP="00AF6B97">
            <w:pPr>
              <w:spacing w:after="0" w:line="240" w:lineRule="auto"/>
              <w:jc w:val="center"/>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0062</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DF105E" w14:textId="66B4B98E" w:rsidR="00AF6B97" w:rsidRPr="00052914" w:rsidRDefault="00AF6B97" w:rsidP="00AF6B97">
            <w:pPr>
              <w:spacing w:after="0" w:line="240" w:lineRule="auto"/>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 xml:space="preserve">din care: </w:t>
            </w:r>
            <w:r w:rsidR="00E17F77">
              <w:rPr>
                <w:rFonts w:ascii="Times New Roman" w:eastAsia="Times New Roman" w:hAnsi="Times New Roman" w:cs="Times New Roman"/>
                <w:kern w:val="0"/>
                <w:lang w:eastAsia="ro-MD"/>
                <w14:ligatures w14:val="none"/>
              </w:rPr>
              <w:t>e</w:t>
            </w:r>
            <w:r w:rsidRPr="00052914">
              <w:rPr>
                <w:rFonts w:ascii="Times New Roman" w:eastAsia="Times New Roman" w:hAnsi="Times New Roman" w:cs="Times New Roman"/>
                <w:kern w:val="0"/>
                <w:lang w:eastAsia="ro-MD"/>
                <w14:ligatures w14:val="none"/>
              </w:rPr>
              <w:t xml:space="preserve">xpuneri IPRE în cazul cărora se aplică derogarea prevăzută la </w:t>
            </w:r>
            <w:r w:rsidR="00A36CBB" w:rsidRPr="00052914">
              <w:rPr>
                <w:rStyle w:val="InstructionsTabelleberschrift"/>
                <w:rFonts w:ascii="Times New Roman" w:hAnsi="Times New Roman"/>
                <w:b w:val="0"/>
                <w:bCs w:val="0"/>
                <w:sz w:val="22"/>
                <w:u w:val="none"/>
              </w:rPr>
              <w:t>punctul 70</w:t>
            </w:r>
            <w:r w:rsidR="00A36CBB" w:rsidRPr="00052914">
              <w:rPr>
                <w:rStyle w:val="InstructionsTabelleberschrift"/>
                <w:rFonts w:ascii="Times New Roman" w:hAnsi="Times New Roman"/>
                <w:b w:val="0"/>
                <w:bCs w:val="0"/>
                <w:sz w:val="22"/>
                <w:u w:val="none"/>
                <w:vertAlign w:val="superscript"/>
              </w:rPr>
              <w:t xml:space="preserve">2 </w:t>
            </w:r>
            <w:r w:rsidR="00A36CBB" w:rsidRPr="00052914">
              <w:rPr>
                <w:rStyle w:val="InstructionsTabelleberschrift"/>
                <w:rFonts w:ascii="Times New Roman" w:hAnsi="Times New Roman"/>
                <w:b w:val="0"/>
                <w:bCs w:val="0"/>
                <w:sz w:val="22"/>
                <w:u w:val="none"/>
              </w:rPr>
              <w:t>din Regulamentul nr. 111/2018</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83E24D"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498DA36D"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59C36550"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128A4D"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507674" w14:textId="769A18EA"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DD08BF" w14:textId="64F77A21"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255978">
              <w:rPr>
                <w:rFonts w:ascii="Times New Roman" w:eastAsia="Times New Roman" w:hAnsi="Times New Roman" w:cs="Times New Roman"/>
                <w:kern w:val="0"/>
                <w:lang w:eastAsia="ro-MD"/>
                <w14:ligatures w14:val="none"/>
              </w:rPr>
              <w:t>x</w:t>
            </w:r>
          </w:p>
        </w:tc>
      </w:tr>
      <w:tr w:rsidR="00AF6B97" w:rsidRPr="008844AC" w14:paraId="34487F48"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89E1F18" w14:textId="74E64302" w:rsidR="00AF6B97" w:rsidRPr="00A36CBB" w:rsidRDefault="00AF6B97" w:rsidP="00AF6B97">
            <w:pPr>
              <w:spacing w:after="0" w:line="240" w:lineRule="auto"/>
              <w:jc w:val="center"/>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0063</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51BC6DD" w14:textId="2320A3BD" w:rsidR="00AF6B97" w:rsidRPr="00A36CBB" w:rsidRDefault="00AF6B97" w:rsidP="00AF6B97">
            <w:pPr>
              <w:spacing w:after="0" w:line="240" w:lineRule="auto"/>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 xml:space="preserve">din care: </w:t>
            </w:r>
            <w:r w:rsidR="00E17F77">
              <w:rPr>
                <w:rFonts w:ascii="Times New Roman" w:eastAsia="Times New Roman" w:hAnsi="Times New Roman" w:cs="Times New Roman"/>
                <w:kern w:val="0"/>
                <w:lang w:eastAsia="ro-MD"/>
                <w14:ligatures w14:val="none"/>
              </w:rPr>
              <w:t>e</w:t>
            </w:r>
            <w:r w:rsidRPr="00052914">
              <w:rPr>
                <w:rFonts w:ascii="Times New Roman" w:eastAsia="Times New Roman" w:hAnsi="Times New Roman" w:cs="Times New Roman"/>
                <w:kern w:val="0"/>
                <w:lang w:eastAsia="ro-MD"/>
                <w14:ligatures w14:val="none"/>
              </w:rPr>
              <w:t xml:space="preserve">xpuneri IPRE în cazul cărora se aplică derogarea prevăzută la </w:t>
            </w:r>
            <w:r w:rsidR="00A36CBB" w:rsidRPr="00B973D9">
              <w:rPr>
                <w:rStyle w:val="InstructionsTabelleberschrift"/>
                <w:rFonts w:ascii="Times New Roman" w:hAnsi="Times New Roman"/>
                <w:b w:val="0"/>
                <w:bCs w:val="0"/>
                <w:sz w:val="22"/>
                <w:u w:val="none"/>
              </w:rPr>
              <w:t>punctul 72</w:t>
            </w:r>
            <w:r w:rsidR="00A36CBB" w:rsidRPr="00B973D9">
              <w:rPr>
                <w:rStyle w:val="InstructionsTabelleberschrift"/>
                <w:rFonts w:ascii="Times New Roman" w:hAnsi="Times New Roman"/>
                <w:b w:val="0"/>
                <w:bCs w:val="0"/>
                <w:sz w:val="22"/>
                <w:u w:val="none"/>
                <w:vertAlign w:val="superscript"/>
              </w:rPr>
              <w:t>2</w:t>
            </w:r>
            <w:r w:rsidR="00A36CBB" w:rsidRPr="00B973D9">
              <w:rPr>
                <w:rStyle w:val="InstructionsTabelleberschrift"/>
                <w:rFonts w:ascii="Times New Roman" w:hAnsi="Times New Roman"/>
                <w:b w:val="0"/>
                <w:bCs w:val="0"/>
                <w:sz w:val="22"/>
                <w:u w:val="none"/>
              </w:rPr>
              <w:t xml:space="preserve"> din Regulamentul nr. 111/2018</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A902BF"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7FDB39F7"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184BBE1B"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C8D193"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1CBDFC" w14:textId="187924EB"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B12E41" w14:textId="1F554AB7"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255978">
              <w:rPr>
                <w:rFonts w:ascii="Times New Roman" w:eastAsia="Times New Roman" w:hAnsi="Times New Roman" w:cs="Times New Roman"/>
                <w:kern w:val="0"/>
                <w:lang w:eastAsia="ro-MD"/>
                <w14:ligatures w14:val="none"/>
              </w:rPr>
              <w:t>x</w:t>
            </w:r>
          </w:p>
        </w:tc>
      </w:tr>
      <w:tr w:rsidR="00AF6B97" w:rsidRPr="008844AC" w14:paraId="085E0E57"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47B6CF" w14:textId="33D65671" w:rsidR="00AF6B97" w:rsidRPr="00A36CBB" w:rsidRDefault="00AF6B97" w:rsidP="00AF6B97">
            <w:pPr>
              <w:spacing w:after="0" w:line="240" w:lineRule="auto"/>
              <w:jc w:val="center"/>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0064</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3D123E" w14:textId="5559DED4" w:rsidR="00AF6B97" w:rsidRPr="00A36CBB" w:rsidRDefault="00AF6B97" w:rsidP="00AF6B97">
            <w:pPr>
              <w:spacing w:after="0" w:line="240" w:lineRule="auto"/>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 xml:space="preserve">din care: </w:t>
            </w:r>
            <w:r w:rsidR="00E17F77">
              <w:rPr>
                <w:rFonts w:ascii="Times New Roman" w:eastAsia="Times New Roman" w:hAnsi="Times New Roman" w:cs="Times New Roman"/>
                <w:kern w:val="0"/>
                <w:lang w:eastAsia="ro-MD"/>
                <w14:ligatures w14:val="none"/>
              </w:rPr>
              <w:t>e</w:t>
            </w:r>
            <w:r w:rsidRPr="00052914">
              <w:rPr>
                <w:rFonts w:ascii="Times New Roman" w:eastAsia="Times New Roman" w:hAnsi="Times New Roman" w:cs="Times New Roman"/>
                <w:kern w:val="0"/>
                <w:lang w:eastAsia="ro-MD"/>
                <w14:ligatures w14:val="none"/>
              </w:rPr>
              <w:t xml:space="preserve">xpuneri din </w:t>
            </w:r>
            <w:r w:rsidRPr="00052914">
              <w:rPr>
                <w:rFonts w:ascii="Times New Roman" w:eastAsia="Times New Roman" w:hAnsi="Times New Roman" w:cs="Times New Roman"/>
                <w:kern w:val="0"/>
                <w:lang w:eastAsia="ro-MD"/>
                <w14:ligatures w14:val="none"/>
              </w:rPr>
              <w:lastRenderedPageBreak/>
              <w:t>cadrul abordării IRB</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FF1B5B5"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66D4AAC8"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07A8A62F"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FBFF49"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D7D85C9" w14:textId="389B3BC6"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824A03" w14:textId="5BD92F15"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255978">
              <w:rPr>
                <w:rFonts w:ascii="Times New Roman" w:eastAsia="Times New Roman" w:hAnsi="Times New Roman" w:cs="Times New Roman"/>
                <w:kern w:val="0"/>
                <w:lang w:eastAsia="ro-MD"/>
                <w14:ligatures w14:val="none"/>
              </w:rPr>
              <w:t>x</w:t>
            </w:r>
          </w:p>
        </w:tc>
      </w:tr>
      <w:tr w:rsidR="0044252E" w:rsidRPr="008844AC" w14:paraId="502BCE0B" w14:textId="77777777" w:rsidTr="00246996">
        <w:tc>
          <w:tcPr>
            <w:tcW w:w="9338" w:type="dxa"/>
            <w:gridSpan w:val="8"/>
            <w:tcBorders>
              <w:top w:val="single" w:sz="6" w:space="0" w:color="000000"/>
              <w:left w:val="single" w:sz="6" w:space="0" w:color="000000"/>
              <w:bottom w:val="single" w:sz="6" w:space="0" w:color="000000"/>
              <w:right w:val="single" w:sz="6" w:space="0" w:color="000000"/>
            </w:tcBorders>
          </w:tcPr>
          <w:p w14:paraId="1B58CA64" w14:textId="77777777" w:rsidR="0044252E" w:rsidRPr="008844AC" w:rsidRDefault="0044252E" w:rsidP="00246996">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  </w:t>
            </w:r>
          </w:p>
          <w:p w14:paraId="38592D4E" w14:textId="77777777" w:rsidR="0044252E" w:rsidRPr="008844AC" w:rsidRDefault="0044252E" w:rsidP="00246996">
            <w:pPr>
              <w:spacing w:after="0" w:line="240" w:lineRule="auto"/>
              <w:jc w:val="both"/>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DEFALCAREA EXPUNERILOR TOTALE PE TIPURI DE EXPUNERE:</w:t>
            </w:r>
          </w:p>
        </w:tc>
      </w:tr>
      <w:tr w:rsidR="00AF6B97" w:rsidRPr="008844AC" w14:paraId="0C047B54"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C6B7D" w14:textId="23A28A2F"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70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47F0B"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Expuneri </w:t>
            </w:r>
            <w:proofErr w:type="spellStart"/>
            <w:r w:rsidRPr="008844AC">
              <w:rPr>
                <w:rFonts w:ascii="Times New Roman" w:eastAsia="Times New Roman" w:hAnsi="Times New Roman" w:cs="Times New Roman"/>
                <w:kern w:val="0"/>
                <w:lang w:eastAsia="ro-MD"/>
                <w14:ligatures w14:val="none"/>
              </w:rPr>
              <w:t>bilanţiere</w:t>
            </w:r>
            <w:proofErr w:type="spellEnd"/>
            <w:r w:rsidRPr="008844AC">
              <w:rPr>
                <w:rFonts w:ascii="Times New Roman" w:eastAsia="Times New Roman" w:hAnsi="Times New Roman" w:cs="Times New Roman"/>
                <w:kern w:val="0"/>
                <w:lang w:eastAsia="ro-MD"/>
                <w14:ligatures w14:val="none"/>
              </w:rPr>
              <w:t xml:space="preserve"> supuse riscului de credit</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A7A4C"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2382A362"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65C29E0C"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61C15"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036C9" w14:textId="40CF0FC8"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A278E2" w14:textId="4594356A"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577961">
              <w:rPr>
                <w:rFonts w:ascii="Times New Roman" w:eastAsia="Times New Roman" w:hAnsi="Times New Roman" w:cs="Times New Roman"/>
                <w:kern w:val="0"/>
                <w:lang w:eastAsia="ro-MD"/>
                <w14:ligatures w14:val="none"/>
              </w:rPr>
              <w:t>x</w:t>
            </w:r>
          </w:p>
        </w:tc>
      </w:tr>
      <w:tr w:rsidR="00AF6B97" w:rsidRPr="008844AC" w14:paraId="50318C24"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BF77F" w14:textId="6A49B3BD"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80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27C88"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Expuneri </w:t>
            </w:r>
            <w:proofErr w:type="spellStart"/>
            <w:r w:rsidRPr="008844AC">
              <w:rPr>
                <w:rFonts w:ascii="Times New Roman" w:eastAsia="Times New Roman" w:hAnsi="Times New Roman" w:cs="Times New Roman"/>
                <w:kern w:val="0"/>
                <w:lang w:eastAsia="ro-MD"/>
                <w14:ligatures w14:val="none"/>
              </w:rPr>
              <w:t>extrabilanţiere</w:t>
            </w:r>
            <w:proofErr w:type="spellEnd"/>
            <w:r w:rsidRPr="008844AC">
              <w:rPr>
                <w:rFonts w:ascii="Times New Roman" w:eastAsia="Times New Roman" w:hAnsi="Times New Roman" w:cs="Times New Roman"/>
                <w:kern w:val="0"/>
                <w:lang w:eastAsia="ro-MD"/>
                <w14:ligatures w14:val="none"/>
              </w:rPr>
              <w:t xml:space="preserve"> supuse riscului de credit</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04C7D"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3F034482"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7B67F4AF"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2C606"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3B61C" w14:textId="4EC61E74"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3E3985" w14:textId="728F213F"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577961">
              <w:rPr>
                <w:rFonts w:ascii="Times New Roman" w:eastAsia="Times New Roman" w:hAnsi="Times New Roman" w:cs="Times New Roman"/>
                <w:kern w:val="0"/>
                <w:lang w:eastAsia="ro-MD"/>
                <w14:ligatures w14:val="none"/>
              </w:rPr>
              <w:t>x</w:t>
            </w:r>
          </w:p>
        </w:tc>
      </w:tr>
      <w:tr w:rsidR="00D90AA2" w:rsidRPr="008844AC" w14:paraId="6307F04A"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A1F57" w14:textId="77777777" w:rsidR="0044252E" w:rsidRPr="008844AC" w:rsidRDefault="0044252E" w:rsidP="00246996">
            <w:pPr>
              <w:spacing w:after="0" w:line="240" w:lineRule="auto"/>
              <w:jc w:val="center"/>
              <w:rPr>
                <w:rFonts w:ascii="Times New Roman" w:eastAsia="Times New Roman" w:hAnsi="Times New Roman" w:cs="Times New Roman"/>
                <w:kern w:val="0"/>
                <w:lang w:eastAsia="ro-MD"/>
                <w14:ligatures w14:val="none"/>
              </w:rPr>
            </w:pP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1136A" w14:textId="77777777" w:rsidR="0044252E" w:rsidRPr="00052914" w:rsidRDefault="0044252E" w:rsidP="00246996">
            <w:pPr>
              <w:spacing w:after="0" w:line="240" w:lineRule="auto"/>
              <w:rPr>
                <w:rFonts w:ascii="Times New Roman" w:eastAsia="Times New Roman" w:hAnsi="Times New Roman" w:cs="Times New Roman"/>
                <w:b/>
                <w:bCs/>
                <w:kern w:val="0"/>
                <w:lang w:eastAsia="ro-MD"/>
                <w14:ligatures w14:val="none"/>
              </w:rPr>
            </w:pPr>
            <w:r w:rsidRPr="00052914">
              <w:rPr>
                <w:rFonts w:ascii="Times New Roman" w:eastAsia="Times New Roman" w:hAnsi="Times New Roman" w:cs="Times New Roman"/>
                <w:b/>
                <w:bCs/>
                <w:kern w:val="0"/>
                <w:lang w:eastAsia="ro-MD"/>
                <w14:ligatures w14:val="none"/>
              </w:rPr>
              <w:t>Expuneri/</w:t>
            </w:r>
            <w:proofErr w:type="spellStart"/>
            <w:r w:rsidRPr="00052914">
              <w:rPr>
                <w:rFonts w:ascii="Times New Roman" w:eastAsia="Times New Roman" w:hAnsi="Times New Roman" w:cs="Times New Roman"/>
                <w:b/>
                <w:bCs/>
                <w:kern w:val="0"/>
                <w:lang w:eastAsia="ro-MD"/>
                <w14:ligatures w14:val="none"/>
              </w:rPr>
              <w:t>tranzacţii</w:t>
            </w:r>
            <w:proofErr w:type="spellEnd"/>
            <w:r w:rsidRPr="00052914">
              <w:rPr>
                <w:rFonts w:ascii="Times New Roman" w:eastAsia="Times New Roman" w:hAnsi="Times New Roman" w:cs="Times New Roman"/>
                <w:b/>
                <w:bCs/>
                <w:kern w:val="0"/>
                <w:lang w:eastAsia="ro-MD"/>
                <w14:ligatures w14:val="none"/>
              </w:rPr>
              <w:t xml:space="preserve"> supuse riscului de credit al </w:t>
            </w:r>
            <w:proofErr w:type="spellStart"/>
            <w:r w:rsidRPr="00052914">
              <w:rPr>
                <w:rFonts w:ascii="Times New Roman" w:eastAsia="Times New Roman" w:hAnsi="Times New Roman" w:cs="Times New Roman"/>
                <w:b/>
                <w:bCs/>
                <w:kern w:val="0"/>
                <w:lang w:eastAsia="ro-MD"/>
                <w14:ligatures w14:val="none"/>
              </w:rPr>
              <w:t>contrapărţii</w:t>
            </w:r>
            <w:proofErr w:type="spellEnd"/>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295F0" w14:textId="0BEBB361" w:rsidR="0044252E" w:rsidRPr="008844AC" w:rsidRDefault="000006E9" w:rsidP="00246996">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1063" w:type="dxa"/>
            <w:tcBorders>
              <w:top w:val="single" w:sz="6" w:space="0" w:color="000000"/>
              <w:left w:val="single" w:sz="6" w:space="0" w:color="000000"/>
              <w:bottom w:val="single" w:sz="6" w:space="0" w:color="000000"/>
              <w:right w:val="single" w:sz="6" w:space="0" w:color="000000"/>
            </w:tcBorders>
          </w:tcPr>
          <w:p w14:paraId="28BED628" w14:textId="6B0356F6" w:rsidR="0044252E" w:rsidRPr="008844AC" w:rsidRDefault="000006E9" w:rsidP="00246996">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1147" w:type="dxa"/>
            <w:tcBorders>
              <w:top w:val="single" w:sz="6" w:space="0" w:color="000000"/>
              <w:left w:val="single" w:sz="6" w:space="0" w:color="000000"/>
              <w:bottom w:val="single" w:sz="6" w:space="0" w:color="000000"/>
              <w:right w:val="single" w:sz="6" w:space="0" w:color="000000"/>
            </w:tcBorders>
          </w:tcPr>
          <w:p w14:paraId="3C2A7853" w14:textId="063F236A" w:rsidR="0044252E" w:rsidRPr="008844AC" w:rsidRDefault="000006E9" w:rsidP="00246996">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6E00B" w14:textId="54B1AA7E" w:rsidR="0044252E" w:rsidRPr="008844AC" w:rsidRDefault="000006E9" w:rsidP="00246996">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DE24F" w14:textId="04C3AE35" w:rsidR="0044252E" w:rsidRPr="008844AC" w:rsidRDefault="000006E9" w:rsidP="00246996">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3FC226" w14:textId="0AC37678" w:rsidR="0044252E" w:rsidRPr="008844AC" w:rsidRDefault="000006E9" w:rsidP="00246996">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r>
      <w:tr w:rsidR="00AF6B97" w:rsidRPr="008844AC" w14:paraId="1B53CA38"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A2179" w14:textId="464DF581"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90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30097"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AE7AA6">
              <w:rPr>
                <w:rFonts w:ascii="Times New Roman" w:eastAsia="Times New Roman" w:hAnsi="Times New Roman" w:cs="Times New Roman"/>
                <w:kern w:val="0"/>
                <w:lang w:eastAsia="ro-MD"/>
                <w14:ligatures w14:val="none"/>
              </w:rPr>
              <w:t>Seturi de compensare pentru operațiunile de finanțare prin instrumente financiare</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A6E55"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w:t>
            </w:r>
          </w:p>
        </w:tc>
        <w:tc>
          <w:tcPr>
            <w:tcW w:w="1063" w:type="dxa"/>
            <w:tcBorders>
              <w:top w:val="single" w:sz="6" w:space="0" w:color="000000"/>
              <w:left w:val="single" w:sz="6" w:space="0" w:color="000000"/>
              <w:bottom w:val="single" w:sz="6" w:space="0" w:color="000000"/>
              <w:right w:val="single" w:sz="6" w:space="0" w:color="000000"/>
            </w:tcBorders>
          </w:tcPr>
          <w:p w14:paraId="10A785AE"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05C00CAD"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2FF9F"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w:t>
            </w: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54822" w14:textId="4F48F743"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AD243B" w14:textId="40267647"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786BEF">
              <w:rPr>
                <w:rFonts w:ascii="Times New Roman" w:eastAsia="Times New Roman" w:hAnsi="Times New Roman" w:cs="Times New Roman"/>
                <w:kern w:val="0"/>
                <w:lang w:eastAsia="ro-MD"/>
                <w14:ligatures w14:val="none"/>
              </w:rPr>
              <w:t>x</w:t>
            </w:r>
          </w:p>
        </w:tc>
      </w:tr>
      <w:tr w:rsidR="00AF6B97" w:rsidRPr="008844AC" w14:paraId="016B8F43"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19790" w14:textId="0DD840E5"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100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06B9F"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din care: compensate la nivel central printr-o CPCC</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B4D736E" w14:textId="6950F634"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3551ED12"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2300A887"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4E067A" w14:textId="7AAA10BC"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B6272" w14:textId="3EE7CC5E"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DC6715" w14:textId="29C96059"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786BEF">
              <w:rPr>
                <w:rFonts w:ascii="Times New Roman" w:eastAsia="Times New Roman" w:hAnsi="Times New Roman" w:cs="Times New Roman"/>
                <w:kern w:val="0"/>
                <w:lang w:eastAsia="ro-MD"/>
                <w14:ligatures w14:val="none"/>
              </w:rPr>
              <w:t>x</w:t>
            </w:r>
          </w:p>
        </w:tc>
      </w:tr>
      <w:tr w:rsidR="00AF6B97" w:rsidRPr="008844AC" w14:paraId="7B22C034"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3AFEB" w14:textId="33CB62E0"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110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09528"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AE7AA6">
              <w:rPr>
                <w:rFonts w:ascii="Times New Roman" w:eastAsia="Times New Roman" w:hAnsi="Times New Roman" w:cs="Times New Roman"/>
                <w:kern w:val="0"/>
                <w:lang w:eastAsia="ro-MD"/>
                <w14:ligatures w14:val="none"/>
              </w:rPr>
              <w:t>Seturi de compensare pentru instrumentele financiare derivate și tranzacțiile cu termen lung de decontare</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6C2C9"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w:t>
            </w:r>
          </w:p>
        </w:tc>
        <w:tc>
          <w:tcPr>
            <w:tcW w:w="1063" w:type="dxa"/>
            <w:tcBorders>
              <w:top w:val="single" w:sz="6" w:space="0" w:color="000000"/>
              <w:left w:val="single" w:sz="6" w:space="0" w:color="000000"/>
              <w:bottom w:val="single" w:sz="6" w:space="0" w:color="000000"/>
              <w:right w:val="single" w:sz="6" w:space="0" w:color="000000"/>
            </w:tcBorders>
          </w:tcPr>
          <w:p w14:paraId="0AAB7167"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6E2A2613"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3A6CE"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w:t>
            </w: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30913" w14:textId="6DFEA455"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1FE861" w14:textId="7A3E899E"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786BEF">
              <w:rPr>
                <w:rFonts w:ascii="Times New Roman" w:eastAsia="Times New Roman" w:hAnsi="Times New Roman" w:cs="Times New Roman"/>
                <w:kern w:val="0"/>
                <w:lang w:eastAsia="ro-MD"/>
                <w14:ligatures w14:val="none"/>
              </w:rPr>
              <w:t>x</w:t>
            </w:r>
          </w:p>
        </w:tc>
      </w:tr>
      <w:tr w:rsidR="00AF6B97" w:rsidRPr="008844AC" w14:paraId="5F1C4E62"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48B8A" w14:textId="7B9939F0"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120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A28B1"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din care: compensate la nivel central printr-o CPCC</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57D602" w14:textId="053D6E6F"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25B9DE0C"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66884B99"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C9133D" w14:textId="6202171C"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3B8CA" w14:textId="470168A7"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050EF9" w14:textId="7B91D78A"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786BEF">
              <w:rPr>
                <w:rFonts w:ascii="Times New Roman" w:eastAsia="Times New Roman" w:hAnsi="Times New Roman" w:cs="Times New Roman"/>
                <w:kern w:val="0"/>
                <w:lang w:eastAsia="ro-MD"/>
                <w14:ligatures w14:val="none"/>
              </w:rPr>
              <w:t>x</w:t>
            </w:r>
          </w:p>
        </w:tc>
      </w:tr>
      <w:tr w:rsidR="00AF6B97" w:rsidRPr="008844AC" w14:paraId="22C5032A"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7DCF7" w14:textId="71DCE20D"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130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4E7FD" w14:textId="61CA4862"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Din </w:t>
            </w:r>
            <w:r w:rsidR="001D169C">
              <w:rPr>
                <w:rFonts w:ascii="Times New Roman" w:eastAsia="Times New Roman" w:hAnsi="Times New Roman" w:cs="Times New Roman"/>
                <w:kern w:val="0"/>
                <w:lang w:eastAsia="ro-MD"/>
                <w14:ligatures w14:val="none"/>
              </w:rPr>
              <w:t xml:space="preserve">seturi de </w:t>
            </w:r>
            <w:r w:rsidRPr="008844AC">
              <w:rPr>
                <w:rFonts w:ascii="Times New Roman" w:eastAsia="Times New Roman" w:hAnsi="Times New Roman" w:cs="Times New Roman"/>
                <w:kern w:val="0"/>
                <w:lang w:eastAsia="ro-MD"/>
                <w14:ligatures w14:val="none"/>
              </w:rPr>
              <w:t>compensări contractuale între produse diferite</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4C334"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w:t>
            </w:r>
          </w:p>
        </w:tc>
        <w:tc>
          <w:tcPr>
            <w:tcW w:w="1063" w:type="dxa"/>
            <w:tcBorders>
              <w:top w:val="single" w:sz="6" w:space="0" w:color="000000"/>
              <w:left w:val="single" w:sz="6" w:space="0" w:color="000000"/>
              <w:bottom w:val="single" w:sz="6" w:space="0" w:color="000000"/>
              <w:right w:val="single" w:sz="6" w:space="0" w:color="000000"/>
            </w:tcBorders>
          </w:tcPr>
          <w:p w14:paraId="51E18A1D"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547C6DC6"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C2CB5"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w:t>
            </w: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BE52F" w14:textId="0E1F342C"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41637" w14:textId="38F8C11E"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786BEF">
              <w:rPr>
                <w:rFonts w:ascii="Times New Roman" w:eastAsia="Times New Roman" w:hAnsi="Times New Roman" w:cs="Times New Roman"/>
                <w:kern w:val="0"/>
                <w:lang w:eastAsia="ro-MD"/>
                <w14:ligatures w14:val="none"/>
              </w:rPr>
              <w:t>x</w:t>
            </w:r>
          </w:p>
        </w:tc>
      </w:tr>
      <w:tr w:rsidR="0044252E" w:rsidRPr="008844AC" w14:paraId="1BEEB637" w14:textId="77777777" w:rsidTr="00246996">
        <w:tc>
          <w:tcPr>
            <w:tcW w:w="9338" w:type="dxa"/>
            <w:gridSpan w:val="8"/>
            <w:tcBorders>
              <w:top w:val="single" w:sz="6" w:space="0" w:color="000000"/>
              <w:left w:val="single" w:sz="6" w:space="0" w:color="000000"/>
              <w:bottom w:val="single" w:sz="6" w:space="0" w:color="000000"/>
              <w:right w:val="single" w:sz="6" w:space="0" w:color="000000"/>
            </w:tcBorders>
          </w:tcPr>
          <w:p w14:paraId="7B172B29" w14:textId="77777777" w:rsidR="0044252E" w:rsidRPr="008844AC" w:rsidRDefault="0044252E" w:rsidP="00246996">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  </w:t>
            </w:r>
          </w:p>
          <w:p w14:paraId="42DFB9FB" w14:textId="77777777" w:rsidR="0044252E" w:rsidRPr="008844AC" w:rsidRDefault="0044252E" w:rsidP="00246996">
            <w:pPr>
              <w:spacing w:after="0" w:line="240" w:lineRule="auto"/>
              <w:jc w:val="both"/>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DEFALCAREA EXPUNERILOR TOTALE PE PONDERI DE RISC:</w:t>
            </w:r>
          </w:p>
        </w:tc>
      </w:tr>
      <w:tr w:rsidR="00AF6B97" w:rsidRPr="008844AC" w14:paraId="53528443"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12244" w14:textId="2B38071F"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140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C4CB8"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7E34C"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0E9793C8"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680D29D5"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AC9D6"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E0171"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A18B4" w14:textId="2E9FE170" w:rsidR="00AF6B97" w:rsidRPr="008844AC"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1B0B51">
              <w:rPr>
                <w:rFonts w:ascii="Times New Roman" w:eastAsia="Times New Roman" w:hAnsi="Times New Roman" w:cs="Times New Roman"/>
                <w:kern w:val="0"/>
                <w:lang w:eastAsia="ro-MD"/>
                <w14:ligatures w14:val="none"/>
              </w:rPr>
              <w:t>x</w:t>
            </w:r>
          </w:p>
        </w:tc>
      </w:tr>
      <w:tr w:rsidR="00AF6B97" w:rsidRPr="008844AC" w14:paraId="3A62DA83"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8D423" w14:textId="2709C772"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150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EF55E"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2%</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77E8E5" w14:textId="15706686"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012E798E"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6EF9E053"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1FC2A6" w14:textId="55FAE6AD"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7B07EF" w14:textId="3AD69ABC"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EC4D6B" w14:textId="5CFD6214"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1B0B51">
              <w:rPr>
                <w:rFonts w:ascii="Times New Roman" w:eastAsia="Times New Roman" w:hAnsi="Times New Roman" w:cs="Times New Roman"/>
                <w:kern w:val="0"/>
                <w:lang w:eastAsia="ro-MD"/>
                <w14:ligatures w14:val="none"/>
              </w:rPr>
              <w:t>x</w:t>
            </w:r>
          </w:p>
        </w:tc>
      </w:tr>
      <w:tr w:rsidR="00AF6B97" w:rsidRPr="008844AC" w14:paraId="3C0E7906"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5A8DB" w14:textId="4970ECE6"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160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BCE86"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4%</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FEB2FD" w14:textId="6AA47C34"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09255241"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77D13FE2"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8CAAC0" w14:textId="218AF34C"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C7F6615" w14:textId="3E536D0A"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7C27C5" w14:textId="7DB91471"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1B0B51">
              <w:rPr>
                <w:rFonts w:ascii="Times New Roman" w:eastAsia="Times New Roman" w:hAnsi="Times New Roman" w:cs="Times New Roman"/>
                <w:kern w:val="0"/>
                <w:lang w:eastAsia="ro-MD"/>
                <w14:ligatures w14:val="none"/>
              </w:rPr>
              <w:t>x</w:t>
            </w:r>
          </w:p>
        </w:tc>
      </w:tr>
      <w:tr w:rsidR="00AF6B97" w:rsidRPr="008844AC" w14:paraId="101ED376"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5A776" w14:textId="7A08FA5F"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170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609E6"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10%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68097"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411FF7FF"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0279D4FF"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CE892"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2E9C8"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F65BD" w14:textId="2AA22C17" w:rsidR="00AF6B97" w:rsidRPr="008844AC"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1B0B51">
              <w:rPr>
                <w:rFonts w:ascii="Times New Roman" w:eastAsia="Times New Roman" w:hAnsi="Times New Roman" w:cs="Times New Roman"/>
                <w:kern w:val="0"/>
                <w:lang w:eastAsia="ro-MD"/>
                <w14:ligatures w14:val="none"/>
              </w:rPr>
              <w:t>x</w:t>
            </w:r>
          </w:p>
        </w:tc>
      </w:tr>
      <w:tr w:rsidR="00AF6B97" w:rsidRPr="008844AC" w14:paraId="402D3436"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A31A81" w14:textId="32A3DC15"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180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3C8906"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20%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6193EF"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2C74E8C1"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1C11FF0B"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72150C"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9E5536"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37C92A" w14:textId="5E97CBB2" w:rsidR="00AF6B97" w:rsidRPr="008844AC"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1B0B51">
              <w:rPr>
                <w:rFonts w:ascii="Times New Roman" w:eastAsia="Times New Roman" w:hAnsi="Times New Roman" w:cs="Times New Roman"/>
                <w:kern w:val="0"/>
                <w:lang w:eastAsia="ro-MD"/>
                <w14:ligatures w14:val="none"/>
              </w:rPr>
              <w:t>x</w:t>
            </w:r>
          </w:p>
        </w:tc>
      </w:tr>
      <w:tr w:rsidR="00AF6B97" w:rsidRPr="00E91D07" w14:paraId="3E283DCD"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38E14C" w14:textId="1F363E2A"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0185</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27E6BF"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30%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BCBE175"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57954EEC"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160192AC"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648947"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F35CDC"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3E2542" w14:textId="21CC1345" w:rsidR="00AF6B97" w:rsidRPr="00E91D07"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E91D07" w14:paraId="70BF3083"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D7BFCF" w14:textId="32E45435"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lastRenderedPageBreak/>
              <w:t>0190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E635F9"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35%</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B18020"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158D3068"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6486C505"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1413659"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CEAC87"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BD99B9" w14:textId="4341E8A5" w:rsidR="00AF6B97" w:rsidRPr="00E91D07"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E91D07" w14:paraId="42E9B17C"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B4F76A" w14:textId="1F93A610"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0195</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849804"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40%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C8AAB1"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18492EF5"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4A9B1AA3"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59AA72"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9EC98F9"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4B58631" w14:textId="1C7C0461" w:rsidR="00AF6B97" w:rsidRPr="00E91D07"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E91D07" w14:paraId="2C726DEC"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A4AB7EB" w14:textId="69E48AE7"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0196</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7E6BFE"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45%</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01BCE6"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0DB8A44A"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7F837189"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A79FFC"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9B17344"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9FE71F" w14:textId="6AA6875A" w:rsidR="00AF6B97" w:rsidRPr="00E91D07"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E91D07" w14:paraId="6FA4FE5A"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EFD286" w14:textId="316C0974"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0200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6C25B6"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50%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EF9872"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04B84BBF"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2D3E9B74"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DE8C67"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BD2E66"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A9D6DF" w14:textId="4842A401" w:rsidR="00AF6B97" w:rsidRPr="00E91D07"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E91D07" w14:paraId="26DB9672"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BEBEA1" w14:textId="6E968592"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0205</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A3EABF"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60%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718D6F"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314BB251"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4004A2D8"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E81502"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E7AADB7"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36723F8" w14:textId="28BE5A5B" w:rsidR="00AF6B97" w:rsidRPr="00E91D07"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E91D07" w14:paraId="222FCAC2"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27537A" w14:textId="5954EF66"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0210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BA54C5"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70%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3530785"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63546031"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36FB20B4"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B225841"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A09EAA"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FF3AC8F" w14:textId="0D25CA5A" w:rsidR="00AF6B97" w:rsidRPr="00E91D07"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E91D07" w14:paraId="010476BB"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E824208" w14:textId="1F2E62C9"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0220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2BE050"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75%</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490167"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77C7A9ED"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41CEDD50"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0D156A"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B44B1"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873B8E" w14:textId="46D1E4A8" w:rsidR="00AF6B97" w:rsidRPr="00E91D07"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E91D07" w14:paraId="31A0FAA5"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4B83A1" w14:textId="20B49C77"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0225</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058AF6"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80%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B0CBAF"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6782BF44"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1DF08F3A"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0B35513"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D38BCC"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A6FF67" w14:textId="46508DB9" w:rsidR="00AF6B97" w:rsidRPr="00E91D07"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E91D07" w14:paraId="65283C2E"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C58D2" w14:textId="27AF3E3B"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0226</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831B3"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90%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78FD2"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35A5456E"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20655425"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9D858"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D9E0F"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5631D" w14:textId="5DA84908" w:rsidR="00AF6B97" w:rsidRPr="00E91D07"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E91D07" w14:paraId="42ED03E1"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99916" w14:textId="6F7E4C8E"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0230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2BBCE"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100%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3BAD60" w14:textId="18B22AFF"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3A76DFB1" w14:textId="77777777"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7D705C65" w14:textId="77777777"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A957963" w14:textId="16DC338B"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5EBDFB" w14:textId="3554F232"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AB190E" w14:textId="45A74050" w:rsidR="00AF6B97" w:rsidRPr="00E91D07" w:rsidRDefault="000006E9"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E91D07" w14:paraId="1621C9BB"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AA7C1" w14:textId="437F6CE4"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0231</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268DD"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105%</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53DA048"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683AB442"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2F223A78"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29D60C"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057D01"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993F64" w14:textId="0F285AF8" w:rsidR="00AF6B97" w:rsidRPr="00E91D07"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E91D07" w14:paraId="5F62AB9B"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4BBB7" w14:textId="42D4C6DC"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0232</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21879"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110%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D1AE41" w14:textId="50535AFD"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3F16B45A" w14:textId="77777777"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6511B822" w14:textId="77777777"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3D1EF94" w14:textId="42123A4C"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E0EAF0" w14:textId="5255D67C"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AA1E1DC" w14:textId="3D2B4350" w:rsidR="00AF6B97" w:rsidRPr="00E91D07" w:rsidRDefault="000006E9"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E91D07" w14:paraId="2FBE28B5"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E4EB8" w14:textId="40BC8350"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0235</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EDAE3"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130%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1FFB79"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20FF35F6"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79C5F282"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9F564C1"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271FF3"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016CF7" w14:textId="14096F64" w:rsidR="00AF6B97" w:rsidRPr="00E91D07"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E91D07" w14:paraId="3E8129CE"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C6DAA" w14:textId="5228BE59"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0240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7D84B"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150%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17E4D"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00472DA3"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45AE7BA4"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A099C"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F9564"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2F07F" w14:textId="14CB9C49" w:rsidR="00AF6B97" w:rsidRPr="00E91D07"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E91D07" w14:paraId="52B47927"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D8C70" w14:textId="7254E362"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0250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1A543"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250%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DEFDA"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0147696C"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2BA40504"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12772"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32037"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7870B" w14:textId="0001AFEF" w:rsidR="00AF6B97" w:rsidRPr="00E91D07"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r>
      <w:tr w:rsidR="008A3A78" w:rsidRPr="00E91D07" w14:paraId="35D9D841"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8B252" w14:textId="59BEC794" w:rsidR="008A3A78" w:rsidRPr="00E91D07" w:rsidRDefault="008A3A78" w:rsidP="008A3A7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0260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DD5DF" w14:textId="77777777" w:rsidR="008A3A78" w:rsidRPr="00E91D07" w:rsidRDefault="008A3A78" w:rsidP="008A3A78">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370%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29D03" w14:textId="7D29956C" w:rsidR="008A3A78" w:rsidRPr="00E91D07" w:rsidRDefault="000006E9" w:rsidP="008A3A78">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x</w:t>
            </w:r>
          </w:p>
        </w:tc>
        <w:tc>
          <w:tcPr>
            <w:tcW w:w="1063" w:type="dxa"/>
            <w:tcBorders>
              <w:top w:val="single" w:sz="6" w:space="0" w:color="000000"/>
              <w:left w:val="single" w:sz="6" w:space="0" w:color="000000"/>
              <w:bottom w:val="single" w:sz="6" w:space="0" w:color="000000"/>
              <w:right w:val="single" w:sz="6" w:space="0" w:color="000000"/>
            </w:tcBorders>
          </w:tcPr>
          <w:p w14:paraId="7C4E3D20" w14:textId="6CDD0FEB" w:rsidR="008A3A78" w:rsidRPr="00E91D07" w:rsidRDefault="000006E9" w:rsidP="008A3A78">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c>
          <w:tcPr>
            <w:tcW w:w="1147" w:type="dxa"/>
            <w:tcBorders>
              <w:top w:val="single" w:sz="6" w:space="0" w:color="000000"/>
              <w:left w:val="single" w:sz="6" w:space="0" w:color="000000"/>
              <w:bottom w:val="single" w:sz="6" w:space="0" w:color="000000"/>
              <w:right w:val="single" w:sz="6" w:space="0" w:color="000000"/>
            </w:tcBorders>
          </w:tcPr>
          <w:p w14:paraId="608BE7F0" w14:textId="0032D539" w:rsidR="008A3A78" w:rsidRPr="00E91D07" w:rsidRDefault="000006E9" w:rsidP="008A3A78">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DD101" w14:textId="32D9235F" w:rsidR="008A3A78" w:rsidRPr="00E91D07" w:rsidRDefault="000006E9" w:rsidP="008A3A78">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80601" w14:textId="4DEB3102" w:rsidR="008A3A78" w:rsidRPr="00E91D07" w:rsidRDefault="000006E9" w:rsidP="008A3A78">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B2AE9" w14:textId="45B6AD11" w:rsidR="008A3A78" w:rsidRPr="00E91D07" w:rsidRDefault="000006E9" w:rsidP="008A3A78">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E91D07" w14:paraId="38100EA1"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A0485" w14:textId="67369E76"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0265</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C10B3"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400%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396736" w14:textId="25F0FF69"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42397332" w14:textId="77777777"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31052F0A" w14:textId="77777777"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EEA5F5C" w14:textId="5990E012"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592642" w14:textId="450E8854"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71DAA03" w14:textId="670A0173" w:rsidR="00AF6B97" w:rsidRPr="00E91D07" w:rsidRDefault="000006E9"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8844AC" w14:paraId="5DD6F92B"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E12A6" w14:textId="615E859C"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0270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E542E"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1000%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03570"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65AEE386"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015B83B8"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8DCDF"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E253D"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76C6A" w14:textId="776E4A8C" w:rsidR="00AF6B97" w:rsidRPr="008844AC"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8844AC" w14:paraId="35F57C45"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1DE95" w14:textId="28F8F284"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280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4CC8C"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Alte ponderi de risc</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80F92"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134A1F7F"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1DA6FB3E"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14487"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EC211"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7C38C" w14:textId="67CCD89D" w:rsidR="00AF6B97" w:rsidRPr="008844AC"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1B0B51">
              <w:rPr>
                <w:rFonts w:ascii="Times New Roman" w:eastAsia="Times New Roman" w:hAnsi="Times New Roman" w:cs="Times New Roman"/>
                <w:kern w:val="0"/>
                <w:lang w:eastAsia="ro-MD"/>
                <w14:ligatures w14:val="none"/>
              </w:rPr>
              <w:t>x</w:t>
            </w:r>
          </w:p>
        </w:tc>
      </w:tr>
      <w:tr w:rsidR="0044252E" w:rsidRPr="008844AC" w14:paraId="12F41DC0" w14:textId="77777777" w:rsidTr="00246996">
        <w:tc>
          <w:tcPr>
            <w:tcW w:w="9338" w:type="dxa"/>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5AD3590" w14:textId="77777777" w:rsidR="0044252E" w:rsidRPr="00E91D07" w:rsidRDefault="0044252E" w:rsidP="00246996">
            <w:pPr>
              <w:spacing w:after="0" w:line="240" w:lineRule="auto"/>
              <w:jc w:val="center"/>
              <w:rPr>
                <w:rFonts w:ascii="Times New Roman" w:eastAsia="Times New Roman" w:hAnsi="Times New Roman" w:cs="Times New Roman"/>
                <w:b/>
                <w:bCs/>
                <w:kern w:val="0"/>
                <w:lang w:eastAsia="ro-MD"/>
                <w14:ligatures w14:val="none"/>
              </w:rPr>
            </w:pPr>
          </w:p>
          <w:p w14:paraId="00ECAEA2" w14:textId="77777777" w:rsidR="0044252E" w:rsidRPr="00E91D07" w:rsidRDefault="0044252E" w:rsidP="00246996">
            <w:pPr>
              <w:spacing w:after="0" w:line="240" w:lineRule="auto"/>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b/>
                <w:bCs/>
                <w:kern w:val="0"/>
                <w:lang w:eastAsia="ro-MD"/>
                <w14:ligatures w14:val="none"/>
              </w:rPr>
              <w:t>DEFALCAREA EXPUNERILOR TOTALE ÎN FUNCȚIE DE ABORDARE (OPC):</w:t>
            </w:r>
          </w:p>
        </w:tc>
      </w:tr>
      <w:tr w:rsidR="00AF6B97" w:rsidRPr="00E91D07" w14:paraId="352A4790"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A25F843" w14:textId="0647AC62"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0281</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B1F971"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Abordarea de tip look-</w:t>
            </w:r>
            <w:proofErr w:type="spellStart"/>
            <w:r w:rsidRPr="00E91D07">
              <w:rPr>
                <w:rFonts w:ascii="Times New Roman" w:eastAsia="Times New Roman" w:hAnsi="Times New Roman" w:cs="Times New Roman"/>
                <w:kern w:val="0"/>
                <w:lang w:eastAsia="ro-MD"/>
                <w14:ligatures w14:val="none"/>
              </w:rPr>
              <w:t>through</w:t>
            </w:r>
            <w:proofErr w:type="spellEnd"/>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BB5725"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210AD9EB"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3856DE0B"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912562"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541531"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BDC48E" w14:textId="14A51044" w:rsidR="00AF6B97" w:rsidRPr="00E91D07"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E91D07" w14:paraId="1A324A31"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084032" w14:textId="456E55EE"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0282</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9392B0"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Abordarea pe bază de mandat</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56F1938"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6227446C"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1778C8BA"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B94F81"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2BC9B9"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E6B172" w14:textId="5E54EFF6" w:rsidR="00AF6B97" w:rsidRPr="00E91D07"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r>
      <w:tr w:rsidR="00AF6B97" w:rsidRPr="008844AC" w14:paraId="1AA9E8D8"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55033C" w14:textId="60186288" w:rsidR="00AF6B97" w:rsidRPr="00E91D07" w:rsidRDefault="00AF6B97" w:rsidP="00AF6B97">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0283</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69C892"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Abordarea de rezervă (</w:t>
            </w:r>
            <w:proofErr w:type="spellStart"/>
            <w:r w:rsidRPr="00E91D07">
              <w:rPr>
                <w:rFonts w:ascii="Times New Roman" w:eastAsia="Times New Roman" w:hAnsi="Times New Roman" w:cs="Times New Roman"/>
                <w:kern w:val="0"/>
                <w:lang w:eastAsia="ro-MD"/>
                <w14:ligatures w14:val="none"/>
              </w:rPr>
              <w:t>fall</w:t>
            </w:r>
            <w:proofErr w:type="spellEnd"/>
            <w:r w:rsidRPr="00E91D07">
              <w:rPr>
                <w:rFonts w:ascii="Times New Roman" w:eastAsia="Times New Roman" w:hAnsi="Times New Roman" w:cs="Times New Roman"/>
                <w:kern w:val="0"/>
                <w:lang w:eastAsia="ro-MD"/>
                <w14:ligatures w14:val="none"/>
              </w:rPr>
              <w:t>-back)</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407696" w14:textId="77777777" w:rsidR="00AF6B97" w:rsidRPr="00E91D07"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4B122166"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119815C8"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885753"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8AD170" w14:textId="77777777" w:rsidR="00AF6B97" w:rsidRPr="00E91D07"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9177B3" w14:textId="77C67301" w:rsidR="00AF6B97" w:rsidRPr="008844AC" w:rsidRDefault="000006E9" w:rsidP="00AF6B97">
            <w:pPr>
              <w:spacing w:after="0" w:line="240" w:lineRule="auto"/>
              <w:jc w:val="center"/>
              <w:rPr>
                <w:rFonts w:ascii="Times New Roman" w:eastAsia="Times New Roman" w:hAnsi="Times New Roman" w:cs="Times New Roman"/>
                <w:kern w:val="0"/>
                <w:sz w:val="20"/>
                <w:szCs w:val="20"/>
                <w:lang w:eastAsia="ro-MD"/>
                <w14:ligatures w14:val="none"/>
              </w:rPr>
            </w:pPr>
            <w:r w:rsidRPr="00E91D07">
              <w:rPr>
                <w:rFonts w:ascii="Times New Roman" w:eastAsia="Times New Roman" w:hAnsi="Times New Roman" w:cs="Times New Roman"/>
                <w:kern w:val="0"/>
                <w:lang w:eastAsia="ro-MD"/>
                <w14:ligatures w14:val="none"/>
              </w:rPr>
              <w:t>x</w:t>
            </w:r>
          </w:p>
        </w:tc>
      </w:tr>
      <w:tr w:rsidR="0044252E" w:rsidRPr="008844AC" w14:paraId="477E4592" w14:textId="77777777" w:rsidTr="00246996">
        <w:tc>
          <w:tcPr>
            <w:tcW w:w="9338" w:type="dxa"/>
            <w:gridSpan w:val="8"/>
            <w:tcBorders>
              <w:top w:val="single" w:sz="6" w:space="0" w:color="000000"/>
              <w:left w:val="single" w:sz="6" w:space="0" w:color="000000"/>
              <w:bottom w:val="single" w:sz="6" w:space="0" w:color="000000"/>
              <w:right w:val="single" w:sz="6" w:space="0" w:color="000000"/>
            </w:tcBorders>
          </w:tcPr>
          <w:p w14:paraId="03565FA5" w14:textId="77777777" w:rsidR="0044252E" w:rsidRPr="008844AC" w:rsidRDefault="0044252E" w:rsidP="00246996">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  </w:t>
            </w:r>
          </w:p>
          <w:p w14:paraId="239FE0C2" w14:textId="77777777" w:rsidR="0044252E" w:rsidRPr="008844AC" w:rsidRDefault="0044252E" w:rsidP="00246996">
            <w:pPr>
              <w:spacing w:after="0" w:line="240" w:lineRule="auto"/>
              <w:ind w:firstLine="567"/>
              <w:jc w:val="both"/>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ELEMENTE MEMORANDUM</w:t>
            </w:r>
          </w:p>
        </w:tc>
      </w:tr>
      <w:tr w:rsidR="00AF6B97" w:rsidRPr="008844AC" w14:paraId="1D7C2AA0"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FDCBC" w14:textId="3A089006"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290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40B4F"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Expuneri garantate cu ipoteci asupra bunurilor imobile comerciale</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2CEEE"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45397CC4"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4974523B"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371E9"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5AE44" w14:textId="494A9797"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EB5080" w14:textId="7EB43C0B"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352784">
              <w:rPr>
                <w:rFonts w:ascii="Times New Roman" w:eastAsia="Times New Roman" w:hAnsi="Times New Roman" w:cs="Times New Roman"/>
                <w:kern w:val="0"/>
                <w:lang w:eastAsia="ro-MD"/>
                <w14:ligatures w14:val="none"/>
              </w:rPr>
              <w:t>x</w:t>
            </w:r>
          </w:p>
        </w:tc>
      </w:tr>
      <w:tr w:rsidR="00AF6B97" w:rsidRPr="008844AC" w14:paraId="09EC2D0D"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BF3B9" w14:textId="77E594C8"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300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1D182"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Expuneri în stare de nerambursare supuse unei ponderi de risc de 100%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F1EC7"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501C74C2"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6EB826B7" w14:textId="77777777"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23E6E" w14:textId="6AE86B23"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1D6DB" w14:textId="7DDC679A"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6C61AE" w14:textId="339FB92D"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352784">
              <w:rPr>
                <w:rFonts w:ascii="Times New Roman" w:eastAsia="Times New Roman" w:hAnsi="Times New Roman" w:cs="Times New Roman"/>
                <w:kern w:val="0"/>
                <w:lang w:eastAsia="ro-MD"/>
                <w14:ligatures w14:val="none"/>
              </w:rPr>
              <w:t>x</w:t>
            </w:r>
          </w:p>
        </w:tc>
      </w:tr>
      <w:tr w:rsidR="00AF6B97" w:rsidRPr="008844AC" w14:paraId="170D880B"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90139" w14:textId="37FBA894" w:rsidR="00AF6B97" w:rsidRPr="008844AC" w:rsidRDefault="00AF6B97" w:rsidP="00AF6B97">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310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0B5B5"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Expuneri garantate cu ipoteci asupra bunurilor imobile locative</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7BDF7" w14:textId="77777777" w:rsidR="00AF6B97" w:rsidRPr="008844AC" w:rsidRDefault="00AF6B97" w:rsidP="00AF6B97">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484F8512"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2DB0E34D"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CB9B1" w14:textId="77777777" w:rsidR="00AF6B97" w:rsidRPr="008844AC" w:rsidRDefault="00AF6B97" w:rsidP="00AF6B97">
            <w:pPr>
              <w:spacing w:after="0" w:line="240" w:lineRule="auto"/>
              <w:jc w:val="center"/>
              <w:rPr>
                <w:rFonts w:ascii="Times New Roman" w:eastAsia="Times New Roman" w:hAnsi="Times New Roman" w:cs="Times New Roman"/>
                <w:kern w:val="0"/>
                <w:sz w:val="20"/>
                <w:szCs w:val="2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CA865" w14:textId="52ABB409"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F151683" w14:textId="02B3C808" w:rsidR="00AF6B97" w:rsidRPr="008844AC" w:rsidRDefault="000006E9" w:rsidP="00AF6B97">
            <w:pPr>
              <w:spacing w:after="0" w:line="240" w:lineRule="auto"/>
              <w:jc w:val="center"/>
              <w:rPr>
                <w:rFonts w:ascii="Times New Roman" w:eastAsia="Times New Roman" w:hAnsi="Times New Roman" w:cs="Times New Roman"/>
                <w:kern w:val="0"/>
                <w:lang w:eastAsia="ro-MD"/>
                <w14:ligatures w14:val="none"/>
              </w:rPr>
            </w:pPr>
            <w:r w:rsidRPr="00352784">
              <w:rPr>
                <w:rFonts w:ascii="Times New Roman" w:eastAsia="Times New Roman" w:hAnsi="Times New Roman" w:cs="Times New Roman"/>
                <w:kern w:val="0"/>
                <w:lang w:eastAsia="ro-MD"/>
                <w14:ligatures w14:val="none"/>
              </w:rPr>
              <w:t>x</w:t>
            </w:r>
          </w:p>
        </w:tc>
      </w:tr>
      <w:tr w:rsidR="00D90AA2" w:rsidRPr="008844AC" w14:paraId="3C9A8A9B"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8C990" w14:textId="760BCBBA" w:rsidR="0044252E" w:rsidRPr="008844AC" w:rsidRDefault="00E63527" w:rsidP="00246996">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44252E" w:rsidRPr="008844AC">
              <w:rPr>
                <w:rFonts w:ascii="Times New Roman" w:eastAsia="Times New Roman" w:hAnsi="Times New Roman" w:cs="Times New Roman"/>
                <w:kern w:val="0"/>
                <w:lang w:eastAsia="ro-MD"/>
                <w14:ligatures w14:val="none"/>
              </w:rPr>
              <w:t>320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982AA" w14:textId="77777777" w:rsidR="0044252E" w:rsidRPr="008844AC" w:rsidRDefault="0044252E" w:rsidP="00246996">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Expuneri în stare de nerambursare supuse unei </w:t>
            </w:r>
            <w:r w:rsidRPr="008844AC">
              <w:rPr>
                <w:rFonts w:ascii="Times New Roman" w:eastAsia="Times New Roman" w:hAnsi="Times New Roman" w:cs="Times New Roman"/>
                <w:kern w:val="0"/>
                <w:lang w:eastAsia="ro-MD"/>
                <w14:ligatures w14:val="none"/>
              </w:rPr>
              <w:lastRenderedPageBreak/>
              <w:t>ponderi de risc de 150%</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67637" w14:textId="77777777" w:rsidR="0044252E" w:rsidRPr="008844AC" w:rsidRDefault="0044252E" w:rsidP="00246996">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2612209B" w14:textId="77777777" w:rsidR="0044252E" w:rsidRPr="008844AC" w:rsidRDefault="0044252E" w:rsidP="00246996">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2079A145" w14:textId="77777777" w:rsidR="0044252E" w:rsidRPr="008844AC" w:rsidRDefault="0044252E" w:rsidP="00246996">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C8810" w14:textId="0EE5D0C2" w:rsidR="0044252E" w:rsidRPr="008844AC" w:rsidRDefault="000006E9" w:rsidP="00246996">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CD043" w14:textId="382C53DE" w:rsidR="0044252E" w:rsidRPr="008844AC" w:rsidRDefault="000006E9" w:rsidP="00246996">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17E7D53" w14:textId="12E76F6A" w:rsidR="0044252E" w:rsidRPr="008844AC" w:rsidRDefault="000006E9" w:rsidP="00246996">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x</w:t>
            </w:r>
          </w:p>
        </w:tc>
      </w:tr>
      <w:tr w:rsidR="008373B4" w:rsidRPr="008844AC" w14:paraId="27E54685" w14:textId="77777777" w:rsidTr="00B47F18">
        <w:tc>
          <w:tcPr>
            <w:tcW w:w="6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51B2E8" w14:textId="437172FE" w:rsidR="008373B4" w:rsidRDefault="008373B4" w:rsidP="00246996">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0330</w:t>
            </w:r>
          </w:p>
        </w:tc>
        <w:tc>
          <w:tcPr>
            <w:tcW w:w="154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3494127" w14:textId="2A8E8F36" w:rsidR="008373B4" w:rsidRPr="008844AC" w:rsidRDefault="008373B4" w:rsidP="00246996">
            <w:pPr>
              <w:spacing w:after="0" w:line="240" w:lineRule="auto"/>
              <w:rPr>
                <w:rFonts w:ascii="Times New Roman" w:eastAsia="Times New Roman" w:hAnsi="Times New Roman" w:cs="Times New Roman"/>
                <w:kern w:val="0"/>
                <w:lang w:eastAsia="ro-MD"/>
                <w14:ligatures w14:val="none"/>
              </w:rPr>
            </w:pPr>
            <w:r w:rsidRPr="008373B4">
              <w:rPr>
                <w:rFonts w:ascii="Times New Roman" w:eastAsia="Times New Roman" w:hAnsi="Times New Roman" w:cs="Times New Roman"/>
                <w:kern w:val="0"/>
                <w:lang w:eastAsia="ro-MD"/>
                <w14:ligatures w14:val="none"/>
              </w:rPr>
              <w:t>Achiziții, dezvoltare și construcții (ADC)</w:t>
            </w: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C5561F7" w14:textId="77777777" w:rsidR="008373B4" w:rsidRPr="008844AC" w:rsidRDefault="008373B4" w:rsidP="00246996">
            <w:pPr>
              <w:spacing w:after="0" w:line="240" w:lineRule="auto"/>
              <w:rPr>
                <w:rFonts w:ascii="Times New Roman" w:eastAsia="Times New Roman" w:hAnsi="Times New Roman" w:cs="Times New Roman"/>
                <w:kern w:val="0"/>
                <w:lang w:eastAsia="ro-MD"/>
                <w14:ligatures w14:val="none"/>
              </w:rPr>
            </w:pPr>
          </w:p>
        </w:tc>
        <w:tc>
          <w:tcPr>
            <w:tcW w:w="1063" w:type="dxa"/>
            <w:tcBorders>
              <w:top w:val="single" w:sz="6" w:space="0" w:color="000000"/>
              <w:left w:val="single" w:sz="6" w:space="0" w:color="000000"/>
              <w:bottom w:val="single" w:sz="6" w:space="0" w:color="000000"/>
              <w:right w:val="single" w:sz="6" w:space="0" w:color="000000"/>
            </w:tcBorders>
          </w:tcPr>
          <w:p w14:paraId="329C10AE" w14:textId="77777777" w:rsidR="008373B4" w:rsidRPr="008844AC" w:rsidRDefault="008373B4" w:rsidP="00246996">
            <w:pPr>
              <w:spacing w:after="0" w:line="240" w:lineRule="auto"/>
              <w:jc w:val="center"/>
              <w:rPr>
                <w:rFonts w:ascii="Times New Roman" w:eastAsia="Times New Roman" w:hAnsi="Times New Roman" w:cs="Times New Roman"/>
                <w:kern w:val="0"/>
                <w:lang w:eastAsia="ro-MD"/>
                <w14:ligatures w14:val="none"/>
              </w:rPr>
            </w:pPr>
          </w:p>
        </w:tc>
        <w:tc>
          <w:tcPr>
            <w:tcW w:w="1147" w:type="dxa"/>
            <w:tcBorders>
              <w:top w:val="single" w:sz="6" w:space="0" w:color="000000"/>
              <w:left w:val="single" w:sz="6" w:space="0" w:color="000000"/>
              <w:bottom w:val="single" w:sz="6" w:space="0" w:color="000000"/>
              <w:right w:val="single" w:sz="6" w:space="0" w:color="000000"/>
            </w:tcBorders>
          </w:tcPr>
          <w:p w14:paraId="2838B5C9" w14:textId="77777777" w:rsidR="008373B4" w:rsidRPr="008844AC" w:rsidRDefault="008373B4" w:rsidP="00246996">
            <w:pPr>
              <w:spacing w:after="0" w:line="240" w:lineRule="auto"/>
              <w:jc w:val="center"/>
              <w:rPr>
                <w:rFonts w:ascii="Times New Roman" w:eastAsia="Times New Roman" w:hAnsi="Times New Roman" w:cs="Times New Roman"/>
                <w:kern w:val="0"/>
                <w:lang w:eastAsia="ro-MD"/>
                <w14:ligatures w14:val="none"/>
              </w:rPr>
            </w:pPr>
          </w:p>
        </w:tc>
        <w:tc>
          <w:tcPr>
            <w:tcW w:w="13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2A299F1" w14:textId="77777777" w:rsidR="008373B4" w:rsidRPr="008844AC" w:rsidRDefault="008373B4" w:rsidP="00246996">
            <w:pPr>
              <w:spacing w:after="0" w:line="240" w:lineRule="auto"/>
              <w:jc w:val="center"/>
              <w:rPr>
                <w:rFonts w:ascii="Times New Roman" w:eastAsia="Times New Roman" w:hAnsi="Times New Roman" w:cs="Times New Roman"/>
                <w:kern w:val="0"/>
                <w:lang w:eastAsia="ro-MD"/>
                <w14:ligatures w14:val="none"/>
              </w:rPr>
            </w:pPr>
          </w:p>
        </w:tc>
        <w:tc>
          <w:tcPr>
            <w:tcW w:w="9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F875B0" w14:textId="03E61FDA" w:rsidR="008373B4" w:rsidRPr="008844AC" w:rsidRDefault="000006E9" w:rsidP="00246996">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c>
          <w:tcPr>
            <w:tcW w:w="130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C7B130" w14:textId="4C665250" w:rsidR="008373B4" w:rsidRPr="008844AC" w:rsidRDefault="000006E9" w:rsidP="00246996">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x</w:t>
            </w:r>
          </w:p>
        </w:tc>
      </w:tr>
    </w:tbl>
    <w:p w14:paraId="641305BE" w14:textId="77777777" w:rsidR="008844AC" w:rsidRDefault="008844AC" w:rsidP="008844AC">
      <w:pPr>
        <w:spacing w:after="0" w:line="240" w:lineRule="auto"/>
        <w:ind w:firstLine="567"/>
        <w:jc w:val="both"/>
        <w:rPr>
          <w:rFonts w:ascii="Arial" w:eastAsia="Times New Roman" w:hAnsi="Arial" w:cs="Arial"/>
          <w:kern w:val="0"/>
          <w:sz w:val="24"/>
          <w:szCs w:val="24"/>
          <w:lang w:eastAsia="ro-MD"/>
          <w14:ligatures w14:val="none"/>
        </w:rPr>
      </w:pPr>
      <w:r w:rsidRPr="008844AC">
        <w:rPr>
          <w:rFonts w:ascii="Arial" w:eastAsia="Times New Roman" w:hAnsi="Arial" w:cs="Arial"/>
          <w:kern w:val="0"/>
          <w:sz w:val="24"/>
          <w:szCs w:val="24"/>
          <w:lang w:eastAsia="ro-MD"/>
          <w14:ligatures w14:val="none"/>
        </w:rPr>
        <w:t> </w:t>
      </w:r>
    </w:p>
    <w:p w14:paraId="4BAFE503" w14:textId="77777777" w:rsidR="00030347" w:rsidRDefault="00030347" w:rsidP="008844AC">
      <w:pPr>
        <w:spacing w:after="0" w:line="240" w:lineRule="auto"/>
        <w:ind w:firstLine="567"/>
        <w:jc w:val="both"/>
        <w:rPr>
          <w:rFonts w:ascii="Arial" w:eastAsia="Times New Roman" w:hAnsi="Arial" w:cs="Arial"/>
          <w:kern w:val="0"/>
          <w:sz w:val="24"/>
          <w:szCs w:val="24"/>
          <w:lang w:eastAsia="ro-MD"/>
          <w14:ligatures w14:val="none"/>
        </w:rPr>
      </w:pPr>
    </w:p>
    <w:p w14:paraId="149C00BE" w14:textId="77777777" w:rsidR="00B47F18" w:rsidRPr="0045507E" w:rsidRDefault="00B47F18" w:rsidP="0045507E">
      <w:pPr>
        <w:spacing w:after="0"/>
        <w:jc w:val="center"/>
        <w:rPr>
          <w:rFonts w:ascii="Times New Roman" w:hAnsi="Times New Roman" w:cs="Times New Roman"/>
          <w:b/>
          <w:bCs/>
          <w:sz w:val="24"/>
          <w:szCs w:val="24"/>
        </w:rPr>
      </w:pPr>
      <w:r w:rsidRPr="0045507E">
        <w:rPr>
          <w:rFonts w:ascii="Times New Roman" w:hAnsi="Times New Roman" w:cs="Times New Roman"/>
          <w:b/>
          <w:bCs/>
          <w:sz w:val="24"/>
          <w:szCs w:val="24"/>
        </w:rPr>
        <w:t>Modul de completare a raportului</w:t>
      </w:r>
    </w:p>
    <w:p w14:paraId="3FD53F88" w14:textId="2E2E3EB1" w:rsidR="00B47F18" w:rsidRPr="0045507E" w:rsidRDefault="00B47F18" w:rsidP="0045507E">
      <w:pPr>
        <w:spacing w:after="0"/>
        <w:jc w:val="center"/>
        <w:rPr>
          <w:rFonts w:ascii="Times New Roman" w:hAnsi="Times New Roman" w:cs="Times New Roman"/>
          <w:b/>
          <w:bCs/>
          <w:sz w:val="24"/>
          <w:szCs w:val="24"/>
          <w:lang w:eastAsia="ro-MD"/>
        </w:rPr>
      </w:pPr>
      <w:r w:rsidRPr="0045507E">
        <w:rPr>
          <w:rFonts w:ascii="Times New Roman" w:hAnsi="Times New Roman" w:cs="Times New Roman"/>
          <w:b/>
          <w:bCs/>
          <w:sz w:val="24"/>
          <w:szCs w:val="24"/>
        </w:rPr>
        <w:t>C 07.00 - RISCUL DE CREDIT</w:t>
      </w:r>
      <w:r w:rsidRPr="0045507E">
        <w:rPr>
          <w:rFonts w:ascii="Times New Roman" w:hAnsi="Times New Roman" w:cs="Times New Roman"/>
          <w:b/>
          <w:bCs/>
          <w:sz w:val="24"/>
          <w:szCs w:val="24"/>
          <w:lang w:eastAsia="ro-MD"/>
        </w:rPr>
        <w:t xml:space="preserve">, RISCUL DE CREDIT AL </w:t>
      </w:r>
      <w:r w:rsidR="00D92D9E" w:rsidRPr="0045507E">
        <w:rPr>
          <w:rFonts w:ascii="Times New Roman" w:hAnsi="Times New Roman" w:cs="Times New Roman"/>
          <w:b/>
          <w:bCs/>
          <w:sz w:val="24"/>
          <w:szCs w:val="24"/>
          <w:lang w:eastAsia="ro-MD"/>
        </w:rPr>
        <w:t>CONTRAP</w:t>
      </w:r>
      <w:r w:rsidR="00D92D9E">
        <w:rPr>
          <w:rFonts w:ascii="Times New Roman" w:hAnsi="Times New Roman" w:cs="Times New Roman"/>
          <w:b/>
          <w:bCs/>
          <w:sz w:val="24"/>
          <w:szCs w:val="24"/>
          <w:lang w:eastAsia="ro-MD"/>
        </w:rPr>
        <w:t>ĂRȚII</w:t>
      </w:r>
    </w:p>
    <w:p w14:paraId="72F31B52" w14:textId="77777777" w:rsidR="00B47F18" w:rsidRPr="0045507E" w:rsidRDefault="00B47F18" w:rsidP="0045507E">
      <w:pPr>
        <w:spacing w:after="0"/>
        <w:jc w:val="center"/>
        <w:rPr>
          <w:rFonts w:ascii="Times New Roman" w:hAnsi="Times New Roman" w:cs="Times New Roman"/>
          <w:b/>
          <w:bCs/>
          <w:sz w:val="24"/>
          <w:szCs w:val="24"/>
          <w:lang w:eastAsia="ro-MD"/>
        </w:rPr>
      </w:pPr>
      <w:r w:rsidRPr="0045507E">
        <w:rPr>
          <w:rFonts w:ascii="Times New Roman" w:hAnsi="Times New Roman" w:cs="Times New Roman"/>
          <w:b/>
          <w:bCs/>
          <w:sz w:val="24"/>
          <w:szCs w:val="24"/>
          <w:lang w:eastAsia="ro-MD"/>
        </w:rPr>
        <w:t>ŞI TRANZACŢIILE INCOMPLETE: ABORDAREA STANDARDIZATĂ</w:t>
      </w:r>
    </w:p>
    <w:p w14:paraId="736C0D99" w14:textId="77777777" w:rsidR="00B47F18" w:rsidRPr="0045507E" w:rsidRDefault="00B47F18" w:rsidP="0045507E">
      <w:pPr>
        <w:spacing w:after="0"/>
        <w:jc w:val="center"/>
        <w:rPr>
          <w:rFonts w:ascii="Times New Roman" w:hAnsi="Times New Roman" w:cs="Times New Roman"/>
          <w:b/>
          <w:bCs/>
          <w:sz w:val="24"/>
          <w:szCs w:val="24"/>
          <w:lang w:eastAsia="ro-MD"/>
        </w:rPr>
      </w:pPr>
      <w:r w:rsidRPr="0045507E">
        <w:rPr>
          <w:rFonts w:ascii="Times New Roman" w:hAnsi="Times New Roman" w:cs="Times New Roman"/>
          <w:b/>
          <w:bCs/>
          <w:sz w:val="24"/>
          <w:szCs w:val="24"/>
          <w:lang w:eastAsia="ro-MD"/>
        </w:rPr>
        <w:t>PRIVIND CERINŢELE DE CAPITAL (CR SA)</w:t>
      </w:r>
    </w:p>
    <w:p w14:paraId="5985A9E0" w14:textId="77777777" w:rsidR="008844AC" w:rsidRDefault="008844AC" w:rsidP="008844AC">
      <w:pPr>
        <w:spacing w:after="0" w:line="240" w:lineRule="auto"/>
        <w:ind w:firstLine="567"/>
        <w:jc w:val="both"/>
        <w:rPr>
          <w:rFonts w:ascii="Arial" w:eastAsia="Times New Roman" w:hAnsi="Arial" w:cs="Arial"/>
          <w:kern w:val="0"/>
          <w:sz w:val="24"/>
          <w:szCs w:val="24"/>
          <w:lang w:eastAsia="ro-MD"/>
          <w14:ligatures w14:val="none"/>
        </w:rPr>
      </w:pPr>
      <w:r w:rsidRPr="008844AC">
        <w:rPr>
          <w:rFonts w:ascii="Arial" w:eastAsia="Times New Roman" w:hAnsi="Arial" w:cs="Arial"/>
          <w:kern w:val="0"/>
          <w:sz w:val="24"/>
          <w:szCs w:val="24"/>
          <w:lang w:eastAsia="ro-MD"/>
          <w14:ligatures w14:val="none"/>
        </w:rPr>
        <w:t> </w:t>
      </w:r>
    </w:p>
    <w:p w14:paraId="5CAA6FEB" w14:textId="2EF2EA97" w:rsidR="00B47F18" w:rsidRDefault="00B47F18" w:rsidP="008844AC">
      <w:pPr>
        <w:spacing w:after="0" w:line="240" w:lineRule="auto"/>
        <w:ind w:firstLine="567"/>
        <w:jc w:val="both"/>
        <w:rPr>
          <w:rFonts w:ascii="Arial" w:eastAsia="Times New Roman" w:hAnsi="Arial" w:cs="Arial"/>
          <w:kern w:val="0"/>
          <w:sz w:val="24"/>
          <w:szCs w:val="24"/>
          <w:lang w:eastAsia="ro-MD"/>
          <w14:ligatures w14:val="none"/>
        </w:rPr>
      </w:pPr>
      <w:r w:rsidRPr="00260C32">
        <w:rPr>
          <w:rFonts w:ascii="Times New Roman" w:eastAsia="Times New Roman" w:hAnsi="Times New Roman" w:cs="Times New Roman"/>
          <w:color w:val="000000"/>
          <w:kern w:val="0"/>
          <w:lang w:eastAsia="ro-MD"/>
          <w14:ligatures w14:val="none"/>
        </w:rPr>
        <w:t>Instrucțiuni privind anumite poziții</w:t>
      </w:r>
    </w:p>
    <w:p w14:paraId="09336AFC" w14:textId="77777777" w:rsidR="00B47F18" w:rsidRPr="008844AC" w:rsidRDefault="00B47F18" w:rsidP="008844AC">
      <w:pPr>
        <w:spacing w:after="0" w:line="240" w:lineRule="auto"/>
        <w:ind w:firstLine="567"/>
        <w:jc w:val="both"/>
        <w:rPr>
          <w:rFonts w:ascii="Arial" w:eastAsia="Times New Roman" w:hAnsi="Arial" w:cs="Arial"/>
          <w:kern w:val="0"/>
          <w:sz w:val="24"/>
          <w:szCs w:val="24"/>
          <w:lang w:eastAsia="ro-MD"/>
          <w14:ligatures w14:val="none"/>
        </w:rPr>
      </w:pPr>
    </w:p>
    <w:tbl>
      <w:tblPr>
        <w:tblW w:w="5009" w:type="pct"/>
        <w:jc w:val="center"/>
        <w:tblCellMar>
          <w:top w:w="15" w:type="dxa"/>
          <w:left w:w="15" w:type="dxa"/>
          <w:bottom w:w="15" w:type="dxa"/>
          <w:right w:w="15" w:type="dxa"/>
        </w:tblCellMar>
        <w:tblLook w:val="04A0" w:firstRow="1" w:lastRow="0" w:firstColumn="1" w:lastColumn="0" w:noHBand="0" w:noVBand="1"/>
      </w:tblPr>
      <w:tblGrid>
        <w:gridCol w:w="1050"/>
        <w:gridCol w:w="7339"/>
        <w:gridCol w:w="966"/>
      </w:tblGrid>
      <w:tr w:rsidR="008844AC" w:rsidRPr="004728B8" w14:paraId="526C9D92"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78493F" w14:textId="77777777" w:rsidR="008844AC" w:rsidRPr="004728B8" w:rsidRDefault="008844AC" w:rsidP="008844AC">
            <w:pPr>
              <w:spacing w:after="0" w:line="240" w:lineRule="auto"/>
              <w:jc w:val="center"/>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Codul coloanei</w:t>
            </w:r>
          </w:p>
        </w:tc>
        <w:tc>
          <w:tcPr>
            <w:tcW w:w="394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9ED978" w14:textId="77777777" w:rsidR="008844AC" w:rsidRPr="004728B8" w:rsidRDefault="008844AC" w:rsidP="008844AC">
            <w:pPr>
              <w:spacing w:after="0" w:line="240" w:lineRule="auto"/>
              <w:jc w:val="center"/>
              <w:rPr>
                <w:rFonts w:ascii="Times New Roman" w:eastAsia="Times New Roman" w:hAnsi="Times New Roman" w:cs="Times New Roman"/>
                <w:b/>
                <w:bCs/>
                <w:kern w:val="0"/>
                <w:lang w:eastAsia="ro-MD"/>
                <w14:ligatures w14:val="none"/>
              </w:rPr>
            </w:pPr>
            <w:r w:rsidRPr="004728B8">
              <w:rPr>
                <w:rFonts w:ascii="Times New Roman" w:eastAsia="Times New Roman" w:hAnsi="Times New Roman" w:cs="Times New Roman"/>
                <w:b/>
                <w:bCs/>
                <w:kern w:val="0"/>
                <w:lang w:eastAsia="ro-MD"/>
                <w14:ligatures w14:val="none"/>
              </w:rPr>
              <w:t>Denumirea coloanei</w:t>
            </w:r>
          </w:p>
        </w:tc>
        <w:tc>
          <w:tcPr>
            <w:tcW w:w="53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099381" w14:textId="77777777" w:rsidR="008844AC" w:rsidRPr="004728B8" w:rsidRDefault="008844AC" w:rsidP="008844AC">
            <w:pPr>
              <w:spacing w:after="0" w:line="240" w:lineRule="auto"/>
              <w:jc w:val="center"/>
              <w:rPr>
                <w:rFonts w:ascii="Times New Roman" w:eastAsia="Times New Roman" w:hAnsi="Times New Roman" w:cs="Times New Roman"/>
                <w:b/>
                <w:bCs/>
                <w:kern w:val="0"/>
                <w:lang w:eastAsia="ro-MD"/>
                <w14:ligatures w14:val="none"/>
              </w:rPr>
            </w:pPr>
          </w:p>
        </w:tc>
      </w:tr>
      <w:tr w:rsidR="008844AC" w:rsidRPr="004728B8" w14:paraId="1678EE1A"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5BE7C" w14:textId="7AA4B7E4" w:rsidR="008844AC" w:rsidRPr="004728B8"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4728B8">
              <w:rPr>
                <w:rFonts w:ascii="Times New Roman" w:eastAsia="Times New Roman" w:hAnsi="Times New Roman" w:cs="Times New Roman"/>
                <w:kern w:val="0"/>
                <w:lang w:eastAsia="ro-MD"/>
                <w14:ligatures w14:val="none"/>
              </w:rPr>
              <w:t>010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969B9" w14:textId="77777777" w:rsidR="008844AC" w:rsidRPr="008D5004" w:rsidRDefault="008844AC" w:rsidP="008844AC">
            <w:pPr>
              <w:spacing w:after="0" w:line="240" w:lineRule="auto"/>
              <w:rPr>
                <w:rFonts w:ascii="Times New Roman" w:eastAsia="Times New Roman" w:hAnsi="Times New Roman" w:cs="Times New Roman"/>
                <w:b/>
                <w:bCs/>
                <w:kern w:val="0"/>
                <w:lang w:eastAsia="ro-MD"/>
                <w14:ligatures w14:val="none"/>
              </w:rPr>
            </w:pPr>
            <w:r w:rsidRPr="008D5004">
              <w:rPr>
                <w:rFonts w:ascii="Times New Roman" w:eastAsia="Times New Roman" w:hAnsi="Times New Roman" w:cs="Times New Roman"/>
                <w:b/>
                <w:bCs/>
                <w:kern w:val="0"/>
                <w:lang w:eastAsia="ro-MD"/>
                <w14:ligatures w14:val="none"/>
              </w:rPr>
              <w:t xml:space="preserve">Expunerea </w:t>
            </w:r>
            <w:proofErr w:type="spellStart"/>
            <w:r w:rsidRPr="008D5004">
              <w:rPr>
                <w:rFonts w:ascii="Times New Roman" w:eastAsia="Times New Roman" w:hAnsi="Times New Roman" w:cs="Times New Roman"/>
                <w:b/>
                <w:bCs/>
                <w:kern w:val="0"/>
                <w:lang w:eastAsia="ro-MD"/>
                <w14:ligatures w14:val="none"/>
              </w:rPr>
              <w:t>iniţială</w:t>
            </w:r>
            <w:proofErr w:type="spellEnd"/>
            <w:r w:rsidRPr="008D5004">
              <w:rPr>
                <w:rFonts w:ascii="Times New Roman" w:eastAsia="Times New Roman" w:hAnsi="Times New Roman" w:cs="Times New Roman"/>
                <w:b/>
                <w:bCs/>
                <w:kern w:val="0"/>
                <w:lang w:eastAsia="ro-MD"/>
                <w14:ligatures w14:val="none"/>
              </w:rPr>
              <w:t xml:space="preserve"> înainte de aplicarea factorilor de conversie </w:t>
            </w:r>
          </w:p>
          <w:p w14:paraId="74E9AD67" w14:textId="72B12137" w:rsidR="008844AC" w:rsidRPr="008F1563"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Valoarea expunerii</w:t>
            </w:r>
            <w:r w:rsidR="008D5004">
              <w:rPr>
                <w:rFonts w:ascii="Times New Roman" w:eastAsia="Times New Roman" w:hAnsi="Times New Roman" w:cs="Times New Roman"/>
                <w:kern w:val="0"/>
                <w:lang w:eastAsia="ro-MD"/>
                <w14:ligatures w14:val="none"/>
              </w:rPr>
              <w:t xml:space="preserve"> calculată</w:t>
            </w:r>
            <w:r w:rsidRPr="004728B8">
              <w:rPr>
                <w:rFonts w:ascii="Times New Roman" w:eastAsia="Times New Roman" w:hAnsi="Times New Roman" w:cs="Times New Roman"/>
                <w:kern w:val="0"/>
                <w:lang w:eastAsia="ro-MD"/>
                <w14:ligatures w14:val="none"/>
              </w:rPr>
              <w:t xml:space="preserve"> în conformitate cu punctele 5 </w:t>
            </w:r>
            <w:r w:rsidR="008D5004">
              <w:rPr>
                <w:rFonts w:ascii="Times New Roman" w:eastAsia="Times New Roman" w:hAnsi="Times New Roman" w:cs="Times New Roman"/>
                <w:kern w:val="0"/>
                <w:lang w:eastAsia="ro-MD"/>
                <w14:ligatures w14:val="none"/>
              </w:rPr>
              <w:t>- 10</w:t>
            </w:r>
            <w:r w:rsidRPr="004728B8">
              <w:rPr>
                <w:rFonts w:ascii="Times New Roman" w:eastAsia="Times New Roman" w:hAnsi="Times New Roman" w:cs="Times New Roman"/>
                <w:kern w:val="0"/>
                <w:lang w:eastAsia="ro-MD"/>
                <w14:ligatures w14:val="none"/>
              </w:rPr>
              <w:t xml:space="preserve"> din Regulamentul </w:t>
            </w:r>
            <w:r w:rsidR="008D5004">
              <w:rPr>
                <w:rFonts w:ascii="Times New Roman" w:eastAsia="Times New Roman" w:hAnsi="Times New Roman" w:cs="Times New Roman"/>
                <w:kern w:val="0"/>
                <w:lang w:eastAsia="ro-MD"/>
                <w14:ligatures w14:val="none"/>
              </w:rPr>
              <w:t>nr. 111/2018</w:t>
            </w:r>
            <w:r w:rsidR="00052914">
              <w:rPr>
                <w:rFonts w:ascii="Times New Roman" w:eastAsia="Times New Roman" w:hAnsi="Times New Roman" w:cs="Times New Roman"/>
                <w:kern w:val="0"/>
                <w:lang w:eastAsia="ro-MD"/>
                <w14:ligatures w14:val="none"/>
              </w:rPr>
              <w:t xml:space="preserve"> </w:t>
            </w:r>
            <w:r w:rsidRPr="004728B8">
              <w:rPr>
                <w:rFonts w:ascii="Times New Roman" w:eastAsia="Times New Roman" w:hAnsi="Times New Roman" w:cs="Times New Roman"/>
                <w:kern w:val="0"/>
                <w:lang w:eastAsia="ro-MD"/>
                <w14:ligatures w14:val="none"/>
              </w:rPr>
              <w:t xml:space="preserve">fără a </w:t>
            </w:r>
            <w:proofErr w:type="spellStart"/>
            <w:r w:rsidRPr="004728B8">
              <w:rPr>
                <w:rFonts w:ascii="Times New Roman" w:eastAsia="Times New Roman" w:hAnsi="Times New Roman" w:cs="Times New Roman"/>
                <w:kern w:val="0"/>
                <w:lang w:eastAsia="ro-MD"/>
                <w14:ligatures w14:val="none"/>
              </w:rPr>
              <w:t>ţine</w:t>
            </w:r>
            <w:proofErr w:type="spellEnd"/>
            <w:r w:rsidRPr="004728B8">
              <w:rPr>
                <w:rFonts w:ascii="Times New Roman" w:eastAsia="Times New Roman" w:hAnsi="Times New Roman" w:cs="Times New Roman"/>
                <w:kern w:val="0"/>
                <w:lang w:eastAsia="ro-MD"/>
                <w14:ligatures w14:val="none"/>
              </w:rPr>
              <w:t xml:space="preserve"> seama de ajustările de valoare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w:t>
            </w:r>
            <w:r w:rsidRPr="008F1563">
              <w:rPr>
                <w:rFonts w:ascii="Times New Roman" w:eastAsia="Times New Roman" w:hAnsi="Times New Roman" w:cs="Times New Roman"/>
                <w:kern w:val="0"/>
                <w:lang w:eastAsia="ro-MD"/>
                <w14:ligatures w14:val="none"/>
              </w:rPr>
              <w:t xml:space="preserve">provizioane, de factorii de conversie </w:t>
            </w:r>
            <w:proofErr w:type="spellStart"/>
            <w:r w:rsidRPr="008F1563">
              <w:rPr>
                <w:rFonts w:ascii="Times New Roman" w:eastAsia="Times New Roman" w:hAnsi="Times New Roman" w:cs="Times New Roman"/>
                <w:kern w:val="0"/>
                <w:lang w:eastAsia="ro-MD"/>
                <w14:ligatures w14:val="none"/>
              </w:rPr>
              <w:t>şi</w:t>
            </w:r>
            <w:proofErr w:type="spellEnd"/>
            <w:r w:rsidRPr="008F1563">
              <w:rPr>
                <w:rFonts w:ascii="Times New Roman" w:eastAsia="Times New Roman" w:hAnsi="Times New Roman" w:cs="Times New Roman"/>
                <w:kern w:val="0"/>
                <w:lang w:eastAsia="ro-MD"/>
                <w14:ligatures w14:val="none"/>
              </w:rPr>
              <w:t xml:space="preserve"> de efectul tehnicilor de diminuare a riscului de credit cu următoarele calificări care decurg din punctul </w:t>
            </w:r>
            <w:r w:rsidR="008D5004" w:rsidRPr="008F1563">
              <w:rPr>
                <w:rFonts w:ascii="Times New Roman" w:eastAsia="Times New Roman" w:hAnsi="Times New Roman" w:cs="Times New Roman"/>
                <w:kern w:val="0"/>
                <w:lang w:eastAsia="ro-MD"/>
                <w14:ligatures w14:val="none"/>
              </w:rPr>
              <w:t>6</w:t>
            </w:r>
            <w:r w:rsidRPr="008F1563">
              <w:rPr>
                <w:rFonts w:ascii="Times New Roman" w:eastAsia="Times New Roman" w:hAnsi="Times New Roman" w:cs="Times New Roman"/>
                <w:kern w:val="0"/>
                <w:lang w:eastAsia="ro-MD"/>
                <w14:ligatures w14:val="none"/>
              </w:rPr>
              <w:t xml:space="preserve"> din </w:t>
            </w:r>
            <w:r w:rsidR="008D5004" w:rsidRPr="008F1563">
              <w:rPr>
                <w:rFonts w:ascii="Times New Roman" w:eastAsia="Times New Roman" w:hAnsi="Times New Roman" w:cs="Times New Roman"/>
                <w:kern w:val="0"/>
                <w:lang w:eastAsia="ro-MD"/>
                <w14:ligatures w14:val="none"/>
              </w:rPr>
              <w:t>Regulamentul nr. 111/2018</w:t>
            </w:r>
            <w:r w:rsidR="00052914">
              <w:rPr>
                <w:rFonts w:ascii="Times New Roman" w:eastAsia="Times New Roman" w:hAnsi="Times New Roman" w:cs="Times New Roman"/>
                <w:kern w:val="0"/>
                <w:lang w:eastAsia="ro-MD"/>
                <w14:ligatures w14:val="none"/>
              </w:rPr>
              <w:t>;</w:t>
            </w:r>
          </w:p>
          <w:p w14:paraId="07358889" w14:textId="522245CA" w:rsidR="00ED2BC4" w:rsidRPr="008F1563" w:rsidRDefault="00ED2BC4" w:rsidP="00A84D2B">
            <w:pPr>
              <w:pStyle w:val="InstructionsText"/>
            </w:pPr>
            <w:r w:rsidRPr="008F1563">
              <w:t xml:space="preserve">Pentru instrumentele financiare derivate, tranzacțiile de răscumpărare, operațiunile de dare sau luare de titluri sau mărfuri cu împrumut, tranzacțiile cu termen lung de decontare și tranzacțiile de creditare în marjă, expunerea inițială corespunde valorii expunerii aferente riscului de credit al </w:t>
            </w:r>
            <w:proofErr w:type="spellStart"/>
            <w:r w:rsidRPr="008F1563">
              <w:t>contrapărții</w:t>
            </w:r>
            <w:proofErr w:type="spellEnd"/>
            <w:r w:rsidRPr="008F1563">
              <w:t xml:space="preserve"> (a se vedea instrucțiunile pentru coloana 0210). </w:t>
            </w:r>
          </w:p>
          <w:p w14:paraId="4F4E3998" w14:textId="595B771C" w:rsidR="00ED2BC4" w:rsidRPr="008F1563" w:rsidRDefault="008844AC" w:rsidP="00A84D2B">
            <w:pPr>
              <w:pStyle w:val="InstructionsText"/>
            </w:pPr>
            <w:r w:rsidRPr="008F1563">
              <w:t xml:space="preserve">Valorile expunerilor pentru contractele de leasing fac obiectul </w:t>
            </w:r>
            <w:proofErr w:type="spellStart"/>
            <w:r w:rsidRPr="008F1563">
              <w:t>dispoziţiilor</w:t>
            </w:r>
            <w:proofErr w:type="spellEnd"/>
            <w:r w:rsidRPr="008F1563">
              <w:t xml:space="preserve"> </w:t>
            </w:r>
            <w:r w:rsidR="00ED2BC4" w:rsidRPr="008F1563">
              <w:t>punctului 9</w:t>
            </w:r>
            <w:r w:rsidR="00C152B3">
              <w:t>4</w:t>
            </w:r>
            <w:r w:rsidR="00ED2BC4" w:rsidRPr="008F1563">
              <w:t xml:space="preserve"> </w:t>
            </w:r>
            <w:r w:rsidR="00A84D2B">
              <w:t xml:space="preserve">din </w:t>
            </w:r>
            <w:r w:rsidRPr="008F1563">
              <w:t xml:space="preserve">Regulamentul </w:t>
            </w:r>
            <w:r w:rsidR="00ED2BC4" w:rsidRPr="008F1563">
              <w:t>nr. 111/2018</w:t>
            </w:r>
            <w:r w:rsidRPr="008F1563">
              <w:t>.</w:t>
            </w:r>
            <w:r w:rsidR="00ED2BC4" w:rsidRPr="008F1563">
              <w:t xml:space="preserve"> În special, valoarea reziduală se include la valoarea sa contabilă (și anume valoarea reziduală actualizată estimată la sfârșitul perioadei de leasing).</w:t>
            </w:r>
          </w:p>
          <w:p w14:paraId="43AE4865" w14:textId="07045D7B" w:rsidR="008844AC" w:rsidRPr="008F1563" w:rsidRDefault="008844AC" w:rsidP="008844AC">
            <w:pPr>
              <w:spacing w:after="0" w:line="240" w:lineRule="auto"/>
              <w:rPr>
                <w:rFonts w:ascii="Times New Roman" w:eastAsia="Times New Roman" w:hAnsi="Times New Roman" w:cs="Times New Roman"/>
                <w:kern w:val="0"/>
                <w:lang w:eastAsia="ro-MD"/>
                <w14:ligatures w14:val="none"/>
              </w:rPr>
            </w:pPr>
          </w:p>
          <w:p w14:paraId="101C2DD3" w14:textId="3F9DB613"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8F1563">
              <w:rPr>
                <w:rFonts w:ascii="Times New Roman" w:eastAsia="Times New Roman" w:hAnsi="Times New Roman" w:cs="Times New Roman"/>
                <w:kern w:val="0"/>
                <w:lang w:eastAsia="ro-MD"/>
                <w14:ligatures w14:val="none"/>
              </w:rPr>
              <w:t xml:space="preserve">În cazul compensării </w:t>
            </w:r>
            <w:proofErr w:type="spellStart"/>
            <w:r w:rsidRPr="008F1563">
              <w:rPr>
                <w:rFonts w:ascii="Times New Roman" w:eastAsia="Times New Roman" w:hAnsi="Times New Roman" w:cs="Times New Roman"/>
                <w:kern w:val="0"/>
                <w:lang w:eastAsia="ro-MD"/>
                <w14:ligatures w14:val="none"/>
              </w:rPr>
              <w:t>bilanţiere</w:t>
            </w:r>
            <w:proofErr w:type="spellEnd"/>
            <w:r w:rsidRPr="008F1563">
              <w:rPr>
                <w:rFonts w:ascii="Times New Roman" w:eastAsia="Times New Roman" w:hAnsi="Times New Roman" w:cs="Times New Roman"/>
                <w:kern w:val="0"/>
                <w:lang w:eastAsia="ro-MD"/>
                <w14:ligatures w14:val="none"/>
              </w:rPr>
              <w:t xml:space="preserve"> prevăzute</w:t>
            </w:r>
            <w:r w:rsidRPr="004728B8">
              <w:rPr>
                <w:rFonts w:ascii="Times New Roman" w:eastAsia="Times New Roman" w:hAnsi="Times New Roman" w:cs="Times New Roman"/>
                <w:kern w:val="0"/>
                <w:lang w:eastAsia="ro-MD"/>
                <w14:ligatures w14:val="none"/>
              </w:rPr>
              <w:t xml:space="preserve"> </w:t>
            </w:r>
            <w:r w:rsidR="00ED2BC4">
              <w:rPr>
                <w:rFonts w:ascii="Times New Roman" w:eastAsia="Times New Roman" w:hAnsi="Times New Roman" w:cs="Times New Roman"/>
                <w:kern w:val="0"/>
                <w:lang w:eastAsia="ro-MD"/>
                <w14:ligatures w14:val="none"/>
              </w:rPr>
              <w:t>la punctul 65 a</w:t>
            </w:r>
            <w:r w:rsidRPr="004728B8">
              <w:rPr>
                <w:rFonts w:ascii="Times New Roman" w:eastAsia="Times New Roman" w:hAnsi="Times New Roman" w:cs="Times New Roman"/>
                <w:kern w:val="0"/>
                <w:lang w:eastAsia="ro-MD"/>
                <w14:ligatures w14:val="none"/>
              </w:rPr>
              <w:t xml:space="preserve"> Regulamentul</w:t>
            </w:r>
            <w:r w:rsidR="00ED2BC4">
              <w:rPr>
                <w:rFonts w:ascii="Times New Roman" w:eastAsia="Times New Roman" w:hAnsi="Times New Roman" w:cs="Times New Roman"/>
                <w:kern w:val="0"/>
                <w:lang w:eastAsia="ro-MD"/>
                <w14:ligatures w14:val="none"/>
              </w:rPr>
              <w:t>ui nr. 112/2018</w:t>
            </w:r>
            <w:r w:rsidRPr="004728B8">
              <w:rPr>
                <w:rFonts w:ascii="Times New Roman" w:eastAsia="Times New Roman" w:hAnsi="Times New Roman" w:cs="Times New Roman"/>
                <w:kern w:val="0"/>
                <w:lang w:eastAsia="ro-MD"/>
                <w14:ligatures w14:val="none"/>
              </w:rPr>
              <w:t xml:space="preserve"> cu privire la tehnicile de diminuare a riscului de credit utilizate de bănci</w:t>
            </w:r>
            <w:r w:rsidR="008F1563">
              <w:rPr>
                <w:rFonts w:ascii="Times New Roman" w:eastAsia="Times New Roman" w:hAnsi="Times New Roman" w:cs="Times New Roman"/>
                <w:kern w:val="0"/>
                <w:lang w:eastAsia="ro-MD"/>
                <w14:ligatures w14:val="none"/>
              </w:rPr>
              <w:t xml:space="preserve"> (în continuare Regulamentul nr. 112/2018)</w:t>
            </w:r>
            <w:r w:rsidRPr="004728B8">
              <w:rPr>
                <w:rFonts w:ascii="Times New Roman" w:eastAsia="Times New Roman" w:hAnsi="Times New Roman" w:cs="Times New Roman"/>
                <w:kern w:val="0"/>
                <w:lang w:eastAsia="ro-MD"/>
                <w14:ligatures w14:val="none"/>
              </w:rPr>
              <w:t xml:space="preserve">, valorile expunerilor se raportează conform </w:t>
            </w:r>
            <w:proofErr w:type="spellStart"/>
            <w:r w:rsidRPr="004728B8">
              <w:rPr>
                <w:rFonts w:ascii="Times New Roman" w:eastAsia="Times New Roman" w:hAnsi="Times New Roman" w:cs="Times New Roman"/>
                <w:kern w:val="0"/>
                <w:lang w:eastAsia="ro-MD"/>
                <w14:ligatures w14:val="none"/>
              </w:rPr>
              <w:t>garanţiilor</w:t>
            </w:r>
            <w:proofErr w:type="spellEnd"/>
            <w:r w:rsidRPr="004728B8">
              <w:rPr>
                <w:rFonts w:ascii="Times New Roman" w:eastAsia="Times New Roman" w:hAnsi="Times New Roman" w:cs="Times New Roman"/>
                <w:kern w:val="0"/>
                <w:lang w:eastAsia="ro-MD"/>
                <w14:ligatures w14:val="none"/>
              </w:rPr>
              <w:t xml:space="preserve"> în numerar primite.</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6B70B"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431CE707"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30B66" w14:textId="59F29DE5" w:rsidR="008844AC" w:rsidRPr="004728B8" w:rsidRDefault="008844AC" w:rsidP="008844AC">
            <w:pPr>
              <w:spacing w:after="0" w:line="240" w:lineRule="auto"/>
              <w:jc w:val="center"/>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0</w:t>
            </w:r>
            <w:r w:rsidR="00E63527">
              <w:rPr>
                <w:rFonts w:ascii="Times New Roman" w:eastAsia="Times New Roman" w:hAnsi="Times New Roman" w:cs="Times New Roman"/>
                <w:kern w:val="0"/>
                <w:lang w:eastAsia="ro-MD"/>
                <w14:ligatures w14:val="none"/>
              </w:rPr>
              <w:t>0</w:t>
            </w:r>
            <w:r w:rsidRPr="004728B8">
              <w:rPr>
                <w:rFonts w:ascii="Times New Roman" w:eastAsia="Times New Roman" w:hAnsi="Times New Roman" w:cs="Times New Roman"/>
                <w:kern w:val="0"/>
                <w:lang w:eastAsia="ro-MD"/>
                <w14:ligatures w14:val="none"/>
              </w:rPr>
              <w:t>30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92B7C"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 xml:space="preserve">(-) Ajustările de valoare </w:t>
            </w:r>
            <w:proofErr w:type="spellStart"/>
            <w:r w:rsidRPr="004728B8">
              <w:rPr>
                <w:rFonts w:ascii="Times New Roman" w:eastAsia="Times New Roman" w:hAnsi="Times New Roman" w:cs="Times New Roman"/>
                <w:b/>
                <w:bCs/>
                <w:kern w:val="0"/>
                <w:lang w:eastAsia="ro-MD"/>
                <w14:ligatures w14:val="none"/>
              </w:rPr>
              <w:t>şi</w:t>
            </w:r>
            <w:proofErr w:type="spellEnd"/>
            <w:r w:rsidRPr="004728B8">
              <w:rPr>
                <w:rFonts w:ascii="Times New Roman" w:eastAsia="Times New Roman" w:hAnsi="Times New Roman" w:cs="Times New Roman"/>
                <w:b/>
                <w:bCs/>
                <w:kern w:val="0"/>
                <w:lang w:eastAsia="ro-MD"/>
                <w14:ligatures w14:val="none"/>
              </w:rPr>
              <w:t xml:space="preserve"> provizioanele asociate expunerii </w:t>
            </w:r>
            <w:proofErr w:type="spellStart"/>
            <w:r w:rsidRPr="004728B8">
              <w:rPr>
                <w:rFonts w:ascii="Times New Roman" w:eastAsia="Times New Roman" w:hAnsi="Times New Roman" w:cs="Times New Roman"/>
                <w:b/>
                <w:bCs/>
                <w:kern w:val="0"/>
                <w:lang w:eastAsia="ro-MD"/>
                <w14:ligatures w14:val="none"/>
              </w:rPr>
              <w:t>iniţiale</w:t>
            </w:r>
            <w:proofErr w:type="spellEnd"/>
            <w:r w:rsidRPr="004728B8">
              <w:rPr>
                <w:rFonts w:ascii="Times New Roman" w:eastAsia="Times New Roman" w:hAnsi="Times New Roman" w:cs="Times New Roman"/>
                <w:kern w:val="0"/>
                <w:lang w:eastAsia="ro-MD"/>
                <w14:ligatures w14:val="none"/>
              </w:rPr>
              <w:t xml:space="preserve"> </w:t>
            </w:r>
          </w:p>
          <w:p w14:paraId="043DE1C1" w14:textId="1444A740" w:rsidR="008844AC"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Punctele 5 </w:t>
            </w:r>
            <w:r w:rsidR="008F1563">
              <w:rPr>
                <w:rFonts w:ascii="Times New Roman" w:eastAsia="Times New Roman" w:hAnsi="Times New Roman" w:cs="Times New Roman"/>
                <w:kern w:val="0"/>
                <w:lang w:eastAsia="ro-MD"/>
                <w14:ligatures w14:val="none"/>
              </w:rPr>
              <w:t>-</w:t>
            </w:r>
            <w:r w:rsidR="008F1563" w:rsidRPr="004728B8">
              <w:rPr>
                <w:rFonts w:ascii="Times New Roman" w:eastAsia="Times New Roman" w:hAnsi="Times New Roman" w:cs="Times New Roman"/>
                <w:kern w:val="0"/>
                <w:lang w:eastAsia="ro-MD"/>
                <w14:ligatures w14:val="none"/>
              </w:rPr>
              <w:t xml:space="preserve"> </w:t>
            </w:r>
            <w:r w:rsidR="008F1563">
              <w:rPr>
                <w:rFonts w:ascii="Times New Roman" w:eastAsia="Times New Roman" w:hAnsi="Times New Roman" w:cs="Times New Roman"/>
                <w:kern w:val="0"/>
                <w:lang w:eastAsia="ro-MD"/>
                <w14:ligatures w14:val="none"/>
              </w:rPr>
              <w:t>10</w:t>
            </w:r>
            <w:r w:rsidRPr="004728B8">
              <w:rPr>
                <w:rFonts w:ascii="Times New Roman" w:eastAsia="Times New Roman" w:hAnsi="Times New Roman" w:cs="Times New Roman"/>
                <w:kern w:val="0"/>
                <w:lang w:eastAsia="ro-MD"/>
                <w14:ligatures w14:val="none"/>
              </w:rPr>
              <w:t xml:space="preserve"> din Regulamentul </w:t>
            </w:r>
            <w:r w:rsidR="008F1563">
              <w:rPr>
                <w:rFonts w:ascii="Times New Roman" w:eastAsia="Times New Roman" w:hAnsi="Times New Roman" w:cs="Times New Roman"/>
                <w:kern w:val="0"/>
                <w:lang w:eastAsia="ro-MD"/>
                <w14:ligatures w14:val="none"/>
              </w:rPr>
              <w:t>nr. 111/2018</w:t>
            </w:r>
          </w:p>
          <w:p w14:paraId="60360F4F" w14:textId="6DFB42CF" w:rsidR="008F1563" w:rsidRPr="004728B8" w:rsidRDefault="008F1563" w:rsidP="008844AC">
            <w:pPr>
              <w:spacing w:after="0" w:line="240" w:lineRule="auto"/>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Ajustările de valoare și provizioanele pentru pierderile de credit realizate în conformitate cu cadrul contabil sub incidența căruia se află entitatea raportoare, precum și ajustările de valoare prudențiale</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62CAF"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2B911659"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7CCE3" w14:textId="6C52720F" w:rsidR="008844AC" w:rsidRPr="004728B8" w:rsidRDefault="008844AC" w:rsidP="008844AC">
            <w:pPr>
              <w:spacing w:after="0" w:line="240" w:lineRule="auto"/>
              <w:jc w:val="center"/>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0</w:t>
            </w:r>
            <w:r w:rsidR="00E63527">
              <w:rPr>
                <w:rFonts w:ascii="Times New Roman" w:eastAsia="Times New Roman" w:hAnsi="Times New Roman" w:cs="Times New Roman"/>
                <w:kern w:val="0"/>
                <w:lang w:eastAsia="ro-MD"/>
                <w14:ligatures w14:val="none"/>
              </w:rPr>
              <w:t>0</w:t>
            </w:r>
            <w:r w:rsidRPr="004728B8">
              <w:rPr>
                <w:rFonts w:ascii="Times New Roman" w:eastAsia="Times New Roman" w:hAnsi="Times New Roman" w:cs="Times New Roman"/>
                <w:kern w:val="0"/>
                <w:lang w:eastAsia="ro-MD"/>
                <w14:ligatures w14:val="none"/>
              </w:rPr>
              <w:t>40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BF608"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8D5004">
              <w:rPr>
                <w:rFonts w:ascii="Times New Roman" w:eastAsia="Times New Roman" w:hAnsi="Times New Roman" w:cs="Times New Roman"/>
                <w:b/>
                <w:bCs/>
                <w:kern w:val="0"/>
                <w:lang w:eastAsia="ro-MD"/>
                <w14:ligatures w14:val="none"/>
              </w:rPr>
              <w:t>Expunerea fără ajustările de</w:t>
            </w:r>
            <w:r w:rsidRPr="004728B8">
              <w:rPr>
                <w:rFonts w:ascii="Times New Roman" w:eastAsia="Times New Roman" w:hAnsi="Times New Roman" w:cs="Times New Roman"/>
                <w:b/>
                <w:bCs/>
                <w:kern w:val="0"/>
                <w:lang w:eastAsia="ro-MD"/>
                <w14:ligatures w14:val="none"/>
              </w:rPr>
              <w:t xml:space="preserve"> valoare </w:t>
            </w:r>
            <w:proofErr w:type="spellStart"/>
            <w:r w:rsidRPr="004728B8">
              <w:rPr>
                <w:rFonts w:ascii="Times New Roman" w:eastAsia="Times New Roman" w:hAnsi="Times New Roman" w:cs="Times New Roman"/>
                <w:b/>
                <w:bCs/>
                <w:kern w:val="0"/>
                <w:lang w:eastAsia="ro-MD"/>
                <w14:ligatures w14:val="none"/>
              </w:rPr>
              <w:t>şi</w:t>
            </w:r>
            <w:proofErr w:type="spellEnd"/>
            <w:r w:rsidRPr="004728B8">
              <w:rPr>
                <w:rFonts w:ascii="Times New Roman" w:eastAsia="Times New Roman" w:hAnsi="Times New Roman" w:cs="Times New Roman"/>
                <w:b/>
                <w:bCs/>
                <w:kern w:val="0"/>
                <w:lang w:eastAsia="ro-MD"/>
                <w14:ligatures w14:val="none"/>
              </w:rPr>
              <w:t xml:space="preserve"> fără provizioane</w:t>
            </w:r>
            <w:r w:rsidRPr="004728B8">
              <w:rPr>
                <w:rFonts w:ascii="Times New Roman" w:eastAsia="Times New Roman" w:hAnsi="Times New Roman" w:cs="Times New Roman"/>
                <w:kern w:val="0"/>
                <w:lang w:eastAsia="ro-MD"/>
                <w14:ligatures w14:val="none"/>
              </w:rPr>
              <w:t xml:space="preserve"> </w:t>
            </w:r>
          </w:p>
          <w:p w14:paraId="147A7B62"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Suma coloanelor 010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030.</w:t>
            </w:r>
          </w:p>
          <w:p w14:paraId="39DC1659" w14:textId="7A34E49A"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23391"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5F1B8F8A"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7813118C" w14:textId="6AC80210" w:rsidR="008844AC" w:rsidRPr="004728B8" w:rsidRDefault="008844AC" w:rsidP="008844AC">
            <w:pPr>
              <w:spacing w:after="0" w:line="240" w:lineRule="auto"/>
              <w:jc w:val="center"/>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0</w:t>
            </w:r>
            <w:r w:rsidR="00E63527">
              <w:rPr>
                <w:rFonts w:ascii="Times New Roman" w:eastAsia="Times New Roman" w:hAnsi="Times New Roman" w:cs="Times New Roman"/>
                <w:kern w:val="0"/>
                <w:lang w:eastAsia="ro-MD"/>
                <w14:ligatures w14:val="none"/>
              </w:rPr>
              <w:t>0</w:t>
            </w:r>
            <w:r w:rsidRPr="004728B8">
              <w:rPr>
                <w:rFonts w:ascii="Times New Roman" w:eastAsia="Times New Roman" w:hAnsi="Times New Roman" w:cs="Times New Roman"/>
                <w:kern w:val="0"/>
                <w:lang w:eastAsia="ro-MD"/>
                <w14:ligatures w14:val="none"/>
              </w:rPr>
              <w:t>50-</w:t>
            </w:r>
            <w:r w:rsidR="00E63527">
              <w:rPr>
                <w:rFonts w:ascii="Times New Roman" w:eastAsia="Times New Roman" w:hAnsi="Times New Roman" w:cs="Times New Roman"/>
                <w:kern w:val="0"/>
                <w:lang w:eastAsia="ro-MD"/>
                <w14:ligatures w14:val="none"/>
              </w:rPr>
              <w:t>0</w:t>
            </w:r>
            <w:r w:rsidRPr="004728B8">
              <w:rPr>
                <w:rFonts w:ascii="Times New Roman" w:eastAsia="Times New Roman" w:hAnsi="Times New Roman" w:cs="Times New Roman"/>
                <w:kern w:val="0"/>
                <w:lang w:eastAsia="ro-MD"/>
                <w14:ligatures w14:val="none"/>
              </w:rPr>
              <w:t>100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51110"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 xml:space="preserve">Tehnicile de diminuare a riscului de credit cu efect de </w:t>
            </w:r>
            <w:proofErr w:type="spellStart"/>
            <w:r w:rsidRPr="004728B8">
              <w:rPr>
                <w:rFonts w:ascii="Times New Roman" w:eastAsia="Times New Roman" w:hAnsi="Times New Roman" w:cs="Times New Roman"/>
                <w:b/>
                <w:bCs/>
                <w:kern w:val="0"/>
                <w:lang w:eastAsia="ro-MD"/>
                <w14:ligatures w14:val="none"/>
              </w:rPr>
              <w:t>substituţie</w:t>
            </w:r>
            <w:proofErr w:type="spellEnd"/>
            <w:r w:rsidRPr="004728B8">
              <w:rPr>
                <w:rFonts w:ascii="Times New Roman" w:eastAsia="Times New Roman" w:hAnsi="Times New Roman" w:cs="Times New Roman"/>
                <w:b/>
                <w:bCs/>
                <w:kern w:val="0"/>
                <w:lang w:eastAsia="ro-MD"/>
                <w14:ligatures w14:val="none"/>
              </w:rPr>
              <w:t xml:space="preserve"> asupra expunerii</w:t>
            </w:r>
            <w:r w:rsidRPr="004728B8">
              <w:rPr>
                <w:rFonts w:ascii="Times New Roman" w:eastAsia="Times New Roman" w:hAnsi="Times New Roman" w:cs="Times New Roman"/>
                <w:kern w:val="0"/>
                <w:lang w:eastAsia="ro-MD"/>
                <w14:ligatures w14:val="none"/>
              </w:rPr>
              <w:t xml:space="preserve"> </w:t>
            </w:r>
          </w:p>
          <w:p w14:paraId="07BC4731" w14:textId="6173AF94"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Tehnicile de diminuare a riscului de credit în sensul </w:t>
            </w:r>
            <w:proofErr w:type="spellStart"/>
            <w:r w:rsidRPr="004728B8">
              <w:rPr>
                <w:rFonts w:ascii="Times New Roman" w:eastAsia="Times New Roman" w:hAnsi="Times New Roman" w:cs="Times New Roman"/>
                <w:kern w:val="0"/>
                <w:lang w:eastAsia="ro-MD"/>
                <w14:ligatures w14:val="none"/>
              </w:rPr>
              <w:t>definiţiei</w:t>
            </w:r>
            <w:proofErr w:type="spellEnd"/>
            <w:r w:rsidRPr="004728B8">
              <w:rPr>
                <w:rFonts w:ascii="Times New Roman" w:eastAsia="Times New Roman" w:hAnsi="Times New Roman" w:cs="Times New Roman"/>
                <w:kern w:val="0"/>
                <w:lang w:eastAsia="ro-MD"/>
                <w14:ligatures w14:val="none"/>
              </w:rPr>
              <w:t xml:space="preserve"> din </w:t>
            </w:r>
            <w:r w:rsidR="004201B1">
              <w:rPr>
                <w:rFonts w:ascii="Times New Roman" w:eastAsia="Times New Roman" w:hAnsi="Times New Roman" w:cs="Times New Roman"/>
                <w:kern w:val="0"/>
                <w:lang w:eastAsia="ro-MD"/>
                <w14:ligatures w14:val="none"/>
              </w:rPr>
              <w:t xml:space="preserve">punctul 3 a </w:t>
            </w:r>
            <w:r w:rsidRPr="004728B8">
              <w:rPr>
                <w:rFonts w:ascii="Times New Roman" w:eastAsia="Times New Roman" w:hAnsi="Times New Roman" w:cs="Times New Roman"/>
                <w:kern w:val="0"/>
                <w:lang w:eastAsia="ro-MD"/>
                <w14:ligatures w14:val="none"/>
              </w:rPr>
              <w:t>Regulamentul</w:t>
            </w:r>
            <w:r w:rsidR="004201B1">
              <w:rPr>
                <w:rFonts w:ascii="Times New Roman" w:eastAsia="Times New Roman" w:hAnsi="Times New Roman" w:cs="Times New Roman"/>
                <w:kern w:val="0"/>
                <w:lang w:eastAsia="ro-MD"/>
                <w14:ligatures w14:val="none"/>
              </w:rPr>
              <w:t>ui nr. 112/2018</w:t>
            </w:r>
            <w:r w:rsidRPr="004728B8">
              <w:rPr>
                <w:rFonts w:ascii="Times New Roman" w:eastAsia="Times New Roman" w:hAnsi="Times New Roman" w:cs="Times New Roman"/>
                <w:kern w:val="0"/>
                <w:lang w:eastAsia="ro-MD"/>
                <w14:ligatures w14:val="none"/>
              </w:rPr>
              <w:t xml:space="preserve">, care reduc riscul de credit asociat unei expuneri sau unor expuneri prin </w:t>
            </w:r>
            <w:proofErr w:type="spellStart"/>
            <w:r w:rsidRPr="004728B8">
              <w:rPr>
                <w:rFonts w:ascii="Times New Roman" w:eastAsia="Times New Roman" w:hAnsi="Times New Roman" w:cs="Times New Roman"/>
                <w:kern w:val="0"/>
                <w:lang w:eastAsia="ro-MD"/>
                <w14:ligatures w14:val="none"/>
              </w:rPr>
              <w:t>substituţia</w:t>
            </w:r>
            <w:proofErr w:type="spellEnd"/>
            <w:r w:rsidRPr="004728B8">
              <w:rPr>
                <w:rFonts w:ascii="Times New Roman" w:eastAsia="Times New Roman" w:hAnsi="Times New Roman" w:cs="Times New Roman"/>
                <w:kern w:val="0"/>
                <w:lang w:eastAsia="ro-MD"/>
                <w14:ligatures w14:val="none"/>
              </w:rPr>
              <w:t xml:space="preserve"> expunerilor, astfel cum sunt definite mai jos la rubrica </w:t>
            </w:r>
            <w:r w:rsidR="004201B1">
              <w:rPr>
                <w:rFonts w:ascii="Times New Roman" w:eastAsia="Times New Roman" w:hAnsi="Times New Roman" w:cs="Times New Roman"/>
                <w:kern w:val="0"/>
                <w:lang w:eastAsia="ro-MD"/>
                <w14:ligatures w14:val="none"/>
              </w:rPr>
              <w:t>„</w:t>
            </w:r>
            <w:proofErr w:type="spellStart"/>
            <w:r w:rsidRPr="004728B8">
              <w:rPr>
                <w:rFonts w:ascii="Times New Roman" w:eastAsia="Times New Roman" w:hAnsi="Times New Roman" w:cs="Times New Roman"/>
                <w:kern w:val="0"/>
                <w:lang w:eastAsia="ro-MD"/>
                <w14:ligatures w14:val="none"/>
              </w:rPr>
              <w:t>Substituţia</w:t>
            </w:r>
            <w:proofErr w:type="spellEnd"/>
            <w:r w:rsidRPr="004728B8">
              <w:rPr>
                <w:rFonts w:ascii="Times New Roman" w:eastAsia="Times New Roman" w:hAnsi="Times New Roman" w:cs="Times New Roman"/>
                <w:kern w:val="0"/>
                <w:lang w:eastAsia="ro-MD"/>
                <w14:ligatures w14:val="none"/>
              </w:rPr>
              <w:t xml:space="preserve"> expunerii ca urmare a aplicării tehnicilor de diminuare a riscului de credit</w:t>
            </w:r>
            <w:r w:rsidR="004201B1">
              <w:rPr>
                <w:rFonts w:ascii="Times New Roman" w:eastAsia="Times New Roman" w:hAnsi="Times New Roman" w:cs="Times New Roman"/>
                <w:kern w:val="0"/>
                <w:lang w:eastAsia="ro-MD"/>
                <w14:ligatures w14:val="none"/>
              </w:rPr>
              <w:t>”</w:t>
            </w:r>
            <w:r w:rsidRPr="004728B8">
              <w:rPr>
                <w:rFonts w:ascii="Times New Roman" w:eastAsia="Times New Roman" w:hAnsi="Times New Roman" w:cs="Times New Roman"/>
                <w:kern w:val="0"/>
                <w:lang w:eastAsia="ro-MD"/>
                <w14:ligatures w14:val="none"/>
              </w:rPr>
              <w:t>.</w:t>
            </w:r>
          </w:p>
          <w:p w14:paraId="5D03D500" w14:textId="2E23B7FA" w:rsidR="008844AC" w:rsidRPr="004728B8" w:rsidRDefault="004201B1" w:rsidP="008844AC">
            <w:pPr>
              <w:spacing w:after="0" w:line="240" w:lineRule="auto"/>
              <w:rPr>
                <w:rFonts w:ascii="Times New Roman" w:eastAsia="Times New Roman" w:hAnsi="Times New Roman" w:cs="Times New Roman"/>
                <w:kern w:val="0"/>
                <w:lang w:eastAsia="ro-MD"/>
                <w14:ligatures w14:val="none"/>
              </w:rPr>
            </w:pPr>
            <w:proofErr w:type="spellStart"/>
            <w:r>
              <w:rPr>
                <w:rFonts w:ascii="Times New Roman" w:eastAsia="Times New Roman" w:hAnsi="Times New Roman" w:cs="Times New Roman"/>
                <w:kern w:val="0"/>
                <w:lang w:eastAsia="ro-MD"/>
                <w14:ligatures w14:val="none"/>
              </w:rPr>
              <w:t>G</w:t>
            </w:r>
            <w:r w:rsidR="008844AC" w:rsidRPr="004728B8">
              <w:rPr>
                <w:rFonts w:ascii="Times New Roman" w:eastAsia="Times New Roman" w:hAnsi="Times New Roman" w:cs="Times New Roman"/>
                <w:kern w:val="0"/>
                <w:lang w:eastAsia="ro-MD"/>
                <w14:ligatures w14:val="none"/>
              </w:rPr>
              <w:t>aranţiile</w:t>
            </w:r>
            <w:proofErr w:type="spellEnd"/>
            <w:r w:rsidR="008844AC" w:rsidRPr="004728B8">
              <w:rPr>
                <w:rFonts w:ascii="Times New Roman" w:eastAsia="Times New Roman" w:hAnsi="Times New Roman" w:cs="Times New Roman"/>
                <w:kern w:val="0"/>
                <w:lang w:eastAsia="ro-MD"/>
                <w14:ligatures w14:val="none"/>
              </w:rPr>
              <w:t xml:space="preserve"> reale</w:t>
            </w:r>
            <w:r>
              <w:rPr>
                <w:rFonts w:ascii="Times New Roman" w:eastAsia="Times New Roman" w:hAnsi="Times New Roman" w:cs="Times New Roman"/>
                <w:kern w:val="0"/>
                <w:lang w:eastAsia="ro-MD"/>
                <w14:ligatures w14:val="none"/>
              </w:rPr>
              <w:t xml:space="preserve"> care</w:t>
            </w:r>
            <w:r w:rsidR="008844AC" w:rsidRPr="004728B8">
              <w:rPr>
                <w:rFonts w:ascii="Times New Roman" w:eastAsia="Times New Roman" w:hAnsi="Times New Roman" w:cs="Times New Roman"/>
                <w:kern w:val="0"/>
                <w:lang w:eastAsia="ro-MD"/>
                <w14:ligatures w14:val="none"/>
              </w:rPr>
              <w:t xml:space="preserve"> au un efect asupra valorii expunerii (de exemplu, în cazul în care sunt utilizate pentru tehnicile de diminuare a riscului de credit cu efect de </w:t>
            </w:r>
            <w:proofErr w:type="spellStart"/>
            <w:r w:rsidR="008844AC" w:rsidRPr="004728B8">
              <w:rPr>
                <w:rFonts w:ascii="Times New Roman" w:eastAsia="Times New Roman" w:hAnsi="Times New Roman" w:cs="Times New Roman"/>
                <w:kern w:val="0"/>
                <w:lang w:eastAsia="ro-MD"/>
                <w14:ligatures w14:val="none"/>
              </w:rPr>
              <w:t>substituţie</w:t>
            </w:r>
            <w:proofErr w:type="spellEnd"/>
            <w:r w:rsidR="008844AC" w:rsidRPr="004728B8">
              <w:rPr>
                <w:rFonts w:ascii="Times New Roman" w:eastAsia="Times New Roman" w:hAnsi="Times New Roman" w:cs="Times New Roman"/>
                <w:kern w:val="0"/>
                <w:lang w:eastAsia="ro-MD"/>
                <w14:ligatures w14:val="none"/>
              </w:rPr>
              <w:t xml:space="preserve"> asupra expunerii), acestea trebuie să se limiteze la valoarea expunerii.</w:t>
            </w:r>
          </w:p>
          <w:p w14:paraId="770F55A9"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lastRenderedPageBreak/>
              <w:t xml:space="preserve">În aceste coloane trebuie raportate </w:t>
            </w:r>
            <w:proofErr w:type="spellStart"/>
            <w:r w:rsidRPr="004728B8">
              <w:rPr>
                <w:rFonts w:ascii="Times New Roman" w:eastAsia="Times New Roman" w:hAnsi="Times New Roman" w:cs="Times New Roman"/>
                <w:kern w:val="0"/>
                <w:lang w:eastAsia="ro-MD"/>
                <w14:ligatures w14:val="none"/>
              </w:rPr>
              <w:t>garanţii</w:t>
            </w:r>
            <w:proofErr w:type="spellEnd"/>
            <w:r w:rsidRPr="004728B8">
              <w:rPr>
                <w:rFonts w:ascii="Times New Roman" w:eastAsia="Times New Roman" w:hAnsi="Times New Roman" w:cs="Times New Roman"/>
                <w:kern w:val="0"/>
                <w:lang w:eastAsia="ro-MD"/>
                <w14:ligatures w14:val="none"/>
              </w:rPr>
              <w:t xml:space="preserve"> reale, încorporate în conformitate cu metoda simplă a </w:t>
            </w:r>
            <w:proofErr w:type="spellStart"/>
            <w:r w:rsidRPr="004728B8">
              <w:rPr>
                <w:rFonts w:ascii="Times New Roman" w:eastAsia="Times New Roman" w:hAnsi="Times New Roman" w:cs="Times New Roman"/>
                <w:kern w:val="0"/>
                <w:lang w:eastAsia="ro-MD"/>
                <w14:ligatures w14:val="none"/>
              </w:rPr>
              <w:t>garanţiilor</w:t>
            </w:r>
            <w:proofErr w:type="spellEnd"/>
            <w:r w:rsidRPr="004728B8">
              <w:rPr>
                <w:rFonts w:ascii="Times New Roman" w:eastAsia="Times New Roman" w:hAnsi="Times New Roman" w:cs="Times New Roman"/>
                <w:kern w:val="0"/>
                <w:lang w:eastAsia="ro-MD"/>
                <w14:ligatures w14:val="none"/>
              </w:rPr>
              <w:t xml:space="preserve"> financiare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w:t>
            </w:r>
            <w:proofErr w:type="spellStart"/>
            <w:r w:rsidRPr="004728B8">
              <w:rPr>
                <w:rFonts w:ascii="Times New Roman" w:eastAsia="Times New Roman" w:hAnsi="Times New Roman" w:cs="Times New Roman"/>
                <w:kern w:val="0"/>
                <w:lang w:eastAsia="ro-MD"/>
                <w14:ligatures w14:val="none"/>
              </w:rPr>
              <w:t>protecţia</w:t>
            </w:r>
            <w:proofErr w:type="spellEnd"/>
            <w:r w:rsidRPr="004728B8">
              <w:rPr>
                <w:rFonts w:ascii="Times New Roman" w:eastAsia="Times New Roman" w:hAnsi="Times New Roman" w:cs="Times New Roman"/>
                <w:kern w:val="0"/>
                <w:lang w:eastAsia="ro-MD"/>
                <w14:ligatures w14:val="none"/>
              </w:rPr>
              <w:t xml:space="preserve"> eligibilă </w:t>
            </w:r>
            <w:proofErr w:type="spellStart"/>
            <w:r w:rsidRPr="004728B8">
              <w:rPr>
                <w:rFonts w:ascii="Times New Roman" w:eastAsia="Times New Roman" w:hAnsi="Times New Roman" w:cs="Times New Roman"/>
                <w:kern w:val="0"/>
                <w:lang w:eastAsia="ro-MD"/>
                <w14:ligatures w14:val="none"/>
              </w:rPr>
              <w:t>nefinanţată</w:t>
            </w:r>
            <w:proofErr w:type="spellEnd"/>
            <w:r w:rsidRPr="004728B8">
              <w:rPr>
                <w:rFonts w:ascii="Times New Roman" w:eastAsia="Times New Roman" w:hAnsi="Times New Roman" w:cs="Times New Roman"/>
                <w:kern w:val="0"/>
                <w:lang w:eastAsia="ro-MD"/>
                <w14:ligatures w14:val="none"/>
              </w:rPr>
              <w:t xml:space="preserve"> a creditului.</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62D7B"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37EC8943"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E8264" w14:textId="3E3C0458" w:rsidR="008844AC" w:rsidRPr="004728B8" w:rsidRDefault="008844AC" w:rsidP="008844AC">
            <w:pPr>
              <w:spacing w:after="0" w:line="240" w:lineRule="auto"/>
              <w:jc w:val="center"/>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0</w:t>
            </w:r>
            <w:r w:rsidR="00E63527">
              <w:rPr>
                <w:rFonts w:ascii="Times New Roman" w:eastAsia="Times New Roman" w:hAnsi="Times New Roman" w:cs="Times New Roman"/>
                <w:kern w:val="0"/>
                <w:lang w:eastAsia="ro-MD"/>
                <w14:ligatures w14:val="none"/>
              </w:rPr>
              <w:t>0</w:t>
            </w:r>
            <w:r w:rsidRPr="004728B8">
              <w:rPr>
                <w:rFonts w:ascii="Times New Roman" w:eastAsia="Times New Roman" w:hAnsi="Times New Roman" w:cs="Times New Roman"/>
                <w:kern w:val="0"/>
                <w:lang w:eastAsia="ro-MD"/>
                <w14:ligatures w14:val="none"/>
              </w:rPr>
              <w:t>50-0</w:t>
            </w:r>
            <w:r w:rsidR="00E63527">
              <w:rPr>
                <w:rFonts w:ascii="Times New Roman" w:eastAsia="Times New Roman" w:hAnsi="Times New Roman" w:cs="Times New Roman"/>
                <w:kern w:val="0"/>
                <w:lang w:eastAsia="ro-MD"/>
                <w14:ligatures w14:val="none"/>
              </w:rPr>
              <w:t>0</w:t>
            </w:r>
            <w:r w:rsidRPr="004728B8">
              <w:rPr>
                <w:rFonts w:ascii="Times New Roman" w:eastAsia="Times New Roman" w:hAnsi="Times New Roman" w:cs="Times New Roman"/>
                <w:kern w:val="0"/>
                <w:lang w:eastAsia="ro-MD"/>
                <w14:ligatures w14:val="none"/>
              </w:rPr>
              <w:t>60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D0754"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roofErr w:type="spellStart"/>
            <w:r w:rsidRPr="004728B8">
              <w:rPr>
                <w:rFonts w:ascii="Times New Roman" w:eastAsia="Times New Roman" w:hAnsi="Times New Roman" w:cs="Times New Roman"/>
                <w:b/>
                <w:bCs/>
                <w:kern w:val="0"/>
                <w:lang w:eastAsia="ro-MD"/>
                <w14:ligatures w14:val="none"/>
              </w:rPr>
              <w:t>Protecţia</w:t>
            </w:r>
            <w:proofErr w:type="spellEnd"/>
            <w:r w:rsidRPr="004728B8">
              <w:rPr>
                <w:rFonts w:ascii="Times New Roman" w:eastAsia="Times New Roman" w:hAnsi="Times New Roman" w:cs="Times New Roman"/>
                <w:b/>
                <w:bCs/>
                <w:kern w:val="0"/>
                <w:lang w:eastAsia="ro-MD"/>
                <w14:ligatures w14:val="none"/>
              </w:rPr>
              <w:t xml:space="preserve"> </w:t>
            </w:r>
            <w:proofErr w:type="spellStart"/>
            <w:r w:rsidRPr="004728B8">
              <w:rPr>
                <w:rFonts w:ascii="Times New Roman" w:eastAsia="Times New Roman" w:hAnsi="Times New Roman" w:cs="Times New Roman"/>
                <w:b/>
                <w:bCs/>
                <w:kern w:val="0"/>
                <w:lang w:eastAsia="ro-MD"/>
                <w14:ligatures w14:val="none"/>
              </w:rPr>
              <w:t>nefinanţată</w:t>
            </w:r>
            <w:proofErr w:type="spellEnd"/>
            <w:r w:rsidRPr="004728B8">
              <w:rPr>
                <w:rFonts w:ascii="Times New Roman" w:eastAsia="Times New Roman" w:hAnsi="Times New Roman" w:cs="Times New Roman"/>
                <w:b/>
                <w:bCs/>
                <w:kern w:val="0"/>
                <w:lang w:eastAsia="ro-MD"/>
                <w14:ligatures w14:val="none"/>
              </w:rPr>
              <w:t xml:space="preserve"> a creditului: valori ajustate (Ga)</w:t>
            </w:r>
            <w:r w:rsidRPr="004728B8">
              <w:rPr>
                <w:rFonts w:ascii="Times New Roman" w:eastAsia="Times New Roman" w:hAnsi="Times New Roman" w:cs="Times New Roman"/>
                <w:kern w:val="0"/>
                <w:lang w:eastAsia="ro-MD"/>
                <w14:ligatures w14:val="none"/>
              </w:rPr>
              <w:t xml:space="preserve"> </w:t>
            </w:r>
          </w:p>
          <w:p w14:paraId="19CEE28E" w14:textId="4C44281D"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Capitolul IX </w:t>
            </w:r>
            <w:proofErr w:type="spellStart"/>
            <w:r w:rsidRPr="004728B8">
              <w:rPr>
                <w:rFonts w:ascii="Times New Roman" w:eastAsia="Times New Roman" w:hAnsi="Times New Roman" w:cs="Times New Roman"/>
                <w:kern w:val="0"/>
                <w:lang w:eastAsia="ro-MD"/>
                <w14:ligatures w14:val="none"/>
              </w:rPr>
              <w:t>secţiunea</w:t>
            </w:r>
            <w:proofErr w:type="spellEnd"/>
            <w:r w:rsidRPr="004728B8">
              <w:rPr>
                <w:rFonts w:ascii="Times New Roman" w:eastAsia="Times New Roman" w:hAnsi="Times New Roman" w:cs="Times New Roman"/>
                <w:kern w:val="0"/>
                <w:lang w:eastAsia="ro-MD"/>
                <w14:ligatures w14:val="none"/>
              </w:rPr>
              <w:t xml:space="preserve"> a 2-a din Regulamentul </w:t>
            </w:r>
            <w:r w:rsidR="004201B1">
              <w:rPr>
                <w:rFonts w:ascii="Times New Roman" w:eastAsia="Times New Roman" w:hAnsi="Times New Roman" w:cs="Times New Roman"/>
                <w:kern w:val="0"/>
                <w:lang w:eastAsia="ro-MD"/>
                <w14:ligatures w14:val="none"/>
              </w:rPr>
              <w:t>nr. 112/2018</w:t>
            </w:r>
          </w:p>
          <w:p w14:paraId="30D62E8A" w14:textId="69384E14" w:rsidR="008844AC" w:rsidRPr="004728B8" w:rsidRDefault="00BC754D"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Punctul 127</w:t>
            </w:r>
            <w:r w:rsidR="008844AC" w:rsidRPr="004728B8">
              <w:rPr>
                <w:rFonts w:ascii="Times New Roman" w:eastAsia="Times New Roman" w:hAnsi="Times New Roman" w:cs="Times New Roman"/>
                <w:kern w:val="0"/>
                <w:lang w:eastAsia="ro-MD"/>
                <w14:ligatures w14:val="none"/>
              </w:rPr>
              <w:t xml:space="preserve"> din Regulamentul </w:t>
            </w:r>
            <w:r>
              <w:rPr>
                <w:rFonts w:ascii="Times New Roman" w:eastAsia="Times New Roman" w:hAnsi="Times New Roman" w:cs="Times New Roman"/>
                <w:kern w:val="0"/>
                <w:lang w:eastAsia="ro-MD"/>
                <w14:ligatures w14:val="none"/>
              </w:rPr>
              <w:t>nr. 112/2018</w:t>
            </w:r>
            <w:r w:rsidR="008844AC" w:rsidRPr="004728B8">
              <w:rPr>
                <w:rFonts w:ascii="Times New Roman" w:eastAsia="Times New Roman" w:hAnsi="Times New Roman" w:cs="Times New Roman"/>
                <w:kern w:val="0"/>
                <w:lang w:eastAsia="ro-MD"/>
                <w14:ligatures w14:val="none"/>
              </w:rPr>
              <w:t xml:space="preserve"> </w:t>
            </w:r>
            <w:r>
              <w:rPr>
                <w:rFonts w:ascii="Times New Roman" w:eastAsia="Times New Roman" w:hAnsi="Times New Roman" w:cs="Times New Roman"/>
                <w:kern w:val="0"/>
                <w:lang w:eastAsia="ro-MD"/>
                <w14:ligatures w14:val="none"/>
              </w:rPr>
              <w:t>conține formula de calcul pentru</w:t>
            </w:r>
            <w:r w:rsidRPr="004728B8">
              <w:rPr>
                <w:rFonts w:ascii="Times New Roman" w:eastAsia="Times New Roman" w:hAnsi="Times New Roman" w:cs="Times New Roman"/>
                <w:kern w:val="0"/>
                <w:lang w:eastAsia="ro-MD"/>
                <w14:ligatures w14:val="none"/>
              </w:rPr>
              <w:t xml:space="preserve"> </w:t>
            </w:r>
            <w:r w:rsidR="008844AC" w:rsidRPr="004728B8">
              <w:rPr>
                <w:rFonts w:ascii="Times New Roman" w:eastAsia="Times New Roman" w:hAnsi="Times New Roman" w:cs="Times New Roman"/>
                <w:kern w:val="0"/>
                <w:lang w:eastAsia="ro-MD"/>
                <w14:ligatures w14:val="none"/>
              </w:rPr>
              <w:t xml:space="preserve">valoarea ajustată Ga a </w:t>
            </w:r>
            <w:proofErr w:type="spellStart"/>
            <w:r w:rsidR="008844AC" w:rsidRPr="004728B8">
              <w:rPr>
                <w:rFonts w:ascii="Times New Roman" w:eastAsia="Times New Roman" w:hAnsi="Times New Roman" w:cs="Times New Roman"/>
                <w:kern w:val="0"/>
                <w:lang w:eastAsia="ro-MD"/>
                <w14:ligatures w14:val="none"/>
              </w:rPr>
              <w:t>protecţiei</w:t>
            </w:r>
            <w:proofErr w:type="spellEnd"/>
            <w:r w:rsidR="008844AC" w:rsidRPr="004728B8">
              <w:rPr>
                <w:rFonts w:ascii="Times New Roman" w:eastAsia="Times New Roman" w:hAnsi="Times New Roman" w:cs="Times New Roman"/>
                <w:kern w:val="0"/>
                <w:lang w:eastAsia="ro-MD"/>
                <w14:ligatures w14:val="none"/>
              </w:rPr>
              <w:t xml:space="preserve"> </w:t>
            </w:r>
            <w:proofErr w:type="spellStart"/>
            <w:r w:rsidR="008844AC" w:rsidRPr="004728B8">
              <w:rPr>
                <w:rFonts w:ascii="Times New Roman" w:eastAsia="Times New Roman" w:hAnsi="Times New Roman" w:cs="Times New Roman"/>
                <w:kern w:val="0"/>
                <w:lang w:eastAsia="ro-MD"/>
                <w14:ligatures w14:val="none"/>
              </w:rPr>
              <w:t>nefinanţate</w:t>
            </w:r>
            <w:proofErr w:type="spellEnd"/>
            <w:r w:rsidR="008844AC" w:rsidRPr="004728B8">
              <w:rPr>
                <w:rFonts w:ascii="Times New Roman" w:eastAsia="Times New Roman" w:hAnsi="Times New Roman" w:cs="Times New Roman"/>
                <w:kern w:val="0"/>
                <w:lang w:eastAsia="ro-MD"/>
                <w14:ligatures w14:val="none"/>
              </w:rPr>
              <w:t xml:space="preserve"> a creditului.</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42C84"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6464B6BF"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AA9DB" w14:textId="485E5C33" w:rsidR="008844AC" w:rsidRPr="004728B8" w:rsidRDefault="008844AC" w:rsidP="008844AC">
            <w:pPr>
              <w:spacing w:after="0" w:line="240" w:lineRule="auto"/>
              <w:jc w:val="center"/>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0</w:t>
            </w:r>
            <w:r w:rsidR="00E63527">
              <w:rPr>
                <w:rFonts w:ascii="Times New Roman" w:eastAsia="Times New Roman" w:hAnsi="Times New Roman" w:cs="Times New Roman"/>
                <w:kern w:val="0"/>
                <w:lang w:eastAsia="ro-MD"/>
                <w14:ligatures w14:val="none"/>
              </w:rPr>
              <w:t>0</w:t>
            </w:r>
            <w:r w:rsidRPr="004728B8">
              <w:rPr>
                <w:rFonts w:ascii="Times New Roman" w:eastAsia="Times New Roman" w:hAnsi="Times New Roman" w:cs="Times New Roman"/>
                <w:kern w:val="0"/>
                <w:lang w:eastAsia="ro-MD"/>
                <w14:ligatures w14:val="none"/>
              </w:rPr>
              <w:t>50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2FA39"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 xml:space="preserve">(-) </w:t>
            </w:r>
            <w:proofErr w:type="spellStart"/>
            <w:r w:rsidRPr="004728B8">
              <w:rPr>
                <w:rFonts w:ascii="Times New Roman" w:eastAsia="Times New Roman" w:hAnsi="Times New Roman" w:cs="Times New Roman"/>
                <w:b/>
                <w:bCs/>
                <w:kern w:val="0"/>
                <w:lang w:eastAsia="ro-MD"/>
                <w14:ligatures w14:val="none"/>
              </w:rPr>
              <w:t>Garanţii</w:t>
            </w:r>
            <w:proofErr w:type="spellEnd"/>
            <w:r w:rsidRPr="004728B8">
              <w:rPr>
                <w:rFonts w:ascii="Times New Roman" w:eastAsia="Times New Roman" w:hAnsi="Times New Roman" w:cs="Times New Roman"/>
                <w:kern w:val="0"/>
                <w:lang w:eastAsia="ro-MD"/>
                <w14:ligatures w14:val="none"/>
              </w:rPr>
              <w:t xml:space="preserve"> </w:t>
            </w:r>
          </w:p>
          <w:p w14:paraId="53B61102" w14:textId="645F9520"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Punctul 3</w:t>
            </w:r>
            <w:r w:rsidR="008D0D51">
              <w:rPr>
                <w:rFonts w:ascii="Times New Roman" w:eastAsia="Times New Roman" w:hAnsi="Times New Roman" w:cs="Times New Roman"/>
                <w:kern w:val="0"/>
                <w:lang w:eastAsia="ro-MD"/>
                <w14:ligatures w14:val="none"/>
              </w:rPr>
              <w:t>7</w:t>
            </w:r>
            <w:r w:rsidRPr="004728B8">
              <w:rPr>
                <w:rFonts w:ascii="Times New Roman" w:eastAsia="Times New Roman" w:hAnsi="Times New Roman" w:cs="Times New Roman"/>
                <w:kern w:val="0"/>
                <w:lang w:eastAsia="ro-MD"/>
                <w14:ligatures w14:val="none"/>
              </w:rPr>
              <w:t xml:space="preserve"> din Regulamentul </w:t>
            </w:r>
            <w:r w:rsidR="00BC754D">
              <w:rPr>
                <w:rFonts w:ascii="Times New Roman" w:eastAsia="Times New Roman" w:hAnsi="Times New Roman" w:cs="Times New Roman"/>
                <w:kern w:val="0"/>
                <w:lang w:eastAsia="ro-MD"/>
                <w14:ligatures w14:val="none"/>
              </w:rPr>
              <w:t>nr. 112/2018</w:t>
            </w:r>
          </w:p>
          <w:p w14:paraId="0AB74B54" w14:textId="41E8CE8E"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roofErr w:type="spellStart"/>
            <w:r w:rsidRPr="004728B8">
              <w:rPr>
                <w:rFonts w:ascii="Times New Roman" w:eastAsia="Times New Roman" w:hAnsi="Times New Roman" w:cs="Times New Roman"/>
                <w:kern w:val="0"/>
                <w:lang w:eastAsia="ro-MD"/>
                <w14:ligatures w14:val="none"/>
              </w:rPr>
              <w:t>Protecţia</w:t>
            </w:r>
            <w:proofErr w:type="spellEnd"/>
            <w:r w:rsidRPr="004728B8">
              <w:rPr>
                <w:rFonts w:ascii="Times New Roman" w:eastAsia="Times New Roman" w:hAnsi="Times New Roman" w:cs="Times New Roman"/>
                <w:kern w:val="0"/>
                <w:lang w:eastAsia="ro-MD"/>
                <w14:ligatures w14:val="none"/>
              </w:rPr>
              <w:t xml:space="preserve"> </w:t>
            </w:r>
            <w:proofErr w:type="spellStart"/>
            <w:r w:rsidRPr="004728B8">
              <w:rPr>
                <w:rFonts w:ascii="Times New Roman" w:eastAsia="Times New Roman" w:hAnsi="Times New Roman" w:cs="Times New Roman"/>
                <w:kern w:val="0"/>
                <w:lang w:eastAsia="ro-MD"/>
                <w14:ligatures w14:val="none"/>
              </w:rPr>
              <w:t>nefinanţată</w:t>
            </w:r>
            <w:proofErr w:type="spellEnd"/>
            <w:r w:rsidRPr="004728B8">
              <w:rPr>
                <w:rFonts w:ascii="Times New Roman" w:eastAsia="Times New Roman" w:hAnsi="Times New Roman" w:cs="Times New Roman"/>
                <w:kern w:val="0"/>
                <w:lang w:eastAsia="ro-MD"/>
                <w14:ligatures w14:val="none"/>
              </w:rPr>
              <w:t xml:space="preserve"> a creditului, astfel cum este definită la punctul 3 din Regulamentul </w:t>
            </w:r>
            <w:r w:rsidR="00BC754D">
              <w:rPr>
                <w:rFonts w:ascii="Times New Roman" w:eastAsia="Times New Roman" w:hAnsi="Times New Roman" w:cs="Times New Roman"/>
                <w:kern w:val="0"/>
                <w:lang w:eastAsia="ro-MD"/>
                <w14:ligatures w14:val="none"/>
              </w:rPr>
              <w:t>nr. 112/2018</w:t>
            </w:r>
            <w:r w:rsidRPr="004728B8">
              <w:rPr>
                <w:rFonts w:ascii="Times New Roman" w:eastAsia="Times New Roman" w:hAnsi="Times New Roman" w:cs="Times New Roman"/>
                <w:kern w:val="0"/>
                <w:lang w:eastAsia="ro-MD"/>
                <w14:ligatures w14:val="none"/>
              </w:rPr>
              <w:t>, diferită de instrumentele financiare derivate de credit.</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18193"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0E8779D6"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3AF22" w14:textId="3E6DC33D" w:rsidR="008844AC" w:rsidRPr="004728B8" w:rsidRDefault="008844AC" w:rsidP="008844AC">
            <w:pPr>
              <w:spacing w:after="0" w:line="240" w:lineRule="auto"/>
              <w:jc w:val="center"/>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0</w:t>
            </w:r>
            <w:r w:rsidR="00E63527">
              <w:rPr>
                <w:rFonts w:ascii="Times New Roman" w:eastAsia="Times New Roman" w:hAnsi="Times New Roman" w:cs="Times New Roman"/>
                <w:kern w:val="0"/>
                <w:lang w:eastAsia="ro-MD"/>
                <w14:ligatures w14:val="none"/>
              </w:rPr>
              <w:t>0</w:t>
            </w:r>
            <w:r w:rsidRPr="004728B8">
              <w:rPr>
                <w:rFonts w:ascii="Times New Roman" w:eastAsia="Times New Roman" w:hAnsi="Times New Roman" w:cs="Times New Roman"/>
                <w:kern w:val="0"/>
                <w:lang w:eastAsia="ro-MD"/>
                <w14:ligatures w14:val="none"/>
              </w:rPr>
              <w:t>60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2547D"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 Instrumente financiare derivate de credit</w:t>
            </w:r>
            <w:r w:rsidRPr="004728B8">
              <w:rPr>
                <w:rFonts w:ascii="Times New Roman" w:eastAsia="Times New Roman" w:hAnsi="Times New Roman" w:cs="Times New Roman"/>
                <w:kern w:val="0"/>
                <w:lang w:eastAsia="ro-MD"/>
                <w14:ligatures w14:val="none"/>
              </w:rPr>
              <w:t xml:space="preserve"> </w:t>
            </w:r>
          </w:p>
          <w:p w14:paraId="6C100E88" w14:textId="4035C034"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Capitol</w:t>
            </w:r>
            <w:r w:rsidR="00E17F77">
              <w:rPr>
                <w:rFonts w:ascii="Times New Roman" w:eastAsia="Times New Roman" w:hAnsi="Times New Roman" w:cs="Times New Roman"/>
                <w:kern w:val="0"/>
                <w:lang w:eastAsia="ro-MD"/>
                <w14:ligatures w14:val="none"/>
              </w:rPr>
              <w:t>ele</w:t>
            </w:r>
            <w:r w:rsidRPr="004728B8">
              <w:rPr>
                <w:rFonts w:ascii="Times New Roman" w:eastAsia="Times New Roman" w:hAnsi="Times New Roman" w:cs="Times New Roman"/>
                <w:kern w:val="0"/>
                <w:lang w:eastAsia="ro-MD"/>
                <w14:ligatures w14:val="none"/>
              </w:rPr>
              <w:t xml:space="preserve"> V</w:t>
            </w:r>
            <w:r w:rsidR="008D0D51">
              <w:rPr>
                <w:rFonts w:ascii="Times New Roman" w:eastAsia="Times New Roman" w:hAnsi="Times New Roman" w:cs="Times New Roman"/>
                <w:kern w:val="0"/>
                <w:lang w:eastAsia="ro-MD"/>
                <w14:ligatures w14:val="none"/>
              </w:rPr>
              <w:t xml:space="preserve"> și V</w:t>
            </w:r>
            <w:r w:rsidR="008D0D51" w:rsidRPr="00052914">
              <w:rPr>
                <w:rFonts w:ascii="Times New Roman" w:eastAsia="Times New Roman" w:hAnsi="Times New Roman" w:cs="Times New Roman"/>
                <w:kern w:val="0"/>
                <w:vertAlign w:val="superscript"/>
                <w:lang w:eastAsia="ro-MD"/>
                <w14:ligatures w14:val="none"/>
              </w:rPr>
              <w:t>1</w:t>
            </w:r>
            <w:r w:rsidRPr="004728B8">
              <w:rPr>
                <w:rFonts w:ascii="Times New Roman" w:eastAsia="Times New Roman" w:hAnsi="Times New Roman" w:cs="Times New Roman"/>
                <w:kern w:val="0"/>
                <w:lang w:eastAsia="ro-MD"/>
                <w14:ligatures w14:val="none"/>
              </w:rPr>
              <w:t xml:space="preserve"> din Regulamentul </w:t>
            </w:r>
            <w:r w:rsidR="00BC754D">
              <w:rPr>
                <w:rFonts w:ascii="Times New Roman" w:eastAsia="Times New Roman" w:hAnsi="Times New Roman" w:cs="Times New Roman"/>
                <w:kern w:val="0"/>
                <w:lang w:eastAsia="ro-MD"/>
                <w14:ligatures w14:val="none"/>
              </w:rPr>
              <w:t>nr. 112/2018</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A706A"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633558F1"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9CCB9" w14:textId="4970718B" w:rsidR="008844AC" w:rsidRPr="004728B8" w:rsidRDefault="008844AC" w:rsidP="008844AC">
            <w:pPr>
              <w:spacing w:after="0" w:line="240" w:lineRule="auto"/>
              <w:jc w:val="center"/>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0</w:t>
            </w:r>
            <w:r w:rsidR="00E63527">
              <w:rPr>
                <w:rFonts w:ascii="Times New Roman" w:eastAsia="Times New Roman" w:hAnsi="Times New Roman" w:cs="Times New Roman"/>
                <w:kern w:val="0"/>
                <w:lang w:eastAsia="ro-MD"/>
                <w14:ligatures w14:val="none"/>
              </w:rPr>
              <w:t>0</w:t>
            </w:r>
            <w:r w:rsidRPr="004728B8">
              <w:rPr>
                <w:rFonts w:ascii="Times New Roman" w:eastAsia="Times New Roman" w:hAnsi="Times New Roman" w:cs="Times New Roman"/>
                <w:kern w:val="0"/>
                <w:lang w:eastAsia="ro-MD"/>
                <w14:ligatures w14:val="none"/>
              </w:rPr>
              <w:t>70-0</w:t>
            </w:r>
            <w:r w:rsidR="00E63527">
              <w:rPr>
                <w:rFonts w:ascii="Times New Roman" w:eastAsia="Times New Roman" w:hAnsi="Times New Roman" w:cs="Times New Roman"/>
                <w:kern w:val="0"/>
                <w:lang w:eastAsia="ro-MD"/>
                <w14:ligatures w14:val="none"/>
              </w:rPr>
              <w:t>0</w:t>
            </w:r>
            <w:r w:rsidRPr="004728B8">
              <w:rPr>
                <w:rFonts w:ascii="Times New Roman" w:eastAsia="Times New Roman" w:hAnsi="Times New Roman" w:cs="Times New Roman"/>
                <w:kern w:val="0"/>
                <w:lang w:eastAsia="ro-MD"/>
                <w14:ligatures w14:val="none"/>
              </w:rPr>
              <w:t>80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FC812"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roofErr w:type="spellStart"/>
            <w:r w:rsidRPr="004728B8">
              <w:rPr>
                <w:rFonts w:ascii="Times New Roman" w:eastAsia="Times New Roman" w:hAnsi="Times New Roman" w:cs="Times New Roman"/>
                <w:b/>
                <w:bCs/>
                <w:kern w:val="0"/>
                <w:lang w:eastAsia="ro-MD"/>
                <w14:ligatures w14:val="none"/>
              </w:rPr>
              <w:t>Protecţia</w:t>
            </w:r>
            <w:proofErr w:type="spellEnd"/>
            <w:r w:rsidRPr="004728B8">
              <w:rPr>
                <w:rFonts w:ascii="Times New Roman" w:eastAsia="Times New Roman" w:hAnsi="Times New Roman" w:cs="Times New Roman"/>
                <w:b/>
                <w:bCs/>
                <w:kern w:val="0"/>
                <w:lang w:eastAsia="ro-MD"/>
                <w14:ligatures w14:val="none"/>
              </w:rPr>
              <w:t xml:space="preserve"> </w:t>
            </w:r>
            <w:proofErr w:type="spellStart"/>
            <w:r w:rsidRPr="004728B8">
              <w:rPr>
                <w:rFonts w:ascii="Times New Roman" w:eastAsia="Times New Roman" w:hAnsi="Times New Roman" w:cs="Times New Roman"/>
                <w:b/>
                <w:bCs/>
                <w:kern w:val="0"/>
                <w:lang w:eastAsia="ro-MD"/>
                <w14:ligatures w14:val="none"/>
              </w:rPr>
              <w:t>finanţată</w:t>
            </w:r>
            <w:proofErr w:type="spellEnd"/>
            <w:r w:rsidRPr="004728B8">
              <w:rPr>
                <w:rFonts w:ascii="Times New Roman" w:eastAsia="Times New Roman" w:hAnsi="Times New Roman" w:cs="Times New Roman"/>
                <w:b/>
                <w:bCs/>
                <w:kern w:val="0"/>
                <w:lang w:eastAsia="ro-MD"/>
                <w14:ligatures w14:val="none"/>
              </w:rPr>
              <w:t xml:space="preserve"> a creditului</w:t>
            </w:r>
            <w:r w:rsidRPr="004728B8">
              <w:rPr>
                <w:rFonts w:ascii="Times New Roman" w:eastAsia="Times New Roman" w:hAnsi="Times New Roman" w:cs="Times New Roman"/>
                <w:kern w:val="0"/>
                <w:lang w:eastAsia="ro-MD"/>
                <w14:ligatures w14:val="none"/>
              </w:rPr>
              <w:t xml:space="preserve"> </w:t>
            </w:r>
          </w:p>
          <w:p w14:paraId="367B45EA" w14:textId="5B9BE77F"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Aceste coloane se referă la </w:t>
            </w:r>
            <w:proofErr w:type="spellStart"/>
            <w:r w:rsidRPr="004728B8">
              <w:rPr>
                <w:rFonts w:ascii="Times New Roman" w:eastAsia="Times New Roman" w:hAnsi="Times New Roman" w:cs="Times New Roman"/>
                <w:kern w:val="0"/>
                <w:lang w:eastAsia="ro-MD"/>
                <w14:ligatures w14:val="none"/>
              </w:rPr>
              <w:t>protecţia</w:t>
            </w:r>
            <w:proofErr w:type="spellEnd"/>
            <w:r w:rsidRPr="004728B8">
              <w:rPr>
                <w:rFonts w:ascii="Times New Roman" w:eastAsia="Times New Roman" w:hAnsi="Times New Roman" w:cs="Times New Roman"/>
                <w:kern w:val="0"/>
                <w:lang w:eastAsia="ro-MD"/>
                <w14:ligatures w14:val="none"/>
              </w:rPr>
              <w:t xml:space="preserve"> </w:t>
            </w:r>
            <w:proofErr w:type="spellStart"/>
            <w:r w:rsidRPr="004728B8">
              <w:rPr>
                <w:rFonts w:ascii="Times New Roman" w:eastAsia="Times New Roman" w:hAnsi="Times New Roman" w:cs="Times New Roman"/>
                <w:kern w:val="0"/>
                <w:lang w:eastAsia="ro-MD"/>
                <w14:ligatures w14:val="none"/>
              </w:rPr>
              <w:t>finanţată</w:t>
            </w:r>
            <w:proofErr w:type="spellEnd"/>
            <w:r w:rsidRPr="004728B8">
              <w:rPr>
                <w:rFonts w:ascii="Times New Roman" w:eastAsia="Times New Roman" w:hAnsi="Times New Roman" w:cs="Times New Roman"/>
                <w:kern w:val="0"/>
                <w:lang w:eastAsia="ro-MD"/>
                <w14:ligatures w14:val="none"/>
              </w:rPr>
              <w:t xml:space="preserve"> a creditului</w:t>
            </w:r>
            <w:r w:rsidR="008D0D51">
              <w:rPr>
                <w:rFonts w:ascii="Times New Roman" w:eastAsia="Times New Roman" w:hAnsi="Times New Roman" w:cs="Times New Roman"/>
                <w:kern w:val="0"/>
                <w:lang w:eastAsia="ro-MD"/>
                <w14:ligatures w14:val="none"/>
              </w:rPr>
              <w:t>, astfel cum este definită la punctul 3 din Regulamentul nr. 112/2018, și supusă normelor prevăzute</w:t>
            </w:r>
            <w:r w:rsidRPr="004728B8">
              <w:rPr>
                <w:rFonts w:ascii="Times New Roman" w:eastAsia="Times New Roman" w:hAnsi="Times New Roman" w:cs="Times New Roman"/>
                <w:kern w:val="0"/>
                <w:lang w:eastAsia="ro-MD"/>
                <w14:ligatures w14:val="none"/>
              </w:rPr>
              <w:t xml:space="preserve"> în conformitate cu capitolul III </w:t>
            </w:r>
            <w:proofErr w:type="spellStart"/>
            <w:r w:rsidRPr="004728B8">
              <w:rPr>
                <w:rFonts w:ascii="Times New Roman" w:eastAsia="Times New Roman" w:hAnsi="Times New Roman" w:cs="Times New Roman"/>
                <w:kern w:val="0"/>
                <w:lang w:eastAsia="ro-MD"/>
                <w14:ligatures w14:val="none"/>
              </w:rPr>
              <w:t>secţiunile</w:t>
            </w:r>
            <w:proofErr w:type="spellEnd"/>
            <w:r w:rsidRPr="004728B8">
              <w:rPr>
                <w:rFonts w:ascii="Times New Roman" w:eastAsia="Times New Roman" w:hAnsi="Times New Roman" w:cs="Times New Roman"/>
                <w:kern w:val="0"/>
                <w:lang w:eastAsia="ro-MD"/>
                <w14:ligatures w14:val="none"/>
              </w:rPr>
              <w:t xml:space="preserve"> a 2-a, a 3-a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a 5-a din Regulamentul </w:t>
            </w:r>
            <w:r w:rsidR="008D0D51">
              <w:rPr>
                <w:rFonts w:ascii="Times New Roman" w:eastAsia="Times New Roman" w:hAnsi="Times New Roman" w:cs="Times New Roman"/>
                <w:kern w:val="0"/>
                <w:lang w:eastAsia="ro-MD"/>
                <w14:ligatures w14:val="none"/>
              </w:rPr>
              <w:t>menționat</w:t>
            </w:r>
            <w:r w:rsidRPr="004728B8">
              <w:rPr>
                <w:rFonts w:ascii="Times New Roman" w:eastAsia="Times New Roman" w:hAnsi="Times New Roman" w:cs="Times New Roman"/>
                <w:kern w:val="0"/>
                <w:lang w:eastAsia="ro-MD"/>
                <w14:ligatures w14:val="none"/>
              </w:rPr>
              <w:t xml:space="preserve">. Cuantumurile nu includ acordurile-cadru de compensare (deja incluse în expunerea </w:t>
            </w:r>
            <w:proofErr w:type="spellStart"/>
            <w:r w:rsidRPr="004728B8">
              <w:rPr>
                <w:rFonts w:ascii="Times New Roman" w:eastAsia="Times New Roman" w:hAnsi="Times New Roman" w:cs="Times New Roman"/>
                <w:kern w:val="0"/>
                <w:lang w:eastAsia="ro-MD"/>
                <w14:ligatures w14:val="none"/>
              </w:rPr>
              <w:t>iniţială</w:t>
            </w:r>
            <w:proofErr w:type="spellEnd"/>
            <w:r w:rsidRPr="004728B8">
              <w:rPr>
                <w:rFonts w:ascii="Times New Roman" w:eastAsia="Times New Roman" w:hAnsi="Times New Roman" w:cs="Times New Roman"/>
                <w:kern w:val="0"/>
                <w:lang w:eastAsia="ro-MD"/>
                <w14:ligatures w14:val="none"/>
              </w:rPr>
              <w:t xml:space="preserve"> înainte de aplicarea factorilor de conversie).</w:t>
            </w:r>
          </w:p>
          <w:p w14:paraId="3235E0A6" w14:textId="2B1CC20E"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I</w:t>
            </w:r>
            <w:r w:rsidR="009A35E9">
              <w:rPr>
                <w:rFonts w:ascii="Times New Roman" w:eastAsia="Times New Roman" w:hAnsi="Times New Roman" w:cs="Times New Roman"/>
                <w:kern w:val="0"/>
                <w:lang w:eastAsia="ro-MD"/>
                <w14:ligatures w14:val="none"/>
              </w:rPr>
              <w:t>nvestițiile în i</w:t>
            </w:r>
            <w:r w:rsidRPr="004728B8">
              <w:rPr>
                <w:rFonts w:ascii="Times New Roman" w:eastAsia="Times New Roman" w:hAnsi="Times New Roman" w:cs="Times New Roman"/>
                <w:kern w:val="0"/>
                <w:lang w:eastAsia="ro-MD"/>
                <w14:ligatures w14:val="none"/>
              </w:rPr>
              <w:t xml:space="preserve">nstrumentele de tip </w:t>
            </w:r>
            <w:r w:rsidR="00052914">
              <w:rPr>
                <w:rFonts w:ascii="Times New Roman" w:eastAsia="Times New Roman" w:hAnsi="Times New Roman" w:cs="Times New Roman"/>
                <w:kern w:val="0"/>
                <w:lang w:eastAsia="ro-MD"/>
                <w14:ligatures w14:val="none"/>
              </w:rPr>
              <w:t>„</w:t>
            </w:r>
            <w:r w:rsidRPr="004728B8">
              <w:rPr>
                <w:rFonts w:ascii="Times New Roman" w:eastAsia="Times New Roman" w:hAnsi="Times New Roman" w:cs="Times New Roman"/>
                <w:kern w:val="0"/>
                <w:lang w:eastAsia="ro-MD"/>
                <w14:ligatures w14:val="none"/>
              </w:rPr>
              <w:t xml:space="preserve">credit </w:t>
            </w:r>
            <w:proofErr w:type="spellStart"/>
            <w:r w:rsidRPr="004728B8">
              <w:rPr>
                <w:rFonts w:ascii="Times New Roman" w:eastAsia="Times New Roman" w:hAnsi="Times New Roman" w:cs="Times New Roman"/>
                <w:kern w:val="0"/>
                <w:lang w:eastAsia="ro-MD"/>
                <w14:ligatures w14:val="none"/>
              </w:rPr>
              <w:t>linked</w:t>
            </w:r>
            <w:proofErr w:type="spellEnd"/>
            <w:r w:rsidRPr="004728B8">
              <w:rPr>
                <w:rFonts w:ascii="Times New Roman" w:eastAsia="Times New Roman" w:hAnsi="Times New Roman" w:cs="Times New Roman"/>
                <w:kern w:val="0"/>
                <w:lang w:eastAsia="ro-MD"/>
                <w14:ligatures w14:val="none"/>
              </w:rPr>
              <w:t xml:space="preserve"> note</w:t>
            </w:r>
            <w:r w:rsidR="00052914">
              <w:rPr>
                <w:rFonts w:ascii="Times New Roman" w:eastAsia="Times New Roman" w:hAnsi="Times New Roman" w:cs="Times New Roman"/>
                <w:kern w:val="0"/>
                <w:lang w:eastAsia="ro-MD"/>
                <w14:ligatures w14:val="none"/>
              </w:rPr>
              <w:t>”</w:t>
            </w:r>
            <w:r w:rsidR="009A35E9">
              <w:rPr>
                <w:rFonts w:ascii="Times New Roman" w:eastAsia="Times New Roman" w:hAnsi="Times New Roman" w:cs="Times New Roman"/>
                <w:kern w:val="0"/>
                <w:lang w:eastAsia="ro-MD"/>
                <w14:ligatures w14:val="none"/>
              </w:rPr>
              <w:t xml:space="preserve"> menționate în titlul IV, Capitolul VIII, secțiunea 1 din Regulamentul nr. 112/20</w:t>
            </w:r>
            <w:r w:rsidR="00A13F3A">
              <w:rPr>
                <w:rFonts w:ascii="Times New Roman" w:eastAsia="Times New Roman" w:hAnsi="Times New Roman" w:cs="Times New Roman"/>
                <w:kern w:val="0"/>
                <w:lang w:eastAsia="ro-MD"/>
                <w14:ligatures w14:val="none"/>
              </w:rPr>
              <w:t>1</w:t>
            </w:r>
            <w:r w:rsidR="009A35E9">
              <w:rPr>
                <w:rFonts w:ascii="Times New Roman" w:eastAsia="Times New Roman" w:hAnsi="Times New Roman" w:cs="Times New Roman"/>
                <w:kern w:val="0"/>
                <w:lang w:eastAsia="ro-MD"/>
                <w14:ligatures w14:val="none"/>
              </w:rPr>
              <w:t>8</w:t>
            </w:r>
            <w:r w:rsidRPr="004728B8">
              <w:rPr>
                <w:rFonts w:ascii="Times New Roman" w:eastAsia="Times New Roman" w:hAnsi="Times New Roman" w:cs="Times New Roman"/>
                <w:kern w:val="0"/>
                <w:lang w:eastAsia="ro-MD"/>
                <w14:ligatures w14:val="none"/>
              </w:rPr>
              <w:t xml:space="preserve">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w:t>
            </w:r>
            <w:proofErr w:type="spellStart"/>
            <w:r w:rsidRPr="004728B8">
              <w:rPr>
                <w:rFonts w:ascii="Times New Roman" w:eastAsia="Times New Roman" w:hAnsi="Times New Roman" w:cs="Times New Roman"/>
                <w:kern w:val="0"/>
                <w:lang w:eastAsia="ro-MD"/>
                <w14:ligatures w14:val="none"/>
              </w:rPr>
              <w:t>poziţiile</w:t>
            </w:r>
            <w:proofErr w:type="spellEnd"/>
            <w:r w:rsidRPr="004728B8">
              <w:rPr>
                <w:rFonts w:ascii="Times New Roman" w:eastAsia="Times New Roman" w:hAnsi="Times New Roman" w:cs="Times New Roman"/>
                <w:kern w:val="0"/>
                <w:lang w:eastAsia="ro-MD"/>
                <w14:ligatures w14:val="none"/>
              </w:rPr>
              <w:t xml:space="preserve"> de compensare din </w:t>
            </w:r>
            <w:proofErr w:type="spellStart"/>
            <w:r w:rsidRPr="004728B8">
              <w:rPr>
                <w:rFonts w:ascii="Times New Roman" w:eastAsia="Times New Roman" w:hAnsi="Times New Roman" w:cs="Times New Roman"/>
                <w:kern w:val="0"/>
                <w:lang w:eastAsia="ro-MD"/>
                <w14:ligatures w14:val="none"/>
              </w:rPr>
              <w:t>bilanţ</w:t>
            </w:r>
            <w:proofErr w:type="spellEnd"/>
            <w:r w:rsidRPr="004728B8">
              <w:rPr>
                <w:rFonts w:ascii="Times New Roman" w:eastAsia="Times New Roman" w:hAnsi="Times New Roman" w:cs="Times New Roman"/>
                <w:kern w:val="0"/>
                <w:lang w:eastAsia="ro-MD"/>
                <w14:ligatures w14:val="none"/>
              </w:rPr>
              <w:t xml:space="preserve"> care rezultă din acordurile de compensare </w:t>
            </w:r>
            <w:proofErr w:type="spellStart"/>
            <w:r w:rsidRPr="004728B8">
              <w:rPr>
                <w:rFonts w:ascii="Times New Roman" w:eastAsia="Times New Roman" w:hAnsi="Times New Roman" w:cs="Times New Roman"/>
                <w:kern w:val="0"/>
                <w:lang w:eastAsia="ro-MD"/>
                <w14:ligatures w14:val="none"/>
              </w:rPr>
              <w:t>bilanţieră</w:t>
            </w:r>
            <w:proofErr w:type="spellEnd"/>
            <w:r w:rsidRPr="004728B8">
              <w:rPr>
                <w:rFonts w:ascii="Times New Roman" w:eastAsia="Times New Roman" w:hAnsi="Times New Roman" w:cs="Times New Roman"/>
                <w:kern w:val="0"/>
                <w:lang w:eastAsia="ro-MD"/>
                <w14:ligatures w14:val="none"/>
              </w:rPr>
              <w:t xml:space="preserve"> eligibile, în conformitate cu capitolul I</w:t>
            </w:r>
            <w:r w:rsidR="009A35E9">
              <w:rPr>
                <w:rFonts w:ascii="Times New Roman" w:eastAsia="Times New Roman" w:hAnsi="Times New Roman" w:cs="Times New Roman"/>
                <w:kern w:val="0"/>
                <w:lang w:eastAsia="ro-MD"/>
                <w14:ligatures w14:val="none"/>
              </w:rPr>
              <w:t>II</w:t>
            </w:r>
            <w:r w:rsidR="00E17F77">
              <w:rPr>
                <w:rFonts w:ascii="Times New Roman" w:eastAsia="Times New Roman" w:hAnsi="Times New Roman" w:cs="Times New Roman"/>
                <w:kern w:val="0"/>
                <w:lang w:eastAsia="ro-MD"/>
                <w14:ligatures w14:val="none"/>
              </w:rPr>
              <w:t>,</w:t>
            </w:r>
            <w:r w:rsidRPr="004728B8">
              <w:rPr>
                <w:rFonts w:ascii="Times New Roman" w:eastAsia="Times New Roman" w:hAnsi="Times New Roman" w:cs="Times New Roman"/>
                <w:kern w:val="0"/>
                <w:lang w:eastAsia="ro-MD"/>
                <w14:ligatures w14:val="none"/>
              </w:rPr>
              <w:t xml:space="preserve"> </w:t>
            </w:r>
            <w:proofErr w:type="spellStart"/>
            <w:r w:rsidRPr="004728B8">
              <w:rPr>
                <w:rFonts w:ascii="Times New Roman" w:eastAsia="Times New Roman" w:hAnsi="Times New Roman" w:cs="Times New Roman"/>
                <w:kern w:val="0"/>
                <w:lang w:eastAsia="ro-MD"/>
                <w14:ligatures w14:val="none"/>
              </w:rPr>
              <w:t>secţiunea</w:t>
            </w:r>
            <w:proofErr w:type="spellEnd"/>
            <w:r w:rsidRPr="004728B8">
              <w:rPr>
                <w:rFonts w:ascii="Times New Roman" w:eastAsia="Times New Roman" w:hAnsi="Times New Roman" w:cs="Times New Roman"/>
                <w:kern w:val="0"/>
                <w:lang w:eastAsia="ro-MD"/>
                <w14:ligatures w14:val="none"/>
              </w:rPr>
              <w:t xml:space="preserve"> 1 </w:t>
            </w:r>
            <w:r w:rsidR="008D0D51">
              <w:rPr>
                <w:rFonts w:ascii="Times New Roman" w:eastAsia="Times New Roman" w:hAnsi="Times New Roman" w:cs="Times New Roman"/>
                <w:kern w:val="0"/>
                <w:lang w:eastAsia="ro-MD"/>
                <w14:ligatures w14:val="none"/>
              </w:rPr>
              <w:t xml:space="preserve">și punctul 65 </w:t>
            </w:r>
            <w:r w:rsidRPr="004728B8">
              <w:rPr>
                <w:rFonts w:ascii="Times New Roman" w:eastAsia="Times New Roman" w:hAnsi="Times New Roman" w:cs="Times New Roman"/>
                <w:kern w:val="0"/>
                <w:lang w:eastAsia="ro-MD"/>
                <w14:ligatures w14:val="none"/>
              </w:rPr>
              <w:t xml:space="preserve">din Regulamentul </w:t>
            </w:r>
            <w:r w:rsidR="009A35E9">
              <w:rPr>
                <w:rFonts w:ascii="Times New Roman" w:eastAsia="Times New Roman" w:hAnsi="Times New Roman" w:cs="Times New Roman"/>
                <w:kern w:val="0"/>
                <w:lang w:eastAsia="ro-MD"/>
                <w14:ligatures w14:val="none"/>
              </w:rPr>
              <w:t>nr. 112/2018</w:t>
            </w:r>
            <w:r w:rsidRPr="004728B8">
              <w:rPr>
                <w:rFonts w:ascii="Times New Roman" w:eastAsia="Times New Roman" w:hAnsi="Times New Roman" w:cs="Times New Roman"/>
                <w:kern w:val="0"/>
                <w:lang w:eastAsia="ro-MD"/>
                <w14:ligatures w14:val="none"/>
              </w:rPr>
              <w:t xml:space="preserve">, trebuie tratate drept </w:t>
            </w:r>
            <w:proofErr w:type="spellStart"/>
            <w:r w:rsidRPr="004728B8">
              <w:rPr>
                <w:rFonts w:ascii="Times New Roman" w:eastAsia="Times New Roman" w:hAnsi="Times New Roman" w:cs="Times New Roman"/>
                <w:kern w:val="0"/>
                <w:lang w:eastAsia="ro-MD"/>
                <w14:ligatures w14:val="none"/>
              </w:rPr>
              <w:t>garanţii</w:t>
            </w:r>
            <w:proofErr w:type="spellEnd"/>
            <w:r w:rsidRPr="004728B8">
              <w:rPr>
                <w:rFonts w:ascii="Times New Roman" w:eastAsia="Times New Roman" w:hAnsi="Times New Roman" w:cs="Times New Roman"/>
                <w:kern w:val="0"/>
                <w:lang w:eastAsia="ro-MD"/>
                <w14:ligatures w14:val="none"/>
              </w:rPr>
              <w:t xml:space="preserve"> în numerar.</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81473"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5F5B9A1E"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1F53D" w14:textId="11366F72" w:rsidR="008844AC" w:rsidRPr="004728B8" w:rsidRDefault="008844AC" w:rsidP="008844AC">
            <w:pPr>
              <w:spacing w:after="0" w:line="240" w:lineRule="auto"/>
              <w:jc w:val="center"/>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0</w:t>
            </w:r>
            <w:r w:rsidR="00E63527">
              <w:rPr>
                <w:rFonts w:ascii="Times New Roman" w:eastAsia="Times New Roman" w:hAnsi="Times New Roman" w:cs="Times New Roman"/>
                <w:kern w:val="0"/>
                <w:lang w:eastAsia="ro-MD"/>
                <w14:ligatures w14:val="none"/>
              </w:rPr>
              <w:t>0</w:t>
            </w:r>
            <w:r w:rsidRPr="004728B8">
              <w:rPr>
                <w:rFonts w:ascii="Times New Roman" w:eastAsia="Times New Roman" w:hAnsi="Times New Roman" w:cs="Times New Roman"/>
                <w:kern w:val="0"/>
                <w:lang w:eastAsia="ro-MD"/>
                <w14:ligatures w14:val="none"/>
              </w:rPr>
              <w:t>70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9D6EA"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 xml:space="preserve">(-) </w:t>
            </w:r>
            <w:proofErr w:type="spellStart"/>
            <w:r w:rsidRPr="004728B8">
              <w:rPr>
                <w:rFonts w:ascii="Times New Roman" w:eastAsia="Times New Roman" w:hAnsi="Times New Roman" w:cs="Times New Roman"/>
                <w:b/>
                <w:bCs/>
                <w:kern w:val="0"/>
                <w:lang w:eastAsia="ro-MD"/>
                <w14:ligatures w14:val="none"/>
              </w:rPr>
              <w:t>Garanţii</w:t>
            </w:r>
            <w:proofErr w:type="spellEnd"/>
            <w:r w:rsidRPr="004728B8">
              <w:rPr>
                <w:rFonts w:ascii="Times New Roman" w:eastAsia="Times New Roman" w:hAnsi="Times New Roman" w:cs="Times New Roman"/>
                <w:b/>
                <w:bCs/>
                <w:kern w:val="0"/>
                <w:lang w:eastAsia="ro-MD"/>
                <w14:ligatures w14:val="none"/>
              </w:rPr>
              <w:t xml:space="preserve"> financiare: metoda simplă</w:t>
            </w:r>
            <w:r w:rsidRPr="004728B8">
              <w:rPr>
                <w:rFonts w:ascii="Times New Roman" w:eastAsia="Times New Roman" w:hAnsi="Times New Roman" w:cs="Times New Roman"/>
                <w:kern w:val="0"/>
                <w:lang w:eastAsia="ro-MD"/>
                <w14:ligatures w14:val="none"/>
              </w:rPr>
              <w:t xml:space="preserve"> </w:t>
            </w:r>
          </w:p>
          <w:p w14:paraId="1BC699DD" w14:textId="00FB9205"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Punctele </w:t>
            </w:r>
            <w:r w:rsidR="008D0D51">
              <w:rPr>
                <w:rFonts w:ascii="Times New Roman" w:eastAsia="Times New Roman" w:hAnsi="Times New Roman" w:cs="Times New Roman"/>
                <w:kern w:val="0"/>
                <w:lang w:eastAsia="ro-MD"/>
                <w14:ligatures w14:val="none"/>
              </w:rPr>
              <w:t xml:space="preserve">73, </w:t>
            </w:r>
            <w:r w:rsidRPr="004728B8">
              <w:rPr>
                <w:rFonts w:ascii="Times New Roman" w:eastAsia="Times New Roman" w:hAnsi="Times New Roman" w:cs="Times New Roman"/>
                <w:kern w:val="0"/>
                <w:lang w:eastAsia="ro-MD"/>
                <w14:ligatures w14:val="none"/>
              </w:rPr>
              <w:t xml:space="preserve">74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75 din Regulamentul </w:t>
            </w:r>
            <w:r w:rsidR="008D0D51">
              <w:rPr>
                <w:rFonts w:ascii="Times New Roman" w:eastAsia="Times New Roman" w:hAnsi="Times New Roman" w:cs="Times New Roman"/>
                <w:kern w:val="0"/>
                <w:lang w:eastAsia="ro-MD"/>
                <w14:ligatures w14:val="none"/>
              </w:rPr>
              <w:t>nr. 112/2018</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9785F"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789DA553"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46749" w14:textId="05FA4A7D" w:rsidR="008844AC" w:rsidRPr="004728B8" w:rsidRDefault="008844AC" w:rsidP="008844AC">
            <w:pPr>
              <w:spacing w:after="0" w:line="240" w:lineRule="auto"/>
              <w:jc w:val="center"/>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0</w:t>
            </w:r>
            <w:r w:rsidR="00E63527">
              <w:rPr>
                <w:rFonts w:ascii="Times New Roman" w:eastAsia="Times New Roman" w:hAnsi="Times New Roman" w:cs="Times New Roman"/>
                <w:kern w:val="0"/>
                <w:lang w:eastAsia="ro-MD"/>
                <w14:ligatures w14:val="none"/>
              </w:rPr>
              <w:t>0</w:t>
            </w:r>
            <w:r w:rsidRPr="004728B8">
              <w:rPr>
                <w:rFonts w:ascii="Times New Roman" w:eastAsia="Times New Roman" w:hAnsi="Times New Roman" w:cs="Times New Roman"/>
                <w:kern w:val="0"/>
                <w:lang w:eastAsia="ro-MD"/>
                <w14:ligatures w14:val="none"/>
              </w:rPr>
              <w:t>80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B350E"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 xml:space="preserve">(-) Alte tipuri de </w:t>
            </w:r>
            <w:proofErr w:type="spellStart"/>
            <w:r w:rsidRPr="004728B8">
              <w:rPr>
                <w:rFonts w:ascii="Times New Roman" w:eastAsia="Times New Roman" w:hAnsi="Times New Roman" w:cs="Times New Roman"/>
                <w:b/>
                <w:bCs/>
                <w:kern w:val="0"/>
                <w:lang w:eastAsia="ro-MD"/>
                <w14:ligatures w14:val="none"/>
              </w:rPr>
              <w:t>protecţie</w:t>
            </w:r>
            <w:proofErr w:type="spellEnd"/>
            <w:r w:rsidRPr="004728B8">
              <w:rPr>
                <w:rFonts w:ascii="Times New Roman" w:eastAsia="Times New Roman" w:hAnsi="Times New Roman" w:cs="Times New Roman"/>
                <w:b/>
                <w:bCs/>
                <w:kern w:val="0"/>
                <w:lang w:eastAsia="ro-MD"/>
                <w14:ligatures w14:val="none"/>
              </w:rPr>
              <w:t xml:space="preserve"> </w:t>
            </w:r>
            <w:proofErr w:type="spellStart"/>
            <w:r w:rsidRPr="004728B8">
              <w:rPr>
                <w:rFonts w:ascii="Times New Roman" w:eastAsia="Times New Roman" w:hAnsi="Times New Roman" w:cs="Times New Roman"/>
                <w:b/>
                <w:bCs/>
                <w:kern w:val="0"/>
                <w:lang w:eastAsia="ro-MD"/>
                <w14:ligatures w14:val="none"/>
              </w:rPr>
              <w:t>finanţată</w:t>
            </w:r>
            <w:proofErr w:type="spellEnd"/>
            <w:r w:rsidRPr="004728B8">
              <w:rPr>
                <w:rFonts w:ascii="Times New Roman" w:eastAsia="Times New Roman" w:hAnsi="Times New Roman" w:cs="Times New Roman"/>
                <w:b/>
                <w:bCs/>
                <w:kern w:val="0"/>
                <w:lang w:eastAsia="ro-MD"/>
                <w14:ligatures w14:val="none"/>
              </w:rPr>
              <w:t xml:space="preserve"> a creditului</w:t>
            </w:r>
            <w:r w:rsidRPr="004728B8">
              <w:rPr>
                <w:rFonts w:ascii="Times New Roman" w:eastAsia="Times New Roman" w:hAnsi="Times New Roman" w:cs="Times New Roman"/>
                <w:kern w:val="0"/>
                <w:lang w:eastAsia="ro-MD"/>
                <w14:ligatures w14:val="none"/>
              </w:rPr>
              <w:t xml:space="preserve"> </w:t>
            </w:r>
          </w:p>
          <w:p w14:paraId="44DF5C9C" w14:textId="5D4DED0E" w:rsidR="008844AC" w:rsidRPr="004728B8" w:rsidRDefault="00180916"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Capitolul VIII, secțiunea a 10-a</w:t>
            </w:r>
            <w:r w:rsidR="008844AC" w:rsidRPr="004728B8">
              <w:rPr>
                <w:rFonts w:ascii="Times New Roman" w:eastAsia="Times New Roman" w:hAnsi="Times New Roman" w:cs="Times New Roman"/>
                <w:kern w:val="0"/>
                <w:lang w:eastAsia="ro-MD"/>
                <w14:ligatures w14:val="none"/>
              </w:rPr>
              <w:t xml:space="preserve"> din Regulamentul </w:t>
            </w:r>
            <w:r>
              <w:rPr>
                <w:rFonts w:ascii="Times New Roman" w:eastAsia="Times New Roman" w:hAnsi="Times New Roman" w:cs="Times New Roman"/>
                <w:kern w:val="0"/>
                <w:lang w:eastAsia="ro-MD"/>
                <w14:ligatures w14:val="none"/>
              </w:rPr>
              <w:t>nr. 112/2018</w:t>
            </w:r>
            <w:r w:rsidR="008844AC" w:rsidRPr="004728B8">
              <w:rPr>
                <w:rFonts w:ascii="Times New Roman" w:eastAsia="Times New Roman" w:hAnsi="Times New Roman" w:cs="Times New Roman"/>
                <w:kern w:val="0"/>
                <w:lang w:eastAsia="ro-MD"/>
                <w14:ligatures w14:val="none"/>
              </w:rPr>
              <w:t>.</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0B6B2"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50352C1F"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C591D" w14:textId="2ECF0CB0" w:rsidR="008844AC" w:rsidRPr="004728B8" w:rsidRDefault="008844AC" w:rsidP="008844AC">
            <w:pPr>
              <w:spacing w:after="0" w:line="240" w:lineRule="auto"/>
              <w:jc w:val="center"/>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0</w:t>
            </w:r>
            <w:r w:rsidR="00E63527">
              <w:rPr>
                <w:rFonts w:ascii="Times New Roman" w:eastAsia="Times New Roman" w:hAnsi="Times New Roman" w:cs="Times New Roman"/>
                <w:kern w:val="0"/>
                <w:lang w:eastAsia="ro-MD"/>
                <w14:ligatures w14:val="none"/>
              </w:rPr>
              <w:t>0</w:t>
            </w:r>
            <w:r w:rsidRPr="004728B8">
              <w:rPr>
                <w:rFonts w:ascii="Times New Roman" w:eastAsia="Times New Roman" w:hAnsi="Times New Roman" w:cs="Times New Roman"/>
                <w:kern w:val="0"/>
                <w:lang w:eastAsia="ro-MD"/>
                <w14:ligatures w14:val="none"/>
              </w:rPr>
              <w:t>90-</w:t>
            </w:r>
            <w:r w:rsidR="00E63527">
              <w:rPr>
                <w:rFonts w:ascii="Times New Roman" w:eastAsia="Times New Roman" w:hAnsi="Times New Roman" w:cs="Times New Roman"/>
                <w:kern w:val="0"/>
                <w:lang w:eastAsia="ro-MD"/>
                <w14:ligatures w14:val="none"/>
              </w:rPr>
              <w:t>0</w:t>
            </w:r>
            <w:r w:rsidRPr="004728B8">
              <w:rPr>
                <w:rFonts w:ascii="Times New Roman" w:eastAsia="Times New Roman" w:hAnsi="Times New Roman" w:cs="Times New Roman"/>
                <w:kern w:val="0"/>
                <w:lang w:eastAsia="ro-MD"/>
                <w14:ligatures w14:val="none"/>
              </w:rPr>
              <w:t>100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38007"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roofErr w:type="spellStart"/>
            <w:r w:rsidRPr="004728B8">
              <w:rPr>
                <w:rFonts w:ascii="Times New Roman" w:eastAsia="Times New Roman" w:hAnsi="Times New Roman" w:cs="Times New Roman"/>
                <w:b/>
                <w:bCs/>
                <w:kern w:val="0"/>
                <w:lang w:eastAsia="ro-MD"/>
                <w14:ligatures w14:val="none"/>
              </w:rPr>
              <w:t>Substituţia</w:t>
            </w:r>
            <w:proofErr w:type="spellEnd"/>
            <w:r w:rsidRPr="004728B8">
              <w:rPr>
                <w:rFonts w:ascii="Times New Roman" w:eastAsia="Times New Roman" w:hAnsi="Times New Roman" w:cs="Times New Roman"/>
                <w:b/>
                <w:bCs/>
                <w:kern w:val="0"/>
                <w:lang w:eastAsia="ro-MD"/>
                <w14:ligatures w14:val="none"/>
              </w:rPr>
              <w:t xml:space="preserve"> expunerii ca urmare a aplicării tehnicilor de diminuare a riscului de credit</w:t>
            </w:r>
            <w:r w:rsidRPr="004728B8">
              <w:rPr>
                <w:rFonts w:ascii="Times New Roman" w:eastAsia="Times New Roman" w:hAnsi="Times New Roman" w:cs="Times New Roman"/>
                <w:kern w:val="0"/>
                <w:lang w:eastAsia="ro-MD"/>
                <w14:ligatures w14:val="none"/>
              </w:rPr>
              <w:t xml:space="preserve"> </w:t>
            </w:r>
          </w:p>
          <w:p w14:paraId="7767F8FF" w14:textId="77777777" w:rsidR="00052914"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Punctele 76, 114, 115 </w:t>
            </w:r>
            <w:r w:rsidR="00180916">
              <w:rPr>
                <w:rFonts w:ascii="Times New Roman" w:eastAsia="Times New Roman" w:hAnsi="Times New Roman" w:cs="Times New Roman"/>
                <w:kern w:val="0"/>
                <w:lang w:eastAsia="ro-MD"/>
                <w14:ligatures w14:val="none"/>
              </w:rPr>
              <w:t>și Capitolul IX, secțiunea a 2</w:t>
            </w:r>
            <w:r w:rsidR="00180916" w:rsidRPr="00052914">
              <w:rPr>
                <w:rFonts w:ascii="Times New Roman" w:eastAsia="Times New Roman" w:hAnsi="Times New Roman" w:cs="Times New Roman"/>
                <w:kern w:val="0"/>
                <w:vertAlign w:val="superscript"/>
                <w:lang w:eastAsia="ro-MD"/>
                <w14:ligatures w14:val="none"/>
              </w:rPr>
              <w:t>1</w:t>
            </w:r>
            <w:r w:rsidR="00180916">
              <w:rPr>
                <w:rFonts w:ascii="Times New Roman" w:eastAsia="Times New Roman" w:hAnsi="Times New Roman" w:cs="Times New Roman"/>
                <w:kern w:val="0"/>
                <w:lang w:eastAsia="ro-MD"/>
                <w14:ligatures w14:val="none"/>
              </w:rPr>
              <w:t xml:space="preserve">-a </w:t>
            </w:r>
            <w:r w:rsidRPr="004728B8">
              <w:rPr>
                <w:rFonts w:ascii="Times New Roman" w:eastAsia="Times New Roman" w:hAnsi="Times New Roman" w:cs="Times New Roman"/>
                <w:kern w:val="0"/>
                <w:lang w:eastAsia="ro-MD"/>
                <w14:ligatures w14:val="none"/>
              </w:rPr>
              <w:t xml:space="preserve">din Regulamentul </w:t>
            </w:r>
            <w:r w:rsidR="00180916">
              <w:rPr>
                <w:rFonts w:ascii="Times New Roman" w:eastAsia="Times New Roman" w:hAnsi="Times New Roman" w:cs="Times New Roman"/>
                <w:kern w:val="0"/>
                <w:lang w:eastAsia="ro-MD"/>
                <w14:ligatures w14:val="none"/>
              </w:rPr>
              <w:t>nr. 112/2018</w:t>
            </w:r>
          </w:p>
          <w:p w14:paraId="28AFB7B3" w14:textId="22431752" w:rsidR="00180916" w:rsidRDefault="008844AC" w:rsidP="008844AC">
            <w:pPr>
              <w:spacing w:after="0" w:line="240" w:lineRule="auto"/>
              <w:rPr>
                <w:rFonts w:ascii="Times New Roman" w:eastAsia="Times New Roman" w:hAnsi="Times New Roman" w:cs="Times New Roman"/>
                <w:kern w:val="0"/>
                <w:lang w:eastAsia="ro-MD"/>
                <w14:ligatures w14:val="none"/>
              </w:rPr>
            </w:pPr>
            <w:proofErr w:type="spellStart"/>
            <w:r w:rsidRPr="004728B8">
              <w:rPr>
                <w:rFonts w:ascii="Times New Roman" w:eastAsia="Times New Roman" w:hAnsi="Times New Roman" w:cs="Times New Roman"/>
                <w:kern w:val="0"/>
                <w:lang w:eastAsia="ro-MD"/>
                <w14:ligatures w14:val="none"/>
              </w:rPr>
              <w:t>Ieşirile</w:t>
            </w:r>
            <w:proofErr w:type="spellEnd"/>
            <w:r w:rsidRPr="004728B8">
              <w:rPr>
                <w:rFonts w:ascii="Times New Roman" w:eastAsia="Times New Roman" w:hAnsi="Times New Roman" w:cs="Times New Roman"/>
                <w:kern w:val="0"/>
                <w:lang w:eastAsia="ro-MD"/>
                <w14:ligatures w14:val="none"/>
              </w:rPr>
              <w:t xml:space="preserve"> corespund </w:t>
            </w:r>
            <w:proofErr w:type="spellStart"/>
            <w:r w:rsidRPr="004728B8">
              <w:rPr>
                <w:rFonts w:ascii="Times New Roman" w:eastAsia="Times New Roman" w:hAnsi="Times New Roman" w:cs="Times New Roman"/>
                <w:kern w:val="0"/>
                <w:lang w:eastAsia="ro-MD"/>
                <w14:ligatures w14:val="none"/>
              </w:rPr>
              <w:t>părţii</w:t>
            </w:r>
            <w:proofErr w:type="spellEnd"/>
            <w:r w:rsidRPr="004728B8">
              <w:rPr>
                <w:rFonts w:ascii="Times New Roman" w:eastAsia="Times New Roman" w:hAnsi="Times New Roman" w:cs="Times New Roman"/>
                <w:kern w:val="0"/>
                <w:lang w:eastAsia="ro-MD"/>
                <w14:ligatures w14:val="none"/>
              </w:rPr>
              <w:t xml:space="preserve"> </w:t>
            </w:r>
            <w:r w:rsidRPr="00180916">
              <w:rPr>
                <w:rFonts w:ascii="Times New Roman" w:eastAsia="Times New Roman" w:hAnsi="Times New Roman" w:cs="Times New Roman"/>
                <w:kern w:val="0"/>
                <w:lang w:eastAsia="ro-MD"/>
                <w14:ligatures w14:val="none"/>
              </w:rPr>
              <w:t xml:space="preserve">garantate </w:t>
            </w:r>
            <w:r w:rsidR="00180916" w:rsidRPr="00052914">
              <w:rPr>
                <w:rFonts w:ascii="Times New Roman" w:hAnsi="Times New Roman" w:cs="Times New Roman"/>
              </w:rPr>
              <w:t>G</w:t>
            </w:r>
            <w:r w:rsidR="00180916" w:rsidRPr="00052914">
              <w:rPr>
                <w:rFonts w:ascii="Times New Roman" w:hAnsi="Times New Roman" w:cs="Times New Roman"/>
                <w:vertAlign w:val="subscript"/>
              </w:rPr>
              <w:t>A</w:t>
            </w:r>
            <w:r w:rsidR="00180916" w:rsidRPr="00052914">
              <w:rPr>
                <w:rFonts w:ascii="Times New Roman" w:hAnsi="Times New Roman" w:cs="Times New Roman"/>
              </w:rPr>
              <w:t xml:space="preserve"> a expunerii fără ajustările de valoare și fără provizioane</w:t>
            </w:r>
            <w:r w:rsidRPr="004728B8">
              <w:rPr>
                <w:rFonts w:ascii="Times New Roman" w:eastAsia="Times New Roman" w:hAnsi="Times New Roman" w:cs="Times New Roman"/>
                <w:kern w:val="0"/>
                <w:lang w:eastAsia="ro-MD"/>
                <w14:ligatures w14:val="none"/>
              </w:rPr>
              <w:t xml:space="preserve">, care se deduce din clasa expunerilor debitorului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ulterior se alocă clasei de expuneri a furnizorului de </w:t>
            </w:r>
            <w:proofErr w:type="spellStart"/>
            <w:r w:rsidRPr="004728B8">
              <w:rPr>
                <w:rFonts w:ascii="Times New Roman" w:eastAsia="Times New Roman" w:hAnsi="Times New Roman" w:cs="Times New Roman"/>
                <w:kern w:val="0"/>
                <w:lang w:eastAsia="ro-MD"/>
                <w14:ligatures w14:val="none"/>
              </w:rPr>
              <w:t>protecţie</w:t>
            </w:r>
            <w:proofErr w:type="spellEnd"/>
            <w:r w:rsidRPr="004728B8">
              <w:rPr>
                <w:rFonts w:ascii="Times New Roman" w:eastAsia="Times New Roman" w:hAnsi="Times New Roman" w:cs="Times New Roman"/>
                <w:kern w:val="0"/>
                <w:lang w:eastAsia="ro-MD"/>
                <w14:ligatures w14:val="none"/>
              </w:rPr>
              <w:t xml:space="preserve">. Acest cuantum trebuie considerat ca o intrare în clasa de expuneri a furnizorului de </w:t>
            </w:r>
            <w:proofErr w:type="spellStart"/>
            <w:r w:rsidRPr="004728B8">
              <w:rPr>
                <w:rFonts w:ascii="Times New Roman" w:eastAsia="Times New Roman" w:hAnsi="Times New Roman" w:cs="Times New Roman"/>
                <w:kern w:val="0"/>
                <w:lang w:eastAsia="ro-MD"/>
                <w14:ligatures w14:val="none"/>
              </w:rPr>
              <w:t>protecţie</w:t>
            </w:r>
            <w:proofErr w:type="spellEnd"/>
            <w:r w:rsidRPr="004728B8">
              <w:rPr>
                <w:rFonts w:ascii="Times New Roman" w:eastAsia="Times New Roman" w:hAnsi="Times New Roman" w:cs="Times New Roman"/>
                <w:kern w:val="0"/>
                <w:lang w:eastAsia="ro-MD"/>
                <w14:ligatures w14:val="none"/>
              </w:rPr>
              <w:t xml:space="preserve">. </w:t>
            </w:r>
          </w:p>
          <w:p w14:paraId="26072DF7" w14:textId="59D7038A"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Intrările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w:t>
            </w:r>
            <w:proofErr w:type="spellStart"/>
            <w:r w:rsidRPr="004728B8">
              <w:rPr>
                <w:rFonts w:ascii="Times New Roman" w:eastAsia="Times New Roman" w:hAnsi="Times New Roman" w:cs="Times New Roman"/>
                <w:kern w:val="0"/>
                <w:lang w:eastAsia="ro-MD"/>
                <w14:ligatures w14:val="none"/>
              </w:rPr>
              <w:t>ieşirile</w:t>
            </w:r>
            <w:proofErr w:type="spellEnd"/>
            <w:r w:rsidRPr="004728B8">
              <w:rPr>
                <w:rFonts w:ascii="Times New Roman" w:eastAsia="Times New Roman" w:hAnsi="Times New Roman" w:cs="Times New Roman"/>
                <w:kern w:val="0"/>
                <w:lang w:eastAsia="ro-MD"/>
                <w14:ligatures w14:val="none"/>
              </w:rPr>
              <w:t xml:space="preserve"> aferente </w:t>
            </w:r>
            <w:proofErr w:type="spellStart"/>
            <w:r w:rsidRPr="004728B8">
              <w:rPr>
                <w:rFonts w:ascii="Times New Roman" w:eastAsia="Times New Roman" w:hAnsi="Times New Roman" w:cs="Times New Roman"/>
                <w:kern w:val="0"/>
                <w:lang w:eastAsia="ro-MD"/>
                <w14:ligatures w14:val="none"/>
              </w:rPr>
              <w:t>aceleiaşi</w:t>
            </w:r>
            <w:proofErr w:type="spellEnd"/>
            <w:r w:rsidRPr="004728B8">
              <w:rPr>
                <w:rFonts w:ascii="Times New Roman" w:eastAsia="Times New Roman" w:hAnsi="Times New Roman" w:cs="Times New Roman"/>
                <w:kern w:val="0"/>
                <w:lang w:eastAsia="ro-MD"/>
                <w14:ligatures w14:val="none"/>
              </w:rPr>
              <w:t xml:space="preserve"> clase de expuneri trebuie să fie, de asemenea, raportate.</w:t>
            </w:r>
          </w:p>
          <w:p w14:paraId="7C7B2C9A"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Expunerile determinate de posibile intrări din alte formulare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w:t>
            </w:r>
            <w:proofErr w:type="spellStart"/>
            <w:r w:rsidRPr="004728B8">
              <w:rPr>
                <w:rFonts w:ascii="Times New Roman" w:eastAsia="Times New Roman" w:hAnsi="Times New Roman" w:cs="Times New Roman"/>
                <w:kern w:val="0"/>
                <w:lang w:eastAsia="ro-MD"/>
                <w14:ligatures w14:val="none"/>
              </w:rPr>
              <w:t>ieşiri</w:t>
            </w:r>
            <w:proofErr w:type="spellEnd"/>
            <w:r w:rsidRPr="004728B8">
              <w:rPr>
                <w:rFonts w:ascii="Times New Roman" w:eastAsia="Times New Roman" w:hAnsi="Times New Roman" w:cs="Times New Roman"/>
                <w:kern w:val="0"/>
                <w:lang w:eastAsia="ro-MD"/>
                <w14:ligatures w14:val="none"/>
              </w:rPr>
              <w:t xml:space="preserve"> către alte formulare trebuie să fie luate în considerare.</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B01EA"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0A242185"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A915B" w14:textId="3FEECA21" w:rsidR="008844AC" w:rsidRPr="004728B8"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4728B8">
              <w:rPr>
                <w:rFonts w:ascii="Times New Roman" w:eastAsia="Times New Roman" w:hAnsi="Times New Roman" w:cs="Times New Roman"/>
                <w:kern w:val="0"/>
                <w:lang w:eastAsia="ro-MD"/>
                <w14:ligatures w14:val="none"/>
              </w:rPr>
              <w:t>110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71FB6"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 xml:space="preserve">Expunerea netă după efectele de </w:t>
            </w:r>
            <w:proofErr w:type="spellStart"/>
            <w:r w:rsidRPr="004728B8">
              <w:rPr>
                <w:rFonts w:ascii="Times New Roman" w:eastAsia="Times New Roman" w:hAnsi="Times New Roman" w:cs="Times New Roman"/>
                <w:b/>
                <w:bCs/>
                <w:kern w:val="0"/>
                <w:lang w:eastAsia="ro-MD"/>
                <w14:ligatures w14:val="none"/>
              </w:rPr>
              <w:t>substituţie</w:t>
            </w:r>
            <w:proofErr w:type="spellEnd"/>
            <w:r w:rsidRPr="004728B8">
              <w:rPr>
                <w:rFonts w:ascii="Times New Roman" w:eastAsia="Times New Roman" w:hAnsi="Times New Roman" w:cs="Times New Roman"/>
                <w:b/>
                <w:bCs/>
                <w:kern w:val="0"/>
                <w:lang w:eastAsia="ro-MD"/>
                <w14:ligatures w14:val="none"/>
              </w:rPr>
              <w:t xml:space="preserve"> ale diminuării riscului de credit înainte de aplicarea factorilor de conversie</w:t>
            </w:r>
            <w:r w:rsidRPr="004728B8">
              <w:rPr>
                <w:rFonts w:ascii="Times New Roman" w:eastAsia="Times New Roman" w:hAnsi="Times New Roman" w:cs="Times New Roman"/>
                <w:kern w:val="0"/>
                <w:lang w:eastAsia="ro-MD"/>
                <w14:ligatures w14:val="none"/>
              </w:rPr>
              <w:t xml:space="preserve"> </w:t>
            </w:r>
          </w:p>
          <w:p w14:paraId="26E83FD1" w14:textId="02E25B6A"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Cuantumul expunerii, fără ajustările de valoare, după ce s-au luat în considerare intrările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w:t>
            </w:r>
            <w:proofErr w:type="spellStart"/>
            <w:r w:rsidRPr="004728B8">
              <w:rPr>
                <w:rFonts w:ascii="Times New Roman" w:eastAsia="Times New Roman" w:hAnsi="Times New Roman" w:cs="Times New Roman"/>
                <w:kern w:val="0"/>
                <w:lang w:eastAsia="ro-MD"/>
                <w14:ligatures w14:val="none"/>
              </w:rPr>
              <w:t>ieşirile</w:t>
            </w:r>
            <w:proofErr w:type="spellEnd"/>
            <w:r w:rsidRPr="004728B8">
              <w:rPr>
                <w:rFonts w:ascii="Times New Roman" w:eastAsia="Times New Roman" w:hAnsi="Times New Roman" w:cs="Times New Roman"/>
                <w:kern w:val="0"/>
                <w:lang w:eastAsia="ro-MD"/>
                <w14:ligatures w14:val="none"/>
              </w:rPr>
              <w:t xml:space="preserve"> datorate </w:t>
            </w:r>
            <w:r w:rsidR="00180916">
              <w:rPr>
                <w:rFonts w:ascii="Times New Roman" w:eastAsia="Times New Roman" w:hAnsi="Times New Roman" w:cs="Times New Roman"/>
                <w:kern w:val="0"/>
                <w:lang w:eastAsia="ro-MD"/>
                <w14:ligatures w14:val="none"/>
              </w:rPr>
              <w:t>T</w:t>
            </w:r>
            <w:r w:rsidRPr="004728B8">
              <w:rPr>
                <w:rFonts w:ascii="Times New Roman" w:eastAsia="Times New Roman" w:hAnsi="Times New Roman" w:cs="Times New Roman"/>
                <w:kern w:val="0"/>
                <w:lang w:eastAsia="ro-MD"/>
                <w14:ligatures w14:val="none"/>
              </w:rPr>
              <w:t xml:space="preserve">ehnicilor de diminuare a riscului de credit cu efect de </w:t>
            </w:r>
            <w:proofErr w:type="spellStart"/>
            <w:r w:rsidRPr="004728B8">
              <w:rPr>
                <w:rFonts w:ascii="Times New Roman" w:eastAsia="Times New Roman" w:hAnsi="Times New Roman" w:cs="Times New Roman"/>
                <w:kern w:val="0"/>
                <w:lang w:eastAsia="ro-MD"/>
                <w14:ligatures w14:val="none"/>
              </w:rPr>
              <w:t>substituţie</w:t>
            </w:r>
            <w:proofErr w:type="spellEnd"/>
            <w:r w:rsidRPr="004728B8">
              <w:rPr>
                <w:rFonts w:ascii="Times New Roman" w:eastAsia="Times New Roman" w:hAnsi="Times New Roman" w:cs="Times New Roman"/>
                <w:kern w:val="0"/>
                <w:lang w:eastAsia="ro-MD"/>
                <w14:ligatures w14:val="none"/>
              </w:rPr>
              <w:t xml:space="preserve"> asupra expunerii</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4FF55"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7BF46348"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6A34A" w14:textId="6882AE05" w:rsidR="008844AC" w:rsidRPr="004728B8"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4728B8">
              <w:rPr>
                <w:rFonts w:ascii="Times New Roman" w:eastAsia="Times New Roman" w:hAnsi="Times New Roman" w:cs="Times New Roman"/>
                <w:kern w:val="0"/>
                <w:lang w:eastAsia="ro-MD"/>
                <w14:ligatures w14:val="none"/>
              </w:rPr>
              <w:t>120-</w:t>
            </w:r>
            <w:r>
              <w:rPr>
                <w:rFonts w:ascii="Times New Roman" w:eastAsia="Times New Roman" w:hAnsi="Times New Roman" w:cs="Times New Roman"/>
                <w:kern w:val="0"/>
                <w:lang w:eastAsia="ro-MD"/>
                <w14:ligatures w14:val="none"/>
              </w:rPr>
              <w:t>0</w:t>
            </w:r>
            <w:r w:rsidR="008844AC" w:rsidRPr="004728B8">
              <w:rPr>
                <w:rFonts w:ascii="Times New Roman" w:eastAsia="Times New Roman" w:hAnsi="Times New Roman" w:cs="Times New Roman"/>
                <w:kern w:val="0"/>
                <w:lang w:eastAsia="ro-MD"/>
                <w14:ligatures w14:val="none"/>
              </w:rPr>
              <w:t>140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31BA9"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 xml:space="preserve">Tehnicile de diminuare a riscului de credit care afectează cuantumul expunerii. </w:t>
            </w:r>
            <w:proofErr w:type="spellStart"/>
            <w:r w:rsidRPr="004728B8">
              <w:rPr>
                <w:rFonts w:ascii="Times New Roman" w:eastAsia="Times New Roman" w:hAnsi="Times New Roman" w:cs="Times New Roman"/>
                <w:b/>
                <w:bCs/>
                <w:kern w:val="0"/>
                <w:lang w:eastAsia="ro-MD"/>
                <w14:ligatures w14:val="none"/>
              </w:rPr>
              <w:t>Protecţia</w:t>
            </w:r>
            <w:proofErr w:type="spellEnd"/>
            <w:r w:rsidRPr="004728B8">
              <w:rPr>
                <w:rFonts w:ascii="Times New Roman" w:eastAsia="Times New Roman" w:hAnsi="Times New Roman" w:cs="Times New Roman"/>
                <w:b/>
                <w:bCs/>
                <w:kern w:val="0"/>
                <w:lang w:eastAsia="ro-MD"/>
                <w14:ligatures w14:val="none"/>
              </w:rPr>
              <w:t xml:space="preserve"> </w:t>
            </w:r>
            <w:proofErr w:type="spellStart"/>
            <w:r w:rsidRPr="004728B8">
              <w:rPr>
                <w:rFonts w:ascii="Times New Roman" w:eastAsia="Times New Roman" w:hAnsi="Times New Roman" w:cs="Times New Roman"/>
                <w:b/>
                <w:bCs/>
                <w:kern w:val="0"/>
                <w:lang w:eastAsia="ro-MD"/>
                <w14:ligatures w14:val="none"/>
              </w:rPr>
              <w:t>finanţată</w:t>
            </w:r>
            <w:proofErr w:type="spellEnd"/>
            <w:r w:rsidRPr="004728B8">
              <w:rPr>
                <w:rFonts w:ascii="Times New Roman" w:eastAsia="Times New Roman" w:hAnsi="Times New Roman" w:cs="Times New Roman"/>
                <w:b/>
                <w:bCs/>
                <w:kern w:val="0"/>
                <w:lang w:eastAsia="ro-MD"/>
                <w14:ligatures w14:val="none"/>
              </w:rPr>
              <w:t xml:space="preserve"> a creditului, metoda extinsă a </w:t>
            </w:r>
            <w:proofErr w:type="spellStart"/>
            <w:r w:rsidRPr="004728B8">
              <w:rPr>
                <w:rFonts w:ascii="Times New Roman" w:eastAsia="Times New Roman" w:hAnsi="Times New Roman" w:cs="Times New Roman"/>
                <w:b/>
                <w:bCs/>
                <w:kern w:val="0"/>
                <w:lang w:eastAsia="ro-MD"/>
                <w14:ligatures w14:val="none"/>
              </w:rPr>
              <w:t>garanţiilor</w:t>
            </w:r>
            <w:proofErr w:type="spellEnd"/>
            <w:r w:rsidRPr="004728B8">
              <w:rPr>
                <w:rFonts w:ascii="Times New Roman" w:eastAsia="Times New Roman" w:hAnsi="Times New Roman" w:cs="Times New Roman"/>
                <w:b/>
                <w:bCs/>
                <w:kern w:val="0"/>
                <w:lang w:eastAsia="ro-MD"/>
                <w14:ligatures w14:val="none"/>
              </w:rPr>
              <w:t xml:space="preserve"> financiare</w:t>
            </w:r>
            <w:r w:rsidRPr="004728B8">
              <w:rPr>
                <w:rFonts w:ascii="Times New Roman" w:eastAsia="Times New Roman" w:hAnsi="Times New Roman" w:cs="Times New Roman"/>
                <w:kern w:val="0"/>
                <w:lang w:eastAsia="ro-MD"/>
                <w14:ligatures w14:val="none"/>
              </w:rPr>
              <w:t xml:space="preserve"> </w:t>
            </w:r>
          </w:p>
          <w:p w14:paraId="5F58EAB3" w14:textId="7AFF6DAC"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Capitolul VIII </w:t>
            </w:r>
            <w:proofErr w:type="spellStart"/>
            <w:r w:rsidRPr="004728B8">
              <w:rPr>
                <w:rFonts w:ascii="Times New Roman" w:eastAsia="Times New Roman" w:hAnsi="Times New Roman" w:cs="Times New Roman"/>
                <w:kern w:val="0"/>
                <w:lang w:eastAsia="ro-MD"/>
                <w14:ligatures w14:val="none"/>
              </w:rPr>
              <w:t>secţiunile</w:t>
            </w:r>
            <w:proofErr w:type="spellEnd"/>
            <w:r w:rsidRPr="004728B8">
              <w:rPr>
                <w:rFonts w:ascii="Times New Roman" w:eastAsia="Times New Roman" w:hAnsi="Times New Roman" w:cs="Times New Roman"/>
                <w:kern w:val="0"/>
                <w:lang w:eastAsia="ro-MD"/>
                <w14:ligatures w14:val="none"/>
              </w:rPr>
              <w:t xml:space="preserve"> a 5-a, a 6-a, a 7-a, a 8-a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a 9-a din Regulamentul </w:t>
            </w:r>
            <w:r w:rsidR="00FA2947">
              <w:rPr>
                <w:rFonts w:ascii="Times New Roman" w:eastAsia="Times New Roman" w:hAnsi="Times New Roman" w:cs="Times New Roman"/>
                <w:kern w:val="0"/>
                <w:lang w:eastAsia="ro-MD"/>
                <w14:ligatures w14:val="none"/>
              </w:rPr>
              <w:t>nr. 112/2018.</w:t>
            </w:r>
            <w:r w:rsidRPr="004728B8">
              <w:rPr>
                <w:rFonts w:ascii="Times New Roman" w:eastAsia="Times New Roman" w:hAnsi="Times New Roman" w:cs="Times New Roman"/>
                <w:kern w:val="0"/>
                <w:lang w:eastAsia="ro-MD"/>
                <w14:ligatures w14:val="none"/>
              </w:rPr>
              <w:t xml:space="preserve"> Aici sunt incluse, de asemenea, instrumentele de tip "credit </w:t>
            </w:r>
            <w:proofErr w:type="spellStart"/>
            <w:r w:rsidRPr="004728B8">
              <w:rPr>
                <w:rFonts w:ascii="Times New Roman" w:eastAsia="Times New Roman" w:hAnsi="Times New Roman" w:cs="Times New Roman"/>
                <w:kern w:val="0"/>
                <w:lang w:eastAsia="ro-MD"/>
                <w14:ligatures w14:val="none"/>
              </w:rPr>
              <w:t>linked</w:t>
            </w:r>
            <w:proofErr w:type="spellEnd"/>
            <w:r w:rsidRPr="004728B8">
              <w:rPr>
                <w:rFonts w:ascii="Times New Roman" w:eastAsia="Times New Roman" w:hAnsi="Times New Roman" w:cs="Times New Roman"/>
                <w:kern w:val="0"/>
                <w:lang w:eastAsia="ro-MD"/>
                <w14:ligatures w14:val="none"/>
              </w:rPr>
              <w:t xml:space="preserve"> note" (punctele 66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67 din Regulamentul </w:t>
            </w:r>
            <w:r w:rsidR="00FA2947">
              <w:rPr>
                <w:rFonts w:ascii="Times New Roman" w:eastAsia="Times New Roman" w:hAnsi="Times New Roman" w:cs="Times New Roman"/>
                <w:kern w:val="0"/>
                <w:lang w:eastAsia="ro-MD"/>
                <w14:ligatures w14:val="none"/>
              </w:rPr>
              <w:t>menționat</w:t>
            </w:r>
            <w:r w:rsidRPr="004728B8">
              <w:rPr>
                <w:rFonts w:ascii="Times New Roman" w:eastAsia="Times New Roman" w:hAnsi="Times New Roman" w:cs="Times New Roman"/>
                <w:kern w:val="0"/>
                <w:lang w:eastAsia="ro-MD"/>
                <w14:ligatures w14:val="none"/>
              </w:rPr>
              <w:t>)</w:t>
            </w:r>
          </w:p>
          <w:p w14:paraId="7130B9BA" w14:textId="341F5473"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Instrumentele de tip "credit </w:t>
            </w:r>
            <w:proofErr w:type="spellStart"/>
            <w:r w:rsidRPr="004728B8">
              <w:rPr>
                <w:rFonts w:ascii="Times New Roman" w:eastAsia="Times New Roman" w:hAnsi="Times New Roman" w:cs="Times New Roman"/>
                <w:kern w:val="0"/>
                <w:lang w:eastAsia="ro-MD"/>
                <w14:ligatures w14:val="none"/>
              </w:rPr>
              <w:t>linked</w:t>
            </w:r>
            <w:proofErr w:type="spellEnd"/>
            <w:r w:rsidRPr="004728B8">
              <w:rPr>
                <w:rFonts w:ascii="Times New Roman" w:eastAsia="Times New Roman" w:hAnsi="Times New Roman" w:cs="Times New Roman"/>
                <w:kern w:val="0"/>
                <w:lang w:eastAsia="ro-MD"/>
                <w14:ligatures w14:val="none"/>
              </w:rPr>
              <w:t xml:space="preserve"> note"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w:t>
            </w:r>
            <w:proofErr w:type="spellStart"/>
            <w:r w:rsidRPr="004728B8">
              <w:rPr>
                <w:rFonts w:ascii="Times New Roman" w:eastAsia="Times New Roman" w:hAnsi="Times New Roman" w:cs="Times New Roman"/>
                <w:kern w:val="0"/>
                <w:lang w:eastAsia="ro-MD"/>
                <w14:ligatures w14:val="none"/>
              </w:rPr>
              <w:t>poziţiile</w:t>
            </w:r>
            <w:proofErr w:type="spellEnd"/>
            <w:r w:rsidRPr="004728B8">
              <w:rPr>
                <w:rFonts w:ascii="Times New Roman" w:eastAsia="Times New Roman" w:hAnsi="Times New Roman" w:cs="Times New Roman"/>
                <w:kern w:val="0"/>
                <w:lang w:eastAsia="ro-MD"/>
                <w14:ligatures w14:val="none"/>
              </w:rPr>
              <w:t xml:space="preserve"> de compensare din </w:t>
            </w:r>
            <w:proofErr w:type="spellStart"/>
            <w:r w:rsidRPr="004728B8">
              <w:rPr>
                <w:rFonts w:ascii="Times New Roman" w:eastAsia="Times New Roman" w:hAnsi="Times New Roman" w:cs="Times New Roman"/>
                <w:kern w:val="0"/>
                <w:lang w:eastAsia="ro-MD"/>
                <w14:ligatures w14:val="none"/>
              </w:rPr>
              <w:t>bilanţ</w:t>
            </w:r>
            <w:proofErr w:type="spellEnd"/>
            <w:r w:rsidRPr="004728B8">
              <w:rPr>
                <w:rFonts w:ascii="Times New Roman" w:eastAsia="Times New Roman" w:hAnsi="Times New Roman" w:cs="Times New Roman"/>
                <w:kern w:val="0"/>
                <w:lang w:eastAsia="ro-MD"/>
                <w14:ligatures w14:val="none"/>
              </w:rPr>
              <w:t xml:space="preserve"> care rezultă din acordurile de compensare </w:t>
            </w:r>
            <w:proofErr w:type="spellStart"/>
            <w:r w:rsidRPr="004728B8">
              <w:rPr>
                <w:rFonts w:ascii="Times New Roman" w:eastAsia="Times New Roman" w:hAnsi="Times New Roman" w:cs="Times New Roman"/>
                <w:kern w:val="0"/>
                <w:lang w:eastAsia="ro-MD"/>
                <w14:ligatures w14:val="none"/>
              </w:rPr>
              <w:t>bilanţieră</w:t>
            </w:r>
            <w:proofErr w:type="spellEnd"/>
            <w:r w:rsidRPr="004728B8">
              <w:rPr>
                <w:rFonts w:ascii="Times New Roman" w:eastAsia="Times New Roman" w:hAnsi="Times New Roman" w:cs="Times New Roman"/>
                <w:kern w:val="0"/>
                <w:lang w:eastAsia="ro-MD"/>
                <w14:ligatures w14:val="none"/>
              </w:rPr>
              <w:t xml:space="preserve"> eligibile în conformitate cu </w:t>
            </w:r>
            <w:r w:rsidRPr="004728B8">
              <w:rPr>
                <w:rFonts w:ascii="Times New Roman" w:eastAsia="Times New Roman" w:hAnsi="Times New Roman" w:cs="Times New Roman"/>
                <w:kern w:val="0"/>
                <w:lang w:eastAsia="ro-MD"/>
                <w14:ligatures w14:val="none"/>
              </w:rPr>
              <w:lastRenderedPageBreak/>
              <w:t xml:space="preserve">capitolul VIII </w:t>
            </w:r>
            <w:proofErr w:type="spellStart"/>
            <w:r w:rsidRPr="004728B8">
              <w:rPr>
                <w:rFonts w:ascii="Times New Roman" w:eastAsia="Times New Roman" w:hAnsi="Times New Roman" w:cs="Times New Roman"/>
                <w:kern w:val="0"/>
                <w:lang w:eastAsia="ro-MD"/>
                <w14:ligatures w14:val="none"/>
              </w:rPr>
              <w:t>secţiunea</w:t>
            </w:r>
            <w:proofErr w:type="spellEnd"/>
            <w:r w:rsidRPr="004728B8">
              <w:rPr>
                <w:rFonts w:ascii="Times New Roman" w:eastAsia="Times New Roman" w:hAnsi="Times New Roman" w:cs="Times New Roman"/>
                <w:kern w:val="0"/>
                <w:lang w:eastAsia="ro-MD"/>
                <w14:ligatures w14:val="none"/>
              </w:rPr>
              <w:t xml:space="preserve"> 1 din Regulamentul </w:t>
            </w:r>
            <w:r w:rsidR="00FA2947">
              <w:rPr>
                <w:rFonts w:ascii="Times New Roman" w:eastAsia="Times New Roman" w:hAnsi="Times New Roman" w:cs="Times New Roman"/>
                <w:kern w:val="0"/>
                <w:lang w:eastAsia="ro-MD"/>
                <w14:ligatures w14:val="none"/>
              </w:rPr>
              <w:t>nr. 112/2018 sunt tratate drept garanții în numerar</w:t>
            </w:r>
            <w:r w:rsidRPr="004728B8">
              <w:rPr>
                <w:rFonts w:ascii="Times New Roman" w:eastAsia="Times New Roman" w:hAnsi="Times New Roman" w:cs="Times New Roman"/>
                <w:kern w:val="0"/>
                <w:lang w:eastAsia="ro-MD"/>
                <w14:ligatures w14:val="none"/>
              </w:rPr>
              <w:t>.</w:t>
            </w:r>
          </w:p>
          <w:p w14:paraId="75521991" w14:textId="30F78816"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Efectul acoperirii cu </w:t>
            </w:r>
            <w:proofErr w:type="spellStart"/>
            <w:r w:rsidRPr="004728B8">
              <w:rPr>
                <w:rFonts w:ascii="Times New Roman" w:eastAsia="Times New Roman" w:hAnsi="Times New Roman" w:cs="Times New Roman"/>
                <w:kern w:val="0"/>
                <w:lang w:eastAsia="ro-MD"/>
                <w14:ligatures w14:val="none"/>
              </w:rPr>
              <w:t>garanţii</w:t>
            </w:r>
            <w:proofErr w:type="spellEnd"/>
            <w:r w:rsidRPr="004728B8">
              <w:rPr>
                <w:rFonts w:ascii="Times New Roman" w:eastAsia="Times New Roman" w:hAnsi="Times New Roman" w:cs="Times New Roman"/>
                <w:kern w:val="0"/>
                <w:lang w:eastAsia="ro-MD"/>
                <w14:ligatures w14:val="none"/>
              </w:rPr>
              <w:t xml:space="preserve"> reale pe care îl are metoda extinsă a </w:t>
            </w:r>
            <w:proofErr w:type="spellStart"/>
            <w:r w:rsidRPr="004728B8">
              <w:rPr>
                <w:rFonts w:ascii="Times New Roman" w:eastAsia="Times New Roman" w:hAnsi="Times New Roman" w:cs="Times New Roman"/>
                <w:kern w:val="0"/>
                <w:lang w:eastAsia="ro-MD"/>
                <w14:ligatures w14:val="none"/>
              </w:rPr>
              <w:t>garanţiilor</w:t>
            </w:r>
            <w:proofErr w:type="spellEnd"/>
            <w:r w:rsidRPr="004728B8">
              <w:rPr>
                <w:rFonts w:ascii="Times New Roman" w:eastAsia="Times New Roman" w:hAnsi="Times New Roman" w:cs="Times New Roman"/>
                <w:kern w:val="0"/>
                <w:lang w:eastAsia="ro-MD"/>
                <w14:ligatures w14:val="none"/>
              </w:rPr>
              <w:t xml:space="preserve"> financiare aplicată unei expuneri care este garantată de o </w:t>
            </w:r>
            <w:proofErr w:type="spellStart"/>
            <w:r w:rsidRPr="004728B8">
              <w:rPr>
                <w:rFonts w:ascii="Times New Roman" w:eastAsia="Times New Roman" w:hAnsi="Times New Roman" w:cs="Times New Roman"/>
                <w:kern w:val="0"/>
                <w:lang w:eastAsia="ro-MD"/>
                <w14:ligatures w14:val="none"/>
              </w:rPr>
              <w:t>garanţie</w:t>
            </w:r>
            <w:proofErr w:type="spellEnd"/>
            <w:r w:rsidRPr="004728B8">
              <w:rPr>
                <w:rFonts w:ascii="Times New Roman" w:eastAsia="Times New Roman" w:hAnsi="Times New Roman" w:cs="Times New Roman"/>
                <w:kern w:val="0"/>
                <w:lang w:eastAsia="ro-MD"/>
                <w14:ligatures w14:val="none"/>
              </w:rPr>
              <w:t xml:space="preserve"> financiară eligibilă se calculează conform capitolului VIII </w:t>
            </w:r>
            <w:proofErr w:type="spellStart"/>
            <w:r w:rsidRPr="004728B8">
              <w:rPr>
                <w:rFonts w:ascii="Times New Roman" w:eastAsia="Times New Roman" w:hAnsi="Times New Roman" w:cs="Times New Roman"/>
                <w:kern w:val="0"/>
                <w:lang w:eastAsia="ro-MD"/>
                <w14:ligatures w14:val="none"/>
              </w:rPr>
              <w:t>secţiunile</w:t>
            </w:r>
            <w:proofErr w:type="spellEnd"/>
            <w:r w:rsidRPr="004728B8">
              <w:rPr>
                <w:rFonts w:ascii="Times New Roman" w:eastAsia="Times New Roman" w:hAnsi="Times New Roman" w:cs="Times New Roman"/>
                <w:kern w:val="0"/>
                <w:lang w:eastAsia="ro-MD"/>
                <w14:ligatures w14:val="none"/>
              </w:rPr>
              <w:t xml:space="preserve"> a 5-a, a 6-a, a 7-a, a 8-a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a 9-a din Regulamentul </w:t>
            </w:r>
            <w:r w:rsidR="00FA2947">
              <w:rPr>
                <w:rFonts w:ascii="Times New Roman" w:eastAsia="Times New Roman" w:hAnsi="Times New Roman" w:cs="Times New Roman"/>
                <w:kern w:val="0"/>
                <w:lang w:eastAsia="ro-MD"/>
                <w14:ligatures w14:val="none"/>
              </w:rPr>
              <w:t>nr. 112/2018</w:t>
            </w:r>
            <w:r w:rsidRPr="004728B8">
              <w:rPr>
                <w:rFonts w:ascii="Times New Roman" w:eastAsia="Times New Roman" w:hAnsi="Times New Roman" w:cs="Times New Roman"/>
                <w:kern w:val="0"/>
                <w:lang w:eastAsia="ro-MD"/>
                <w14:ligatures w14:val="none"/>
              </w:rPr>
              <w:t>.</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BB966"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15A673D4"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1AA34" w14:textId="278954F6" w:rsidR="008844AC" w:rsidRPr="004728B8"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4728B8">
              <w:rPr>
                <w:rFonts w:ascii="Times New Roman" w:eastAsia="Times New Roman" w:hAnsi="Times New Roman" w:cs="Times New Roman"/>
                <w:kern w:val="0"/>
                <w:lang w:eastAsia="ro-MD"/>
                <w14:ligatures w14:val="none"/>
              </w:rPr>
              <w:t>120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B8035"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Ajustarea de volatilitate aplicată expunerii</w:t>
            </w:r>
            <w:r w:rsidRPr="004728B8">
              <w:rPr>
                <w:rFonts w:ascii="Times New Roman" w:eastAsia="Times New Roman" w:hAnsi="Times New Roman" w:cs="Times New Roman"/>
                <w:kern w:val="0"/>
                <w:lang w:eastAsia="ro-MD"/>
                <w14:ligatures w14:val="none"/>
              </w:rPr>
              <w:t xml:space="preserve"> </w:t>
            </w:r>
          </w:p>
          <w:p w14:paraId="7D026E7E" w14:textId="77777777" w:rsidR="00052914"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Punctele 87- 90 din Regulamentul </w:t>
            </w:r>
            <w:r w:rsidR="00FA2947">
              <w:rPr>
                <w:rFonts w:ascii="Times New Roman" w:eastAsia="Times New Roman" w:hAnsi="Times New Roman" w:cs="Times New Roman"/>
                <w:kern w:val="0"/>
                <w:lang w:eastAsia="ro-MD"/>
                <w14:ligatures w14:val="none"/>
              </w:rPr>
              <w:t>nr. 112/2018</w:t>
            </w:r>
          </w:p>
          <w:p w14:paraId="5559E786" w14:textId="3C7F5C3D"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Cuantumul care trebuie raportat este dat de impactul ajustării de volatilitate aplicate expunerii (Eva-E) = E*He</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3DA31"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5FA4A8E7"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64064" w14:textId="175696A6" w:rsidR="008844AC" w:rsidRPr="004728B8"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4728B8">
              <w:rPr>
                <w:rFonts w:ascii="Times New Roman" w:eastAsia="Times New Roman" w:hAnsi="Times New Roman" w:cs="Times New Roman"/>
                <w:kern w:val="0"/>
                <w:lang w:eastAsia="ro-MD"/>
                <w14:ligatures w14:val="none"/>
              </w:rPr>
              <w:t>130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114E5"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 xml:space="preserve">(-) Valoarea ajustată a </w:t>
            </w:r>
            <w:proofErr w:type="spellStart"/>
            <w:r w:rsidRPr="004728B8">
              <w:rPr>
                <w:rFonts w:ascii="Times New Roman" w:eastAsia="Times New Roman" w:hAnsi="Times New Roman" w:cs="Times New Roman"/>
                <w:b/>
                <w:bCs/>
                <w:kern w:val="0"/>
                <w:lang w:eastAsia="ro-MD"/>
                <w14:ligatures w14:val="none"/>
              </w:rPr>
              <w:t>garanţiei</w:t>
            </w:r>
            <w:proofErr w:type="spellEnd"/>
            <w:r w:rsidRPr="004728B8">
              <w:rPr>
                <w:rFonts w:ascii="Times New Roman" w:eastAsia="Times New Roman" w:hAnsi="Times New Roman" w:cs="Times New Roman"/>
                <w:b/>
                <w:bCs/>
                <w:kern w:val="0"/>
                <w:lang w:eastAsia="ro-MD"/>
                <w14:ligatures w14:val="none"/>
              </w:rPr>
              <w:t xml:space="preserve"> financiare (</w:t>
            </w:r>
            <w:proofErr w:type="spellStart"/>
            <w:r w:rsidRPr="004728B8">
              <w:rPr>
                <w:rFonts w:ascii="Times New Roman" w:eastAsia="Times New Roman" w:hAnsi="Times New Roman" w:cs="Times New Roman"/>
                <w:b/>
                <w:bCs/>
                <w:kern w:val="0"/>
                <w:lang w:eastAsia="ro-MD"/>
                <w14:ligatures w14:val="none"/>
              </w:rPr>
              <w:t>Cvam</w:t>
            </w:r>
            <w:proofErr w:type="spellEnd"/>
            <w:r w:rsidRPr="004728B8">
              <w:rPr>
                <w:rFonts w:ascii="Times New Roman" w:eastAsia="Times New Roman" w:hAnsi="Times New Roman" w:cs="Times New Roman"/>
                <w:b/>
                <w:bCs/>
                <w:kern w:val="0"/>
                <w:lang w:eastAsia="ro-MD"/>
                <w14:ligatures w14:val="none"/>
              </w:rPr>
              <w:t>)</w:t>
            </w:r>
            <w:r w:rsidRPr="004728B8">
              <w:rPr>
                <w:rFonts w:ascii="Times New Roman" w:eastAsia="Times New Roman" w:hAnsi="Times New Roman" w:cs="Times New Roman"/>
                <w:kern w:val="0"/>
                <w:lang w:eastAsia="ro-MD"/>
                <w14:ligatures w14:val="none"/>
              </w:rPr>
              <w:t xml:space="preserve"> </w:t>
            </w:r>
          </w:p>
          <w:p w14:paraId="5232269E" w14:textId="77777777" w:rsidR="00052914" w:rsidRDefault="008844AC" w:rsidP="00A84D2B">
            <w:pPr>
              <w:pStyle w:val="InstructionsText"/>
            </w:pPr>
            <w:r w:rsidRPr="004728B8">
              <w:t xml:space="preserve">Punctul 126 din Regulamentul </w:t>
            </w:r>
            <w:r w:rsidR="00FA2947">
              <w:t>nr. 112/2018</w:t>
            </w:r>
          </w:p>
          <w:p w14:paraId="004696A6" w14:textId="4DF1D982" w:rsidR="00FA2947" w:rsidRPr="00F101A5" w:rsidRDefault="00FA2947" w:rsidP="00A84D2B">
            <w:pPr>
              <w:pStyle w:val="InstructionsText"/>
            </w:pPr>
            <w:r w:rsidRPr="00F101A5">
              <w:t xml:space="preserve">Pentru operațiunile din portofoliul de tranzacționare se includ garanțiile financiare și mărfurile eligibile pentru expunerile portofoliului de tranzacționare în conformitate cu </w:t>
            </w:r>
            <w:r w:rsidR="00F101A5" w:rsidRPr="00F101A5">
              <w:t xml:space="preserve">punctele 98 -104 </w:t>
            </w:r>
            <w:r w:rsidRPr="00F101A5">
              <w:t xml:space="preserve">din Regulamentul </w:t>
            </w:r>
            <w:r w:rsidR="00F101A5" w:rsidRPr="00F101A5">
              <w:t>nr. 220/2025</w:t>
            </w:r>
            <w:r w:rsidRPr="00F101A5">
              <w:t xml:space="preserve">. </w:t>
            </w:r>
          </w:p>
          <w:p w14:paraId="00C4AB80" w14:textId="1F8084F0"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Cuantumul care trebuie raportat corespunde formulei </w:t>
            </w:r>
            <w:proofErr w:type="spellStart"/>
            <w:r w:rsidRPr="004728B8">
              <w:rPr>
                <w:rFonts w:ascii="Times New Roman" w:eastAsia="Times New Roman" w:hAnsi="Times New Roman" w:cs="Times New Roman"/>
                <w:kern w:val="0"/>
                <w:lang w:eastAsia="ro-MD"/>
                <w14:ligatures w14:val="none"/>
              </w:rPr>
              <w:t>Cvam</w:t>
            </w:r>
            <w:proofErr w:type="spellEnd"/>
            <w:r w:rsidRPr="004728B8">
              <w:rPr>
                <w:rFonts w:ascii="Times New Roman" w:eastAsia="Times New Roman" w:hAnsi="Times New Roman" w:cs="Times New Roman"/>
                <w:kern w:val="0"/>
                <w:lang w:eastAsia="ro-MD"/>
                <w14:ligatures w14:val="none"/>
              </w:rPr>
              <w:t xml:space="preserve"> = C*(1-Hc-Hfx)*(t-t*)/(T</w:t>
            </w:r>
            <w:r w:rsidR="00FA2947">
              <w:rPr>
                <w:rFonts w:ascii="Times New Roman" w:eastAsia="Times New Roman" w:hAnsi="Times New Roman" w:cs="Times New Roman"/>
                <w:kern w:val="0"/>
                <w:lang w:eastAsia="ro-MD"/>
                <w14:ligatures w14:val="none"/>
              </w:rPr>
              <w:t>-</w:t>
            </w:r>
            <w:r w:rsidRPr="004728B8">
              <w:rPr>
                <w:rFonts w:ascii="Times New Roman" w:eastAsia="Times New Roman" w:hAnsi="Times New Roman" w:cs="Times New Roman"/>
                <w:kern w:val="0"/>
                <w:lang w:eastAsia="ro-MD"/>
                <w14:ligatures w14:val="none"/>
              </w:rPr>
              <w:t>t*).</w:t>
            </w:r>
          </w:p>
          <w:p w14:paraId="13F3EEFF" w14:textId="690065CB"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Pentru </w:t>
            </w:r>
            <w:proofErr w:type="spellStart"/>
            <w:r w:rsidRPr="004728B8">
              <w:rPr>
                <w:rFonts w:ascii="Times New Roman" w:eastAsia="Times New Roman" w:hAnsi="Times New Roman" w:cs="Times New Roman"/>
                <w:kern w:val="0"/>
                <w:lang w:eastAsia="ro-MD"/>
                <w14:ligatures w14:val="none"/>
              </w:rPr>
              <w:t>definiţia</w:t>
            </w:r>
            <w:proofErr w:type="spellEnd"/>
            <w:r w:rsidRPr="004728B8">
              <w:rPr>
                <w:rFonts w:ascii="Times New Roman" w:eastAsia="Times New Roman" w:hAnsi="Times New Roman" w:cs="Times New Roman"/>
                <w:kern w:val="0"/>
                <w:lang w:eastAsia="ro-MD"/>
                <w14:ligatures w14:val="none"/>
              </w:rPr>
              <w:t xml:space="preserve"> C, Hc, </w:t>
            </w:r>
            <w:proofErr w:type="spellStart"/>
            <w:r w:rsidRPr="004728B8">
              <w:rPr>
                <w:rFonts w:ascii="Times New Roman" w:eastAsia="Times New Roman" w:hAnsi="Times New Roman" w:cs="Times New Roman"/>
                <w:kern w:val="0"/>
                <w:lang w:eastAsia="ro-MD"/>
                <w14:ligatures w14:val="none"/>
              </w:rPr>
              <w:t>Hfx</w:t>
            </w:r>
            <w:proofErr w:type="spellEnd"/>
            <w:r w:rsidRPr="004728B8">
              <w:rPr>
                <w:rFonts w:ascii="Times New Roman" w:eastAsia="Times New Roman" w:hAnsi="Times New Roman" w:cs="Times New Roman"/>
                <w:kern w:val="0"/>
                <w:lang w:eastAsia="ro-MD"/>
                <w14:ligatures w14:val="none"/>
              </w:rPr>
              <w:t xml:space="preserve">, t, T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t*, a se vedea Titlurile IV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V din Regulamentul </w:t>
            </w:r>
            <w:r w:rsidR="004F0A7B">
              <w:rPr>
                <w:rFonts w:ascii="Times New Roman" w:eastAsia="Times New Roman" w:hAnsi="Times New Roman" w:cs="Times New Roman"/>
                <w:kern w:val="0"/>
                <w:lang w:eastAsia="ro-MD"/>
                <w14:ligatures w14:val="none"/>
              </w:rPr>
              <w:t>nr. 112/2018</w:t>
            </w:r>
            <w:r w:rsidRPr="004728B8">
              <w:rPr>
                <w:rFonts w:ascii="Times New Roman" w:eastAsia="Times New Roman" w:hAnsi="Times New Roman" w:cs="Times New Roman"/>
                <w:kern w:val="0"/>
                <w:lang w:eastAsia="ro-MD"/>
                <w14:ligatures w14:val="none"/>
              </w:rPr>
              <w:t>.</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46789"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6AC5AE45"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09BF8" w14:textId="7F4E488C" w:rsidR="008844AC" w:rsidRPr="004728B8"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4728B8">
              <w:rPr>
                <w:rFonts w:ascii="Times New Roman" w:eastAsia="Times New Roman" w:hAnsi="Times New Roman" w:cs="Times New Roman"/>
                <w:kern w:val="0"/>
                <w:lang w:eastAsia="ro-MD"/>
                <w14:ligatures w14:val="none"/>
              </w:rPr>
              <w:t>140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C466C" w14:textId="60012A2D"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 xml:space="preserve">(-) </w:t>
            </w:r>
            <w:r w:rsidR="00C058A3">
              <w:rPr>
                <w:rFonts w:ascii="Times New Roman" w:eastAsia="Times New Roman" w:hAnsi="Times New Roman" w:cs="Times New Roman"/>
                <w:b/>
                <w:bCs/>
                <w:kern w:val="0"/>
                <w:lang w:eastAsia="ro-MD"/>
                <w14:ligatures w14:val="none"/>
              </w:rPr>
              <w:t>d</w:t>
            </w:r>
            <w:r w:rsidRPr="004728B8">
              <w:rPr>
                <w:rFonts w:ascii="Times New Roman" w:eastAsia="Times New Roman" w:hAnsi="Times New Roman" w:cs="Times New Roman"/>
                <w:b/>
                <w:bCs/>
                <w:kern w:val="0"/>
                <w:lang w:eastAsia="ro-MD"/>
                <w14:ligatures w14:val="none"/>
              </w:rPr>
              <w:t xml:space="preserve">in care: ajustările de volatilitate </w:t>
            </w:r>
            <w:proofErr w:type="spellStart"/>
            <w:r w:rsidRPr="004728B8">
              <w:rPr>
                <w:rFonts w:ascii="Times New Roman" w:eastAsia="Times New Roman" w:hAnsi="Times New Roman" w:cs="Times New Roman"/>
                <w:b/>
                <w:bCs/>
                <w:kern w:val="0"/>
                <w:lang w:eastAsia="ro-MD"/>
                <w14:ligatures w14:val="none"/>
              </w:rPr>
              <w:t>şi</w:t>
            </w:r>
            <w:proofErr w:type="spellEnd"/>
            <w:r w:rsidRPr="004728B8">
              <w:rPr>
                <w:rFonts w:ascii="Times New Roman" w:eastAsia="Times New Roman" w:hAnsi="Times New Roman" w:cs="Times New Roman"/>
                <w:b/>
                <w:bCs/>
                <w:kern w:val="0"/>
                <w:lang w:eastAsia="ro-MD"/>
                <w14:ligatures w14:val="none"/>
              </w:rPr>
              <w:t xml:space="preserve"> de </w:t>
            </w:r>
            <w:proofErr w:type="spellStart"/>
            <w:r w:rsidRPr="004728B8">
              <w:rPr>
                <w:rFonts w:ascii="Times New Roman" w:eastAsia="Times New Roman" w:hAnsi="Times New Roman" w:cs="Times New Roman"/>
                <w:b/>
                <w:bCs/>
                <w:kern w:val="0"/>
                <w:lang w:eastAsia="ro-MD"/>
                <w14:ligatures w14:val="none"/>
              </w:rPr>
              <w:t>scadenţă</w:t>
            </w:r>
            <w:proofErr w:type="spellEnd"/>
            <w:r w:rsidRPr="004728B8">
              <w:rPr>
                <w:rFonts w:ascii="Times New Roman" w:eastAsia="Times New Roman" w:hAnsi="Times New Roman" w:cs="Times New Roman"/>
                <w:kern w:val="0"/>
                <w:lang w:eastAsia="ro-MD"/>
                <w14:ligatures w14:val="none"/>
              </w:rPr>
              <w:t xml:space="preserve"> </w:t>
            </w:r>
          </w:p>
          <w:p w14:paraId="05466219" w14:textId="4F4E1A40"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Punctele 84-86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126 din Regulamentul </w:t>
            </w:r>
            <w:r w:rsidR="004F0A7B">
              <w:rPr>
                <w:rFonts w:ascii="Times New Roman" w:eastAsia="Times New Roman" w:hAnsi="Times New Roman" w:cs="Times New Roman"/>
                <w:kern w:val="0"/>
                <w:lang w:eastAsia="ro-MD"/>
                <w14:ligatures w14:val="none"/>
              </w:rPr>
              <w:t>nr. 112/2018</w:t>
            </w:r>
          </w:p>
          <w:p w14:paraId="782E09C8" w14:textId="41DF1B40"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Cuantumul care trebuie raportat corespunde impactului comun al ajustărilor de volatilitate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de </w:t>
            </w:r>
            <w:proofErr w:type="spellStart"/>
            <w:r w:rsidRPr="004728B8">
              <w:rPr>
                <w:rFonts w:ascii="Times New Roman" w:eastAsia="Times New Roman" w:hAnsi="Times New Roman" w:cs="Times New Roman"/>
                <w:kern w:val="0"/>
                <w:lang w:eastAsia="ro-MD"/>
                <w14:ligatures w14:val="none"/>
              </w:rPr>
              <w:t>scadenţă</w:t>
            </w:r>
            <w:proofErr w:type="spellEnd"/>
            <w:r w:rsidRPr="004728B8">
              <w:rPr>
                <w:rFonts w:ascii="Times New Roman" w:eastAsia="Times New Roman" w:hAnsi="Times New Roman" w:cs="Times New Roman"/>
                <w:kern w:val="0"/>
                <w:lang w:eastAsia="ro-MD"/>
                <w14:ligatures w14:val="none"/>
              </w:rPr>
              <w:t xml:space="preserve"> (</w:t>
            </w:r>
            <w:proofErr w:type="spellStart"/>
            <w:r w:rsidRPr="004728B8">
              <w:rPr>
                <w:rFonts w:ascii="Times New Roman" w:eastAsia="Times New Roman" w:hAnsi="Times New Roman" w:cs="Times New Roman"/>
                <w:kern w:val="0"/>
                <w:lang w:eastAsia="ro-MD"/>
                <w14:ligatures w14:val="none"/>
              </w:rPr>
              <w:t>Cvam</w:t>
            </w:r>
            <w:proofErr w:type="spellEnd"/>
            <w:r w:rsidRPr="004728B8">
              <w:rPr>
                <w:rFonts w:ascii="Times New Roman" w:eastAsia="Times New Roman" w:hAnsi="Times New Roman" w:cs="Times New Roman"/>
                <w:kern w:val="0"/>
                <w:lang w:eastAsia="ro-MD"/>
                <w14:ligatures w14:val="none"/>
              </w:rPr>
              <w:t>-C) = C*[(1-Hc-Hfx)*(t-t*)/(T</w:t>
            </w:r>
            <w:r w:rsidR="004F0A7B">
              <w:rPr>
                <w:rFonts w:ascii="Times New Roman" w:eastAsia="Times New Roman" w:hAnsi="Times New Roman" w:cs="Times New Roman"/>
                <w:kern w:val="0"/>
                <w:lang w:eastAsia="ro-MD"/>
                <w14:ligatures w14:val="none"/>
              </w:rPr>
              <w:t>-</w:t>
            </w:r>
            <w:r w:rsidRPr="004728B8">
              <w:rPr>
                <w:rFonts w:ascii="Times New Roman" w:eastAsia="Times New Roman" w:hAnsi="Times New Roman" w:cs="Times New Roman"/>
                <w:kern w:val="0"/>
                <w:lang w:eastAsia="ro-MD"/>
                <w14:ligatures w14:val="none"/>
              </w:rPr>
              <w:t>t*)-1], unde impactul ajustării de volatilitate este (</w:t>
            </w:r>
            <w:proofErr w:type="spellStart"/>
            <w:r w:rsidRPr="004728B8">
              <w:rPr>
                <w:rFonts w:ascii="Times New Roman" w:eastAsia="Times New Roman" w:hAnsi="Times New Roman" w:cs="Times New Roman"/>
                <w:kern w:val="0"/>
                <w:lang w:eastAsia="ro-MD"/>
                <w14:ligatures w14:val="none"/>
              </w:rPr>
              <w:t>Cva</w:t>
            </w:r>
            <w:proofErr w:type="spellEnd"/>
            <w:r w:rsidRPr="004728B8">
              <w:rPr>
                <w:rFonts w:ascii="Times New Roman" w:eastAsia="Times New Roman" w:hAnsi="Times New Roman" w:cs="Times New Roman"/>
                <w:kern w:val="0"/>
                <w:lang w:eastAsia="ro-MD"/>
                <w14:ligatures w14:val="none"/>
              </w:rPr>
              <w:t>-C) = C*[(1-Hc</w:t>
            </w:r>
            <w:r w:rsidR="004F0A7B">
              <w:rPr>
                <w:rFonts w:ascii="Times New Roman" w:eastAsia="Times New Roman" w:hAnsi="Times New Roman" w:cs="Times New Roman"/>
                <w:kern w:val="0"/>
                <w:lang w:eastAsia="ro-MD"/>
                <w14:ligatures w14:val="none"/>
              </w:rPr>
              <w:t>-</w:t>
            </w:r>
            <w:r w:rsidRPr="004728B8">
              <w:rPr>
                <w:rFonts w:ascii="Times New Roman" w:eastAsia="Times New Roman" w:hAnsi="Times New Roman" w:cs="Times New Roman"/>
                <w:kern w:val="0"/>
                <w:lang w:eastAsia="ro-MD"/>
                <w14:ligatures w14:val="none"/>
              </w:rPr>
              <w:t xml:space="preserve">Hfx)-1], iar impactul ajustărilor de </w:t>
            </w:r>
            <w:proofErr w:type="spellStart"/>
            <w:r w:rsidRPr="004728B8">
              <w:rPr>
                <w:rFonts w:ascii="Times New Roman" w:eastAsia="Times New Roman" w:hAnsi="Times New Roman" w:cs="Times New Roman"/>
                <w:kern w:val="0"/>
                <w:lang w:eastAsia="ro-MD"/>
                <w14:ligatures w14:val="none"/>
              </w:rPr>
              <w:t>scadenţă</w:t>
            </w:r>
            <w:proofErr w:type="spellEnd"/>
            <w:r w:rsidRPr="004728B8">
              <w:rPr>
                <w:rFonts w:ascii="Times New Roman" w:eastAsia="Times New Roman" w:hAnsi="Times New Roman" w:cs="Times New Roman"/>
                <w:kern w:val="0"/>
                <w:lang w:eastAsia="ro-MD"/>
                <w14:ligatures w14:val="none"/>
              </w:rPr>
              <w:t xml:space="preserve"> este (</w:t>
            </w:r>
            <w:proofErr w:type="spellStart"/>
            <w:r w:rsidRPr="004728B8">
              <w:rPr>
                <w:rFonts w:ascii="Times New Roman" w:eastAsia="Times New Roman" w:hAnsi="Times New Roman" w:cs="Times New Roman"/>
                <w:kern w:val="0"/>
                <w:lang w:eastAsia="ro-MD"/>
                <w14:ligatures w14:val="none"/>
              </w:rPr>
              <w:t>Cvam-Cva</w:t>
            </w:r>
            <w:proofErr w:type="spellEnd"/>
            <w:r w:rsidRPr="004728B8">
              <w:rPr>
                <w:rFonts w:ascii="Times New Roman" w:eastAsia="Times New Roman" w:hAnsi="Times New Roman" w:cs="Times New Roman"/>
                <w:kern w:val="0"/>
                <w:lang w:eastAsia="ro-MD"/>
                <w14:ligatures w14:val="none"/>
              </w:rPr>
              <w:t>) = C*(1-Hc</w:t>
            </w:r>
            <w:r w:rsidR="004F0A7B">
              <w:rPr>
                <w:rFonts w:ascii="Times New Roman" w:eastAsia="Times New Roman" w:hAnsi="Times New Roman" w:cs="Times New Roman"/>
                <w:kern w:val="0"/>
                <w:lang w:eastAsia="ro-MD"/>
                <w14:ligatures w14:val="none"/>
              </w:rPr>
              <w:t>-</w:t>
            </w:r>
            <w:r w:rsidRPr="004728B8">
              <w:rPr>
                <w:rFonts w:ascii="Times New Roman" w:eastAsia="Times New Roman" w:hAnsi="Times New Roman" w:cs="Times New Roman"/>
                <w:kern w:val="0"/>
                <w:lang w:eastAsia="ro-MD"/>
                <w14:ligatures w14:val="none"/>
              </w:rPr>
              <w:t>Hfx)*[(t-t*)/(T-t*)-1].</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A4069"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093F5AA2"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B7AC3" w14:textId="49C55B7C" w:rsidR="008844AC" w:rsidRPr="004728B8"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4728B8">
              <w:rPr>
                <w:rFonts w:ascii="Times New Roman" w:eastAsia="Times New Roman" w:hAnsi="Times New Roman" w:cs="Times New Roman"/>
                <w:kern w:val="0"/>
                <w:lang w:eastAsia="ro-MD"/>
                <w14:ligatures w14:val="none"/>
              </w:rPr>
              <w:t>150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161AE"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Valoarea ajustată integral a expunerii (E*)</w:t>
            </w:r>
            <w:r w:rsidRPr="004728B8">
              <w:rPr>
                <w:rFonts w:ascii="Times New Roman" w:eastAsia="Times New Roman" w:hAnsi="Times New Roman" w:cs="Times New Roman"/>
                <w:kern w:val="0"/>
                <w:lang w:eastAsia="ro-MD"/>
                <w14:ligatures w14:val="none"/>
              </w:rPr>
              <w:t xml:space="preserve"> </w:t>
            </w:r>
          </w:p>
          <w:p w14:paraId="55ED3E0E" w14:textId="0251EC9C"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Punctul 71, punctele 87-92</w:t>
            </w:r>
            <w:r w:rsidR="00D86923" w:rsidRPr="00B973D9">
              <w:rPr>
                <w:rFonts w:ascii="Times New Roman" w:eastAsia="Times New Roman" w:hAnsi="Times New Roman" w:cs="Times New Roman"/>
                <w:kern w:val="0"/>
                <w:vertAlign w:val="superscript"/>
                <w:lang w:eastAsia="ro-MD"/>
                <w14:ligatures w14:val="none"/>
              </w:rPr>
              <w:t>1</w:t>
            </w:r>
            <w:r w:rsidRPr="004728B8">
              <w:rPr>
                <w:rFonts w:ascii="Times New Roman" w:eastAsia="Times New Roman" w:hAnsi="Times New Roman" w:cs="Times New Roman"/>
                <w:kern w:val="0"/>
                <w:lang w:eastAsia="ro-MD"/>
                <w14:ligatures w14:val="none"/>
              </w:rPr>
              <w:t xml:space="preserve">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punctele 106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107 din Regulamentul </w:t>
            </w:r>
            <w:r w:rsidR="00D86923">
              <w:rPr>
                <w:rFonts w:ascii="Times New Roman" w:eastAsia="Times New Roman" w:hAnsi="Times New Roman" w:cs="Times New Roman"/>
                <w:kern w:val="0"/>
                <w:lang w:eastAsia="ro-MD"/>
                <w14:ligatures w14:val="none"/>
              </w:rPr>
              <w:t>nr. 112/2018</w:t>
            </w:r>
            <w:r w:rsidRPr="004728B8">
              <w:rPr>
                <w:rFonts w:ascii="Times New Roman" w:eastAsia="Times New Roman" w:hAnsi="Times New Roman" w:cs="Times New Roman"/>
                <w:kern w:val="0"/>
                <w:lang w:eastAsia="ro-MD"/>
                <w14:ligatures w14:val="none"/>
              </w:rPr>
              <w:t>.</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28405"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26D14EC3"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4AFC6" w14:textId="1BEECA9B" w:rsidR="008844AC" w:rsidRPr="004728B8"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4728B8">
              <w:rPr>
                <w:rFonts w:ascii="Times New Roman" w:eastAsia="Times New Roman" w:hAnsi="Times New Roman" w:cs="Times New Roman"/>
                <w:kern w:val="0"/>
                <w:lang w:eastAsia="ro-MD"/>
                <w14:ligatures w14:val="none"/>
              </w:rPr>
              <w:t>160-</w:t>
            </w:r>
            <w:r>
              <w:rPr>
                <w:rFonts w:ascii="Times New Roman" w:eastAsia="Times New Roman" w:hAnsi="Times New Roman" w:cs="Times New Roman"/>
                <w:kern w:val="0"/>
                <w:lang w:eastAsia="ro-MD"/>
                <w14:ligatures w14:val="none"/>
              </w:rPr>
              <w:t>0</w:t>
            </w:r>
            <w:r w:rsidR="008844AC" w:rsidRPr="004728B8">
              <w:rPr>
                <w:rFonts w:ascii="Times New Roman" w:eastAsia="Times New Roman" w:hAnsi="Times New Roman" w:cs="Times New Roman"/>
                <w:kern w:val="0"/>
                <w:lang w:eastAsia="ro-MD"/>
                <w14:ligatures w14:val="none"/>
              </w:rPr>
              <w:t>19</w:t>
            </w:r>
            <w:r w:rsidR="006400F6" w:rsidRPr="004728B8">
              <w:rPr>
                <w:rFonts w:ascii="Times New Roman" w:eastAsia="Times New Roman" w:hAnsi="Times New Roman" w:cs="Times New Roman"/>
                <w:kern w:val="0"/>
                <w:lang w:eastAsia="ro-MD"/>
                <w14:ligatures w14:val="none"/>
              </w:rPr>
              <w:t>5</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81E3E"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 xml:space="preserve">Defalcarea, pe factori de conversie, a valorii ajustate integral a expunerii aferente elementelor </w:t>
            </w:r>
            <w:proofErr w:type="spellStart"/>
            <w:r w:rsidRPr="004728B8">
              <w:rPr>
                <w:rFonts w:ascii="Times New Roman" w:eastAsia="Times New Roman" w:hAnsi="Times New Roman" w:cs="Times New Roman"/>
                <w:b/>
                <w:bCs/>
                <w:kern w:val="0"/>
                <w:lang w:eastAsia="ro-MD"/>
                <w14:ligatures w14:val="none"/>
              </w:rPr>
              <w:t>extrabilanţiere</w:t>
            </w:r>
            <w:proofErr w:type="spellEnd"/>
            <w:r w:rsidRPr="004728B8">
              <w:rPr>
                <w:rFonts w:ascii="Times New Roman" w:eastAsia="Times New Roman" w:hAnsi="Times New Roman" w:cs="Times New Roman"/>
                <w:kern w:val="0"/>
                <w:lang w:eastAsia="ro-MD"/>
                <w14:ligatures w14:val="none"/>
              </w:rPr>
              <w:t xml:space="preserve"> </w:t>
            </w:r>
          </w:p>
          <w:p w14:paraId="068CE5CD" w14:textId="3B6D0EE6"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Punctele </w:t>
            </w:r>
            <w:r w:rsidR="00643C70">
              <w:rPr>
                <w:rFonts w:ascii="Times New Roman" w:eastAsia="Times New Roman" w:hAnsi="Times New Roman" w:cs="Times New Roman"/>
                <w:kern w:val="0"/>
                <w:lang w:eastAsia="ro-MD"/>
                <w14:ligatures w14:val="none"/>
              </w:rPr>
              <w:t>5 -</w:t>
            </w:r>
            <w:r w:rsidR="00052914">
              <w:rPr>
                <w:rFonts w:ascii="Times New Roman" w:eastAsia="Times New Roman" w:hAnsi="Times New Roman" w:cs="Times New Roman"/>
                <w:kern w:val="0"/>
                <w:lang w:eastAsia="ro-MD"/>
                <w14:ligatures w14:val="none"/>
              </w:rPr>
              <w:t xml:space="preserve"> </w:t>
            </w:r>
            <w:r w:rsidR="00B11C0A">
              <w:rPr>
                <w:rFonts w:ascii="Times New Roman" w:eastAsia="Times New Roman" w:hAnsi="Times New Roman" w:cs="Times New Roman"/>
                <w:kern w:val="0"/>
                <w:lang w:eastAsia="ro-MD"/>
                <w14:ligatures w14:val="none"/>
              </w:rPr>
              <w:t>10</w:t>
            </w:r>
            <w:r w:rsidRPr="004728B8">
              <w:rPr>
                <w:rFonts w:ascii="Times New Roman" w:eastAsia="Times New Roman" w:hAnsi="Times New Roman" w:cs="Times New Roman"/>
                <w:kern w:val="0"/>
                <w:lang w:eastAsia="ro-MD"/>
                <w14:ligatures w14:val="none"/>
              </w:rPr>
              <w:t xml:space="preserve"> din Regulamentul </w:t>
            </w:r>
            <w:r w:rsidR="00B11C0A">
              <w:rPr>
                <w:rFonts w:ascii="Times New Roman" w:eastAsia="Times New Roman" w:hAnsi="Times New Roman" w:cs="Times New Roman"/>
                <w:kern w:val="0"/>
                <w:lang w:eastAsia="ro-MD"/>
                <w14:ligatures w14:val="none"/>
              </w:rPr>
              <w:t>nr. 111/2018</w:t>
            </w:r>
          </w:p>
          <w:p w14:paraId="6658A291" w14:textId="65C5ED51"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A se vedea, de asemenea, punctele 76-78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punctele 106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107 din Regulamentul </w:t>
            </w:r>
            <w:r w:rsidR="00B11C0A">
              <w:rPr>
                <w:rFonts w:ascii="Times New Roman" w:eastAsia="Times New Roman" w:hAnsi="Times New Roman" w:cs="Times New Roman"/>
                <w:kern w:val="0"/>
                <w:lang w:eastAsia="ro-MD"/>
                <w14:ligatures w14:val="none"/>
              </w:rPr>
              <w:t>nr. 112/2018</w:t>
            </w:r>
            <w:r w:rsidRPr="004728B8">
              <w:rPr>
                <w:rFonts w:ascii="Times New Roman" w:eastAsia="Times New Roman" w:hAnsi="Times New Roman" w:cs="Times New Roman"/>
                <w:kern w:val="0"/>
                <w:lang w:eastAsia="ro-MD"/>
                <w14:ligatures w14:val="none"/>
              </w:rPr>
              <w:t>.</w:t>
            </w:r>
          </w:p>
          <w:p w14:paraId="71617E3F"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Cifrele raportate sunt valorile ajustate integral ale expunerii înainte de aplicarea factorului de conversie.</w:t>
            </w:r>
          </w:p>
          <w:p w14:paraId="44353477"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b/>
                <w:bCs/>
                <w:kern w:val="0"/>
                <w:lang w:eastAsia="ro-MD"/>
                <w14:ligatures w14:val="none"/>
              </w:rPr>
              <w:t>Factor de conversie</w:t>
            </w:r>
            <w:r w:rsidRPr="004728B8">
              <w:rPr>
                <w:rFonts w:ascii="Times New Roman" w:eastAsia="Times New Roman" w:hAnsi="Times New Roman" w:cs="Times New Roman"/>
                <w:kern w:val="0"/>
                <w:lang w:eastAsia="ro-MD"/>
                <w14:ligatures w14:val="none"/>
              </w:rPr>
              <w:t xml:space="preserve"> - raportul dintre cuantumul încă netras dintr-un angajament de </w:t>
            </w:r>
            <w:proofErr w:type="spellStart"/>
            <w:r w:rsidRPr="004728B8">
              <w:rPr>
                <w:rFonts w:ascii="Times New Roman" w:eastAsia="Times New Roman" w:hAnsi="Times New Roman" w:cs="Times New Roman"/>
                <w:kern w:val="0"/>
                <w:lang w:eastAsia="ro-MD"/>
                <w14:ligatures w14:val="none"/>
              </w:rPr>
              <w:t>finanţare</w:t>
            </w:r>
            <w:proofErr w:type="spellEnd"/>
            <w:r w:rsidRPr="004728B8">
              <w:rPr>
                <w:rFonts w:ascii="Times New Roman" w:eastAsia="Times New Roman" w:hAnsi="Times New Roman" w:cs="Times New Roman"/>
                <w:kern w:val="0"/>
                <w:lang w:eastAsia="ro-MD"/>
                <w14:ligatures w14:val="none"/>
              </w:rPr>
              <w:t xml:space="preserve"> care ar putea fi tras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prin urmare, ar deveni expus la risc în caz de nerambursare </w:t>
            </w:r>
            <w:proofErr w:type="spellStart"/>
            <w:r w:rsidRPr="004728B8">
              <w:rPr>
                <w:rFonts w:ascii="Times New Roman" w:eastAsia="Times New Roman" w:hAnsi="Times New Roman" w:cs="Times New Roman"/>
                <w:kern w:val="0"/>
                <w:lang w:eastAsia="ro-MD"/>
                <w14:ligatures w14:val="none"/>
              </w:rPr>
              <w:t>faţă</w:t>
            </w:r>
            <w:proofErr w:type="spellEnd"/>
            <w:r w:rsidRPr="004728B8">
              <w:rPr>
                <w:rFonts w:ascii="Times New Roman" w:eastAsia="Times New Roman" w:hAnsi="Times New Roman" w:cs="Times New Roman"/>
                <w:kern w:val="0"/>
                <w:lang w:eastAsia="ro-MD"/>
                <w14:ligatures w14:val="none"/>
              </w:rPr>
              <w:t xml:space="preserve"> de cuantumul încă netras din angajamentul de </w:t>
            </w:r>
            <w:proofErr w:type="spellStart"/>
            <w:r w:rsidRPr="004728B8">
              <w:rPr>
                <w:rFonts w:ascii="Times New Roman" w:eastAsia="Times New Roman" w:hAnsi="Times New Roman" w:cs="Times New Roman"/>
                <w:kern w:val="0"/>
                <w:lang w:eastAsia="ro-MD"/>
                <w14:ligatures w14:val="none"/>
              </w:rPr>
              <w:t>finanţare</w:t>
            </w:r>
            <w:proofErr w:type="spellEnd"/>
            <w:r w:rsidRPr="004728B8">
              <w:rPr>
                <w:rFonts w:ascii="Times New Roman" w:eastAsia="Times New Roman" w:hAnsi="Times New Roman" w:cs="Times New Roman"/>
                <w:kern w:val="0"/>
                <w:lang w:eastAsia="ro-MD"/>
                <w14:ligatures w14:val="none"/>
              </w:rPr>
              <w:t xml:space="preserve">, valoarea angajamentului de </w:t>
            </w:r>
            <w:proofErr w:type="spellStart"/>
            <w:r w:rsidRPr="004728B8">
              <w:rPr>
                <w:rFonts w:ascii="Times New Roman" w:eastAsia="Times New Roman" w:hAnsi="Times New Roman" w:cs="Times New Roman"/>
                <w:kern w:val="0"/>
                <w:lang w:eastAsia="ro-MD"/>
                <w14:ligatures w14:val="none"/>
              </w:rPr>
              <w:t>finanţare</w:t>
            </w:r>
            <w:proofErr w:type="spellEnd"/>
            <w:r w:rsidRPr="004728B8">
              <w:rPr>
                <w:rFonts w:ascii="Times New Roman" w:eastAsia="Times New Roman" w:hAnsi="Times New Roman" w:cs="Times New Roman"/>
                <w:kern w:val="0"/>
                <w:lang w:eastAsia="ro-MD"/>
                <w14:ligatures w14:val="none"/>
              </w:rPr>
              <w:t xml:space="preserve"> fiind determinată de limita autorizată, cu </w:t>
            </w:r>
            <w:proofErr w:type="spellStart"/>
            <w:r w:rsidRPr="004728B8">
              <w:rPr>
                <w:rFonts w:ascii="Times New Roman" w:eastAsia="Times New Roman" w:hAnsi="Times New Roman" w:cs="Times New Roman"/>
                <w:kern w:val="0"/>
                <w:lang w:eastAsia="ro-MD"/>
                <w14:ligatures w14:val="none"/>
              </w:rPr>
              <w:t>excepţia</w:t>
            </w:r>
            <w:proofErr w:type="spellEnd"/>
            <w:r w:rsidRPr="004728B8">
              <w:rPr>
                <w:rFonts w:ascii="Times New Roman" w:eastAsia="Times New Roman" w:hAnsi="Times New Roman" w:cs="Times New Roman"/>
                <w:kern w:val="0"/>
                <w:lang w:eastAsia="ro-MD"/>
                <w14:ligatures w14:val="none"/>
              </w:rPr>
              <w:t xml:space="preserve"> cazului în care limita neautorizată este mai mare.</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AA38E"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554F26B5"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74FF4" w14:textId="44E14031" w:rsidR="008844AC" w:rsidRPr="004728B8"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4728B8">
              <w:rPr>
                <w:rFonts w:ascii="Times New Roman" w:eastAsia="Times New Roman" w:hAnsi="Times New Roman" w:cs="Times New Roman"/>
                <w:kern w:val="0"/>
                <w:lang w:eastAsia="ro-MD"/>
                <w14:ligatures w14:val="none"/>
              </w:rPr>
              <w:t>200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3178F"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Valoarea expunerii</w:t>
            </w:r>
            <w:r w:rsidRPr="004728B8">
              <w:rPr>
                <w:rFonts w:ascii="Times New Roman" w:eastAsia="Times New Roman" w:hAnsi="Times New Roman" w:cs="Times New Roman"/>
                <w:kern w:val="0"/>
                <w:lang w:eastAsia="ro-MD"/>
                <w14:ligatures w14:val="none"/>
              </w:rPr>
              <w:t xml:space="preserve"> </w:t>
            </w:r>
          </w:p>
          <w:p w14:paraId="79BBB392" w14:textId="0AE81986"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Punctele 5 </w:t>
            </w:r>
            <w:r w:rsidR="00E839CE">
              <w:rPr>
                <w:rFonts w:ascii="Times New Roman" w:eastAsia="Times New Roman" w:hAnsi="Times New Roman" w:cs="Times New Roman"/>
                <w:kern w:val="0"/>
                <w:lang w:eastAsia="ro-MD"/>
                <w14:ligatures w14:val="none"/>
              </w:rPr>
              <w:t>-10</w:t>
            </w:r>
            <w:r w:rsidRPr="004728B8">
              <w:rPr>
                <w:rFonts w:ascii="Times New Roman" w:eastAsia="Times New Roman" w:hAnsi="Times New Roman" w:cs="Times New Roman"/>
                <w:kern w:val="0"/>
                <w:lang w:eastAsia="ro-MD"/>
                <w14:ligatures w14:val="none"/>
              </w:rPr>
              <w:t xml:space="preserve"> din Regulamentul </w:t>
            </w:r>
            <w:r w:rsidR="00E839CE">
              <w:rPr>
                <w:rFonts w:ascii="Times New Roman" w:eastAsia="Times New Roman" w:hAnsi="Times New Roman" w:cs="Times New Roman"/>
                <w:kern w:val="0"/>
                <w:lang w:eastAsia="ro-MD"/>
                <w14:ligatures w14:val="none"/>
              </w:rPr>
              <w:t>nr. 111/2018</w:t>
            </w:r>
            <w:r w:rsidR="00052914">
              <w:rPr>
                <w:rFonts w:ascii="Times New Roman" w:eastAsia="Times New Roman" w:hAnsi="Times New Roman" w:cs="Times New Roman"/>
                <w:kern w:val="0"/>
                <w:lang w:eastAsia="ro-MD"/>
                <w14:ligatures w14:val="none"/>
              </w:rPr>
              <w:t xml:space="preserve">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w:t>
            </w:r>
            <w:r w:rsidR="003078FA">
              <w:rPr>
                <w:rFonts w:ascii="Times New Roman" w:eastAsia="Times New Roman" w:hAnsi="Times New Roman" w:cs="Times New Roman"/>
                <w:kern w:val="0"/>
                <w:lang w:eastAsia="ro-MD"/>
                <w14:ligatures w14:val="none"/>
              </w:rPr>
              <w:t>Capitolele VI și VII</w:t>
            </w:r>
            <w:r w:rsidRPr="004728B8">
              <w:rPr>
                <w:rFonts w:ascii="Times New Roman" w:eastAsia="Times New Roman" w:hAnsi="Times New Roman" w:cs="Times New Roman"/>
                <w:kern w:val="0"/>
                <w:lang w:eastAsia="ro-MD"/>
                <w14:ligatures w14:val="none"/>
              </w:rPr>
              <w:t xml:space="preserve"> din Regulamentul </w:t>
            </w:r>
            <w:r w:rsidR="003078FA">
              <w:rPr>
                <w:rFonts w:ascii="Times New Roman" w:eastAsia="Times New Roman" w:hAnsi="Times New Roman" w:cs="Times New Roman"/>
                <w:kern w:val="0"/>
                <w:lang w:eastAsia="ro-MD"/>
                <w14:ligatures w14:val="none"/>
              </w:rPr>
              <w:t>nr. 112/2018</w:t>
            </w:r>
            <w:r w:rsidRPr="004728B8">
              <w:rPr>
                <w:rFonts w:ascii="Times New Roman" w:eastAsia="Times New Roman" w:hAnsi="Times New Roman" w:cs="Times New Roman"/>
                <w:kern w:val="0"/>
                <w:lang w:eastAsia="ro-MD"/>
                <w14:ligatures w14:val="none"/>
              </w:rPr>
              <w:t>.</w:t>
            </w:r>
          </w:p>
          <w:p w14:paraId="6BF35177" w14:textId="3A8FDE84" w:rsidR="008844AC" w:rsidRDefault="008844AC" w:rsidP="00E839CE">
            <w:pPr>
              <w:tabs>
                <w:tab w:val="left" w:pos="1366"/>
              </w:tabs>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Valoarea expunerii după luarea în considerare a ajustărilor de valoare, a tuturor factorilor de diminuare a riscului de credit </w:t>
            </w:r>
            <w:proofErr w:type="spellStart"/>
            <w:r w:rsidRPr="004728B8">
              <w:rPr>
                <w:rFonts w:ascii="Times New Roman" w:eastAsia="Times New Roman" w:hAnsi="Times New Roman" w:cs="Times New Roman"/>
                <w:kern w:val="0"/>
                <w:lang w:eastAsia="ro-MD"/>
                <w14:ligatures w14:val="none"/>
              </w:rPr>
              <w:t>şi</w:t>
            </w:r>
            <w:proofErr w:type="spellEnd"/>
            <w:r w:rsidRPr="004728B8">
              <w:rPr>
                <w:rFonts w:ascii="Times New Roman" w:eastAsia="Times New Roman" w:hAnsi="Times New Roman" w:cs="Times New Roman"/>
                <w:kern w:val="0"/>
                <w:lang w:eastAsia="ro-MD"/>
                <w14:ligatures w14:val="none"/>
              </w:rPr>
              <w:t xml:space="preserve"> a factorilor de conversie a creditului care urmează să fie atribuită ponderilor de risc în conformitate cu </w:t>
            </w:r>
            <w:r w:rsidR="00F55A2C">
              <w:rPr>
                <w:rFonts w:ascii="Times New Roman" w:eastAsia="Times New Roman" w:hAnsi="Times New Roman" w:cs="Times New Roman"/>
                <w:kern w:val="0"/>
                <w:lang w:eastAsia="ro-MD"/>
                <w14:ligatures w14:val="none"/>
              </w:rPr>
              <w:t xml:space="preserve">punctele </w:t>
            </w:r>
            <w:r w:rsidR="00725389">
              <w:rPr>
                <w:rFonts w:ascii="Times New Roman" w:eastAsia="Times New Roman" w:hAnsi="Times New Roman" w:cs="Times New Roman"/>
                <w:kern w:val="0"/>
                <w:lang w:eastAsia="ro-MD"/>
                <w14:ligatures w14:val="none"/>
              </w:rPr>
              <w:t xml:space="preserve">5 </w:t>
            </w:r>
            <w:r w:rsidR="00643C70">
              <w:rPr>
                <w:rFonts w:ascii="Times New Roman" w:eastAsia="Times New Roman" w:hAnsi="Times New Roman" w:cs="Times New Roman"/>
                <w:kern w:val="0"/>
                <w:lang w:eastAsia="ro-MD"/>
                <w14:ligatures w14:val="none"/>
              </w:rPr>
              <w:t>–</w:t>
            </w:r>
            <w:r w:rsidR="00725389">
              <w:rPr>
                <w:rFonts w:ascii="Times New Roman" w:eastAsia="Times New Roman" w:hAnsi="Times New Roman" w:cs="Times New Roman"/>
                <w:kern w:val="0"/>
                <w:lang w:eastAsia="ro-MD"/>
                <w14:ligatures w14:val="none"/>
              </w:rPr>
              <w:t xml:space="preserve"> </w:t>
            </w:r>
            <w:r w:rsidR="00F55A2C">
              <w:rPr>
                <w:rFonts w:ascii="Times New Roman" w:eastAsia="Times New Roman" w:hAnsi="Times New Roman" w:cs="Times New Roman"/>
                <w:kern w:val="0"/>
                <w:lang w:eastAsia="ro-MD"/>
                <w14:ligatures w14:val="none"/>
              </w:rPr>
              <w:t>21</w:t>
            </w:r>
            <w:r w:rsidR="00643C70">
              <w:rPr>
                <w:rFonts w:ascii="Times New Roman" w:eastAsia="Times New Roman" w:hAnsi="Times New Roman" w:cs="Times New Roman"/>
                <w:kern w:val="0"/>
                <w:lang w:eastAsia="ro-MD"/>
                <w14:ligatures w14:val="none"/>
              </w:rPr>
              <w:t>, Capitol</w:t>
            </w:r>
            <w:r w:rsidR="008E48B3">
              <w:rPr>
                <w:rFonts w:ascii="Times New Roman" w:eastAsia="Times New Roman" w:hAnsi="Times New Roman" w:cs="Times New Roman"/>
                <w:kern w:val="0"/>
                <w:lang w:eastAsia="ro-MD"/>
                <w14:ligatures w14:val="none"/>
              </w:rPr>
              <w:t>ul</w:t>
            </w:r>
            <w:r w:rsidR="00643C70">
              <w:rPr>
                <w:rFonts w:ascii="Times New Roman" w:eastAsia="Times New Roman" w:hAnsi="Times New Roman" w:cs="Times New Roman"/>
                <w:kern w:val="0"/>
                <w:lang w:eastAsia="ro-MD"/>
                <w14:ligatures w14:val="none"/>
              </w:rPr>
              <w:t xml:space="preserve"> IV</w:t>
            </w:r>
            <w:r w:rsidR="00F55A2C">
              <w:rPr>
                <w:rFonts w:ascii="Times New Roman" w:eastAsia="Times New Roman" w:hAnsi="Times New Roman" w:cs="Times New Roman"/>
                <w:kern w:val="0"/>
                <w:lang w:eastAsia="ro-MD"/>
                <w14:ligatures w14:val="none"/>
              </w:rPr>
              <w:t xml:space="preserve"> din </w:t>
            </w:r>
            <w:r w:rsidRPr="004728B8">
              <w:rPr>
                <w:rFonts w:ascii="Times New Roman" w:eastAsia="Times New Roman" w:hAnsi="Times New Roman" w:cs="Times New Roman"/>
                <w:kern w:val="0"/>
                <w:lang w:eastAsia="ro-MD"/>
                <w14:ligatures w14:val="none"/>
              </w:rPr>
              <w:t>Regulamentul</w:t>
            </w:r>
            <w:r w:rsidR="00F55A2C">
              <w:rPr>
                <w:rFonts w:ascii="Times New Roman" w:eastAsia="Times New Roman" w:hAnsi="Times New Roman" w:cs="Times New Roman"/>
                <w:kern w:val="0"/>
                <w:lang w:eastAsia="ro-MD"/>
                <w14:ligatures w14:val="none"/>
              </w:rPr>
              <w:t xml:space="preserve"> nr. 111/2018</w:t>
            </w:r>
            <w:r w:rsidRPr="004728B8">
              <w:rPr>
                <w:rFonts w:ascii="Times New Roman" w:eastAsia="Times New Roman" w:hAnsi="Times New Roman" w:cs="Times New Roman"/>
                <w:kern w:val="0"/>
                <w:lang w:eastAsia="ro-MD"/>
                <w14:ligatures w14:val="none"/>
              </w:rPr>
              <w:t>.</w:t>
            </w:r>
          </w:p>
          <w:p w14:paraId="7089322C" w14:textId="2F1FE5DC" w:rsidR="00725389" w:rsidRPr="00ED6478" w:rsidRDefault="00725389" w:rsidP="00A84D2B">
            <w:pPr>
              <w:pStyle w:val="InstructionsText"/>
            </w:pPr>
            <w:r w:rsidRPr="00ED6478">
              <w:t>Valorile expunerilor pentru contractele de leasing fac obiectul dispozițiilor punctului 9</w:t>
            </w:r>
            <w:r w:rsidR="003128FC">
              <w:t>4</w:t>
            </w:r>
            <w:r w:rsidRPr="00ED6478">
              <w:t xml:space="preserve"> din Regulamentul nr. 111/2018. În special, valoarea reziduală se include la valoarea reziduală actualizată, după luarea în considerare a ajustărilor de valoare, a tuturor factorilor de diminuare a riscului de credit și a factorilor de conversie a creditului.</w:t>
            </w:r>
          </w:p>
          <w:p w14:paraId="30E4D416" w14:textId="5A56AA35" w:rsidR="00725389" w:rsidRPr="004728B8" w:rsidRDefault="00725389" w:rsidP="00052914">
            <w:pPr>
              <w:tabs>
                <w:tab w:val="left" w:pos="1366"/>
              </w:tabs>
              <w:spacing w:after="0" w:line="240" w:lineRule="auto"/>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 xml:space="preserve">Valorile expunerilor pentru expunerile supuse riscului de credit al </w:t>
            </w:r>
            <w:proofErr w:type="spellStart"/>
            <w:r w:rsidRPr="00052914">
              <w:rPr>
                <w:rFonts w:ascii="Times New Roman" w:eastAsia="Times New Roman" w:hAnsi="Times New Roman" w:cs="Times New Roman"/>
                <w:kern w:val="0"/>
                <w:lang w:eastAsia="ro-MD"/>
                <w14:ligatures w14:val="none"/>
              </w:rPr>
              <w:t>contrapărții</w:t>
            </w:r>
            <w:proofErr w:type="spellEnd"/>
            <w:r w:rsidRPr="00052914">
              <w:rPr>
                <w:rFonts w:ascii="Times New Roman" w:eastAsia="Times New Roman" w:hAnsi="Times New Roman" w:cs="Times New Roman"/>
                <w:kern w:val="0"/>
                <w:lang w:eastAsia="ro-MD"/>
                <w14:ligatures w14:val="none"/>
              </w:rPr>
              <w:t xml:space="preserve"> sunt aceleași cu cele raportate în coloana 0210.</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92722"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3B14B291"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CC20C" w14:textId="133C41CD" w:rsidR="008844AC" w:rsidRPr="004728B8"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4728B8">
              <w:rPr>
                <w:rFonts w:ascii="Times New Roman" w:eastAsia="Times New Roman" w:hAnsi="Times New Roman" w:cs="Times New Roman"/>
                <w:kern w:val="0"/>
                <w:lang w:eastAsia="ro-MD"/>
                <w14:ligatures w14:val="none"/>
              </w:rPr>
              <w:t>210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05181" w14:textId="77777777" w:rsidR="008844AC" w:rsidRDefault="008844AC" w:rsidP="008844AC">
            <w:pPr>
              <w:spacing w:after="0" w:line="240" w:lineRule="auto"/>
              <w:rPr>
                <w:rFonts w:ascii="Times New Roman" w:eastAsia="Times New Roman" w:hAnsi="Times New Roman" w:cs="Times New Roman"/>
                <w:b/>
                <w:bCs/>
                <w:kern w:val="0"/>
                <w:lang w:eastAsia="ro-MD"/>
                <w14:ligatures w14:val="none"/>
              </w:rPr>
            </w:pPr>
            <w:r w:rsidRPr="004728B8">
              <w:rPr>
                <w:rFonts w:ascii="Times New Roman" w:eastAsia="Times New Roman" w:hAnsi="Times New Roman" w:cs="Times New Roman"/>
                <w:b/>
                <w:bCs/>
                <w:kern w:val="0"/>
                <w:lang w:eastAsia="ro-MD"/>
                <w14:ligatures w14:val="none"/>
              </w:rPr>
              <w:t xml:space="preserve">Din care: decurgând din riscul de credit al </w:t>
            </w:r>
            <w:proofErr w:type="spellStart"/>
            <w:r w:rsidRPr="004728B8">
              <w:rPr>
                <w:rFonts w:ascii="Times New Roman" w:eastAsia="Times New Roman" w:hAnsi="Times New Roman" w:cs="Times New Roman"/>
                <w:b/>
                <w:bCs/>
                <w:kern w:val="0"/>
                <w:lang w:eastAsia="ro-MD"/>
                <w14:ligatures w14:val="none"/>
              </w:rPr>
              <w:t>contrapărţii</w:t>
            </w:r>
            <w:proofErr w:type="spellEnd"/>
          </w:p>
          <w:p w14:paraId="52B26679" w14:textId="3F17E011" w:rsidR="00D25364" w:rsidRPr="00052914" w:rsidRDefault="00D25364" w:rsidP="00E91D07">
            <w:pPr>
              <w:pStyle w:val="TableMainHeading"/>
              <w:spacing w:before="0" w:after="0"/>
              <w:jc w:val="both"/>
              <w:rPr>
                <w:rFonts w:ascii="Times New Roman" w:hAnsi="Times New Roman"/>
                <w:szCs w:val="22"/>
              </w:rPr>
            </w:pPr>
            <w:r w:rsidRPr="00052914">
              <w:rPr>
                <w:rFonts w:ascii="Times New Roman" w:hAnsi="Times New Roman"/>
                <w:szCs w:val="22"/>
              </w:rPr>
              <w:lastRenderedPageBreak/>
              <w:t xml:space="preserve">Valoarea expunerii pentru expunerile supuse riscului de credit al </w:t>
            </w:r>
            <w:proofErr w:type="spellStart"/>
            <w:r w:rsidRPr="00052914">
              <w:rPr>
                <w:rFonts w:ascii="Times New Roman" w:hAnsi="Times New Roman"/>
                <w:szCs w:val="22"/>
              </w:rPr>
              <w:t>contrapărții</w:t>
            </w:r>
            <w:proofErr w:type="spellEnd"/>
            <w:r w:rsidRPr="00052914">
              <w:rPr>
                <w:rFonts w:ascii="Times New Roman" w:hAnsi="Times New Roman"/>
                <w:szCs w:val="22"/>
              </w:rPr>
              <w:t>, calculată în conformitate cu metodele prevăzute în Regulamentul nr. </w:t>
            </w:r>
            <w:r w:rsidR="00BE210B" w:rsidRPr="00052914">
              <w:rPr>
                <w:rFonts w:ascii="Times New Roman" w:hAnsi="Times New Roman"/>
                <w:szCs w:val="22"/>
              </w:rPr>
              <w:t>220</w:t>
            </w:r>
            <w:r w:rsidRPr="00052914">
              <w:rPr>
                <w:rFonts w:ascii="Times New Roman" w:hAnsi="Times New Roman"/>
                <w:szCs w:val="22"/>
              </w:rPr>
              <w:t>/20</w:t>
            </w:r>
            <w:r w:rsidR="00BE210B" w:rsidRPr="00052914">
              <w:rPr>
                <w:rFonts w:ascii="Times New Roman" w:hAnsi="Times New Roman"/>
                <w:szCs w:val="22"/>
              </w:rPr>
              <w:t>25</w:t>
            </w:r>
            <w:r w:rsidRPr="00052914">
              <w:rPr>
                <w:rFonts w:ascii="Times New Roman" w:hAnsi="Times New Roman"/>
                <w:szCs w:val="22"/>
              </w:rPr>
              <w:t xml:space="preserve">, care reprezintă cuantumul relevant pentru calcularea cuantumurilor ponderate la risc ale expunerilor, cu alte cuvinte după aplicarea tehnicilor de diminuare a riscului de credit și luând în considerare deducerea </w:t>
            </w:r>
            <w:r w:rsidRPr="00052914">
              <w:rPr>
                <w:rFonts w:ascii="Times New Roman" w:hAnsi="Times New Roman"/>
                <w:spacing w:val="-4"/>
                <w:szCs w:val="22"/>
              </w:rPr>
              <w:t xml:space="preserve">pierderii rezultate din ajustarea valorii creditului, astfel cum este menționată la </w:t>
            </w:r>
            <w:r w:rsidR="00BE210B" w:rsidRPr="00052914">
              <w:rPr>
                <w:rFonts w:ascii="Times New Roman" w:hAnsi="Times New Roman"/>
                <w:spacing w:val="-4"/>
                <w:szCs w:val="22"/>
              </w:rPr>
              <w:t>punctele 13-15</w:t>
            </w:r>
            <w:r w:rsidRPr="00052914">
              <w:rPr>
                <w:rFonts w:ascii="Times New Roman" w:hAnsi="Times New Roman"/>
                <w:szCs w:val="22"/>
              </w:rPr>
              <w:t xml:space="preserve"> din regulamentul respectiv. </w:t>
            </w:r>
          </w:p>
          <w:p w14:paraId="2112011B" w14:textId="078A28E9" w:rsidR="00D25364" w:rsidRPr="00052914" w:rsidRDefault="00D25364" w:rsidP="00E91D07">
            <w:pPr>
              <w:spacing w:after="0"/>
              <w:rPr>
                <w:rFonts w:ascii="Times New Roman" w:hAnsi="Times New Roman" w:cs="Times New Roman"/>
              </w:rPr>
            </w:pPr>
            <w:r w:rsidRPr="00052914">
              <w:rPr>
                <w:rFonts w:ascii="Times New Roman" w:hAnsi="Times New Roman" w:cs="Times New Roman"/>
              </w:rPr>
              <w:t xml:space="preserve">Valoarea expunerii pentru tranzacțiile în care a fost identificat un risc specific de corelare defavorabilă trebuie determinată în conformitate cu </w:t>
            </w:r>
            <w:r w:rsidR="005844EE" w:rsidRPr="00052914">
              <w:rPr>
                <w:rFonts w:ascii="Times New Roman" w:hAnsi="Times New Roman" w:cs="Times New Roman"/>
              </w:rPr>
              <w:t>Capitolul IX, Secțiunea a 7-a</w:t>
            </w:r>
            <w:r w:rsidRPr="00052914">
              <w:rPr>
                <w:rFonts w:ascii="Times New Roman" w:hAnsi="Times New Roman" w:cs="Times New Roman"/>
              </w:rPr>
              <w:t xml:space="preserve"> din Regulamentul nr. </w:t>
            </w:r>
            <w:r w:rsidR="005844EE" w:rsidRPr="00052914">
              <w:rPr>
                <w:rFonts w:ascii="Times New Roman" w:hAnsi="Times New Roman" w:cs="Times New Roman"/>
              </w:rPr>
              <w:t>220</w:t>
            </w:r>
            <w:r w:rsidRPr="00052914">
              <w:rPr>
                <w:rFonts w:ascii="Times New Roman" w:hAnsi="Times New Roman" w:cs="Times New Roman"/>
              </w:rPr>
              <w:t>/20</w:t>
            </w:r>
            <w:r w:rsidR="005844EE" w:rsidRPr="00052914">
              <w:rPr>
                <w:rFonts w:ascii="Times New Roman" w:hAnsi="Times New Roman" w:cs="Times New Roman"/>
              </w:rPr>
              <w:t>25</w:t>
            </w:r>
            <w:r w:rsidRPr="00052914">
              <w:rPr>
                <w:rFonts w:ascii="Times New Roman" w:hAnsi="Times New Roman" w:cs="Times New Roman"/>
              </w:rPr>
              <w:t>.</w:t>
            </w:r>
          </w:p>
          <w:p w14:paraId="2AFD2D76" w14:textId="4AC137C8" w:rsidR="00D25364" w:rsidRPr="004728B8" w:rsidRDefault="00D25364" w:rsidP="00E91D07">
            <w:pPr>
              <w:spacing w:after="0" w:line="240" w:lineRule="auto"/>
              <w:rPr>
                <w:rFonts w:ascii="Times New Roman" w:eastAsia="Times New Roman" w:hAnsi="Times New Roman" w:cs="Times New Roman"/>
                <w:kern w:val="0"/>
                <w:lang w:eastAsia="ro-MD"/>
                <w14:ligatures w14:val="none"/>
              </w:rPr>
            </w:pPr>
            <w:bookmarkStart w:id="61" w:name="_Hlk188634030"/>
            <w:r w:rsidRPr="00052914">
              <w:rPr>
                <w:rFonts w:ascii="Times New Roman" w:eastAsia="Times New Roman" w:hAnsi="Times New Roman" w:cs="Times New Roman"/>
                <w:kern w:val="0"/>
                <w:lang w:val="ro-RO"/>
                <w14:ligatures w14:val="none"/>
              </w:rPr>
              <w:t xml:space="preserve">Pentru cazurile în care se utilizează mai mult de o abordare a riscului de credit al </w:t>
            </w:r>
            <w:proofErr w:type="spellStart"/>
            <w:r w:rsidRPr="00052914">
              <w:rPr>
                <w:rFonts w:ascii="Times New Roman" w:eastAsia="Times New Roman" w:hAnsi="Times New Roman" w:cs="Times New Roman"/>
                <w:kern w:val="0"/>
                <w:lang w:val="ro-RO"/>
                <w14:ligatures w14:val="none"/>
              </w:rPr>
              <w:t>contrapărții</w:t>
            </w:r>
            <w:proofErr w:type="spellEnd"/>
            <w:r w:rsidRPr="00052914">
              <w:rPr>
                <w:rFonts w:ascii="Times New Roman" w:eastAsia="Times New Roman" w:hAnsi="Times New Roman" w:cs="Times New Roman"/>
                <w:kern w:val="0"/>
                <w:lang w:val="ro-RO"/>
                <w14:ligatures w14:val="none"/>
              </w:rPr>
              <w:t xml:space="preserve"> pentru o singură </w:t>
            </w:r>
            <w:proofErr w:type="spellStart"/>
            <w:r w:rsidRPr="00052914">
              <w:rPr>
                <w:rFonts w:ascii="Times New Roman" w:eastAsia="Times New Roman" w:hAnsi="Times New Roman" w:cs="Times New Roman"/>
                <w:kern w:val="0"/>
                <w:lang w:val="ro-RO"/>
                <w14:ligatures w14:val="none"/>
              </w:rPr>
              <w:t>contraparte</w:t>
            </w:r>
            <w:proofErr w:type="spellEnd"/>
            <w:r w:rsidRPr="00052914">
              <w:rPr>
                <w:rFonts w:ascii="Times New Roman" w:eastAsia="Times New Roman" w:hAnsi="Times New Roman" w:cs="Times New Roman"/>
                <w:kern w:val="0"/>
                <w:lang w:val="ro-RO"/>
                <w14:ligatures w14:val="none"/>
              </w:rPr>
              <w:t xml:space="preserve">, pierderea rezultată din ajustarea valorii creditului, care este dedusă la nivelul </w:t>
            </w:r>
            <w:proofErr w:type="spellStart"/>
            <w:r w:rsidRPr="00052914">
              <w:rPr>
                <w:rFonts w:ascii="Times New Roman" w:eastAsia="Times New Roman" w:hAnsi="Times New Roman" w:cs="Times New Roman"/>
                <w:kern w:val="0"/>
                <w:lang w:val="ro-RO"/>
                <w14:ligatures w14:val="none"/>
              </w:rPr>
              <w:t>contrapărții</w:t>
            </w:r>
            <w:proofErr w:type="spellEnd"/>
            <w:r w:rsidRPr="00052914">
              <w:rPr>
                <w:rFonts w:ascii="Times New Roman" w:eastAsia="Times New Roman" w:hAnsi="Times New Roman" w:cs="Times New Roman"/>
                <w:kern w:val="0"/>
                <w:lang w:val="ro-RO"/>
                <w14:ligatures w14:val="none"/>
              </w:rPr>
              <w:t xml:space="preserve">, se atribuie valorii expunerii aferente diferitelor seturi de compensare de </w:t>
            </w:r>
            <w:r w:rsidRPr="00EA59DC">
              <w:rPr>
                <w:rFonts w:ascii="Times New Roman" w:eastAsia="Times New Roman" w:hAnsi="Times New Roman" w:cs="Times New Roman"/>
                <w:kern w:val="0"/>
                <w:lang w:val="ro-RO"/>
                <w14:ligatures w14:val="none"/>
              </w:rPr>
              <w:t>pe rândurile 0090-0130,</w:t>
            </w:r>
            <w:r w:rsidRPr="00052914">
              <w:rPr>
                <w:rFonts w:ascii="Times New Roman" w:eastAsia="Times New Roman" w:hAnsi="Times New Roman" w:cs="Times New Roman"/>
                <w:kern w:val="0"/>
                <w:lang w:val="ro-RO"/>
                <w14:ligatures w14:val="none"/>
              </w:rPr>
              <w:t xml:space="preserve"> reflectând proporția valorii expunerii aferente seturilor de compensare respective după diminuarea riscului de credit în raport cu valoarea totală a expunerii </w:t>
            </w:r>
            <w:proofErr w:type="spellStart"/>
            <w:r w:rsidRPr="00052914">
              <w:rPr>
                <w:rFonts w:ascii="Times New Roman" w:eastAsia="Times New Roman" w:hAnsi="Times New Roman" w:cs="Times New Roman"/>
                <w:kern w:val="0"/>
                <w:lang w:val="ro-RO"/>
                <w14:ligatures w14:val="none"/>
              </w:rPr>
              <w:t>contrapărții</w:t>
            </w:r>
            <w:proofErr w:type="spellEnd"/>
            <w:r w:rsidRPr="00052914">
              <w:rPr>
                <w:rFonts w:ascii="Times New Roman" w:eastAsia="Times New Roman" w:hAnsi="Times New Roman" w:cs="Times New Roman"/>
                <w:kern w:val="0"/>
                <w:lang w:val="ro-RO"/>
                <w14:ligatures w14:val="none"/>
              </w:rPr>
              <w:t xml:space="preserve"> după diminuarea riscului de credit. În acest scop, se utilizează valoarea expunerii după diminuarea riscului de credit în conformitate cu instrucțiunile pentru </w:t>
            </w:r>
            <w:r w:rsidRPr="00EA59DC">
              <w:rPr>
                <w:rFonts w:ascii="Times New Roman" w:eastAsia="Times New Roman" w:hAnsi="Times New Roman" w:cs="Times New Roman"/>
                <w:kern w:val="0"/>
                <w:lang w:val="ro-RO"/>
                <w14:ligatures w14:val="none"/>
              </w:rPr>
              <w:t>coloana 0160 din</w:t>
            </w:r>
            <w:r w:rsidRPr="00052914">
              <w:rPr>
                <w:rFonts w:ascii="Times New Roman" w:eastAsia="Times New Roman" w:hAnsi="Times New Roman" w:cs="Times New Roman"/>
                <w:kern w:val="0"/>
                <w:lang w:val="ro-RO"/>
                <w14:ligatures w14:val="none"/>
              </w:rPr>
              <w:t xml:space="preserve"> formularul C 34.02.</w:t>
            </w:r>
            <w:bookmarkEnd w:id="61"/>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5DF4F" w14:textId="145EE379" w:rsidR="008844AC" w:rsidRPr="004728B8" w:rsidRDefault="008844AC" w:rsidP="008844AC">
            <w:pPr>
              <w:spacing w:after="0" w:line="240" w:lineRule="auto"/>
              <w:jc w:val="center"/>
              <w:rPr>
                <w:rFonts w:ascii="Times New Roman" w:eastAsia="Times New Roman" w:hAnsi="Times New Roman" w:cs="Times New Roman"/>
                <w:kern w:val="0"/>
                <w:lang w:eastAsia="ro-MD"/>
                <w14:ligatures w14:val="none"/>
              </w:rPr>
            </w:pPr>
          </w:p>
        </w:tc>
      </w:tr>
      <w:tr w:rsidR="006400F6" w:rsidRPr="004728B8" w14:paraId="50B647E7"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29D157" w14:textId="79987F70" w:rsidR="006400F6" w:rsidRPr="004728B8"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6400F6" w:rsidRPr="004728B8">
              <w:rPr>
                <w:rFonts w:ascii="Times New Roman" w:eastAsia="Times New Roman" w:hAnsi="Times New Roman" w:cs="Times New Roman"/>
                <w:kern w:val="0"/>
                <w:lang w:eastAsia="ro-MD"/>
                <w14:ligatures w14:val="none"/>
              </w:rPr>
              <w:t>211</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C778A9" w14:textId="2DC72C23" w:rsidR="006400F6" w:rsidRPr="00052914" w:rsidRDefault="00C058A3" w:rsidP="00486A57">
            <w:pPr>
              <w:spacing w:after="0" w:line="240" w:lineRule="auto"/>
              <w:rPr>
                <w:rFonts w:ascii="Times New Roman" w:eastAsia="Times New Roman" w:hAnsi="Times New Roman"/>
                <w:b/>
                <w:bCs/>
                <w:kern w:val="0"/>
                <w:lang w:eastAsia="ro-MD"/>
                <w14:ligatures w14:val="none"/>
              </w:rPr>
            </w:pPr>
            <w:r>
              <w:rPr>
                <w:rFonts w:ascii="Times New Roman" w:hAnsi="Times New Roman"/>
                <w:b/>
                <w:bCs/>
                <w:lang w:eastAsia="ro-MD"/>
              </w:rPr>
              <w:t>d</w:t>
            </w:r>
            <w:r w:rsidR="006400F6" w:rsidRPr="00052914">
              <w:rPr>
                <w:rFonts w:ascii="Times New Roman" w:hAnsi="Times New Roman"/>
                <w:b/>
                <w:bCs/>
                <w:lang w:eastAsia="ro-MD"/>
              </w:rPr>
              <w:t xml:space="preserve">in care: decurgând din riscul de credit al </w:t>
            </w:r>
            <w:proofErr w:type="spellStart"/>
            <w:r w:rsidR="006400F6" w:rsidRPr="00052914">
              <w:rPr>
                <w:rFonts w:ascii="Times New Roman" w:hAnsi="Times New Roman"/>
                <w:b/>
                <w:bCs/>
                <w:lang w:eastAsia="ro-MD"/>
              </w:rPr>
              <w:t>contrapărții</w:t>
            </w:r>
            <w:proofErr w:type="spellEnd"/>
            <w:r w:rsidR="006400F6" w:rsidRPr="00052914">
              <w:rPr>
                <w:rFonts w:ascii="Times New Roman" w:hAnsi="Times New Roman"/>
                <w:b/>
                <w:bCs/>
                <w:lang w:eastAsia="ro-MD"/>
              </w:rPr>
              <w:t>, excluzând expunerile compensate printr-o CPC</w:t>
            </w:r>
          </w:p>
          <w:p w14:paraId="5650DD1B" w14:textId="6C3A521A" w:rsidR="006400F6" w:rsidRPr="004728B8" w:rsidRDefault="006400F6" w:rsidP="006400F6">
            <w:pPr>
              <w:spacing w:after="0" w:line="240" w:lineRule="auto"/>
              <w:rPr>
                <w:rFonts w:ascii="Times New Roman" w:eastAsia="Times New Roman" w:hAnsi="Times New Roman" w:cs="Times New Roman"/>
                <w:b/>
                <w:bCs/>
                <w:kern w:val="0"/>
                <w:lang w:eastAsia="ro-MD"/>
                <w14:ligatures w14:val="none"/>
              </w:rPr>
            </w:pPr>
            <w:r w:rsidRPr="00FF2879">
              <w:rPr>
                <w:rFonts w:ascii="Times New Roman" w:eastAsia="Times New Roman" w:hAnsi="Times New Roman" w:cs="Times New Roman"/>
                <w:kern w:val="0"/>
                <w:lang w:eastAsia="ro-MD"/>
                <w14:ligatures w14:val="none"/>
              </w:rPr>
              <w:t xml:space="preserve">Expunerile raportate în coloana 0210, cu excepția expunerilor care decurg din contractele și tranzacțiile enumerate la </w:t>
            </w:r>
            <w:r w:rsidR="00C63CCF">
              <w:rPr>
                <w:rFonts w:ascii="Times New Roman" w:eastAsia="Times New Roman" w:hAnsi="Times New Roman" w:cs="Times New Roman"/>
                <w:kern w:val="0"/>
                <w:lang w:eastAsia="ro-MD"/>
                <w14:ligatures w14:val="none"/>
              </w:rPr>
              <w:t>punctele 125 și 126</w:t>
            </w:r>
            <w:r w:rsidRPr="00FF2879">
              <w:rPr>
                <w:rFonts w:ascii="Times New Roman" w:eastAsia="Times New Roman" w:hAnsi="Times New Roman" w:cs="Times New Roman"/>
                <w:kern w:val="0"/>
                <w:lang w:eastAsia="ro-MD"/>
                <w14:ligatures w14:val="none"/>
              </w:rPr>
              <w:t xml:space="preserve"> din Regulamentul nr. </w:t>
            </w:r>
            <w:r w:rsidR="00C63CCF">
              <w:rPr>
                <w:rFonts w:ascii="Times New Roman" w:eastAsia="Times New Roman" w:hAnsi="Times New Roman" w:cs="Times New Roman"/>
                <w:kern w:val="0"/>
                <w:lang w:eastAsia="ro-MD"/>
                <w14:ligatures w14:val="none"/>
              </w:rPr>
              <w:t>220</w:t>
            </w:r>
            <w:r w:rsidRPr="00FF2879">
              <w:rPr>
                <w:rFonts w:ascii="Times New Roman" w:eastAsia="Times New Roman" w:hAnsi="Times New Roman" w:cs="Times New Roman"/>
                <w:kern w:val="0"/>
                <w:lang w:eastAsia="ro-MD"/>
                <w14:ligatures w14:val="none"/>
              </w:rPr>
              <w:t>/20</w:t>
            </w:r>
            <w:r w:rsidR="00C63CCF">
              <w:rPr>
                <w:rFonts w:ascii="Times New Roman" w:eastAsia="Times New Roman" w:hAnsi="Times New Roman" w:cs="Times New Roman"/>
                <w:kern w:val="0"/>
                <w:lang w:eastAsia="ro-MD"/>
                <w14:ligatures w14:val="none"/>
              </w:rPr>
              <w:t>25</w:t>
            </w:r>
            <w:r w:rsidRPr="00FF2879">
              <w:rPr>
                <w:rFonts w:ascii="Times New Roman" w:eastAsia="Times New Roman" w:hAnsi="Times New Roman" w:cs="Times New Roman"/>
                <w:kern w:val="0"/>
                <w:lang w:eastAsia="ro-MD"/>
                <w14:ligatures w14:val="none"/>
              </w:rPr>
              <w:t xml:space="preserve">, atât timp cât sunt în derulare cu o </w:t>
            </w:r>
            <w:proofErr w:type="spellStart"/>
            <w:r w:rsidRPr="00FF2879">
              <w:rPr>
                <w:rFonts w:ascii="Times New Roman" w:eastAsia="Times New Roman" w:hAnsi="Times New Roman" w:cs="Times New Roman"/>
                <w:kern w:val="0"/>
                <w:lang w:eastAsia="ro-MD"/>
                <w14:ligatures w14:val="none"/>
              </w:rPr>
              <w:t>contraparte</w:t>
            </w:r>
            <w:proofErr w:type="spellEnd"/>
            <w:r w:rsidRPr="00FF2879">
              <w:rPr>
                <w:rFonts w:ascii="Times New Roman" w:eastAsia="Times New Roman" w:hAnsi="Times New Roman" w:cs="Times New Roman"/>
                <w:kern w:val="0"/>
                <w:lang w:eastAsia="ro-MD"/>
                <w14:ligatures w14:val="none"/>
              </w:rPr>
              <w:t xml:space="preserve"> centrală (</w:t>
            </w:r>
            <w:r w:rsidR="00582EDE">
              <w:rPr>
                <w:rFonts w:ascii="Times New Roman" w:eastAsia="Times New Roman" w:hAnsi="Times New Roman" w:cs="Times New Roman"/>
                <w:kern w:val="0"/>
                <w:lang w:eastAsia="ro-MD"/>
                <w14:ligatures w14:val="none"/>
              </w:rPr>
              <w:t xml:space="preserve">în continuare - </w:t>
            </w:r>
            <w:r w:rsidRPr="00FF2879">
              <w:rPr>
                <w:rFonts w:ascii="Times New Roman" w:eastAsia="Times New Roman" w:hAnsi="Times New Roman" w:cs="Times New Roman"/>
                <w:kern w:val="0"/>
                <w:lang w:eastAsia="ro-MD"/>
                <w14:ligatures w14:val="none"/>
              </w:rPr>
              <w:t xml:space="preserve">CPC), inclusiv tranzacțiile legate de o CPC definite la </w:t>
            </w:r>
            <w:r w:rsidR="00810EBA">
              <w:rPr>
                <w:rFonts w:ascii="Times New Roman" w:eastAsia="Times New Roman" w:hAnsi="Times New Roman" w:cs="Times New Roman"/>
                <w:kern w:val="0"/>
                <w:lang w:eastAsia="ro-MD"/>
                <w14:ligatures w14:val="none"/>
              </w:rPr>
              <w:t>punctul 3 din Regulamentul nr. 220/2025</w:t>
            </w:r>
            <w:r w:rsidRPr="00FF2879">
              <w:rPr>
                <w:rFonts w:ascii="Times New Roman" w:eastAsia="Times New Roman" w:hAnsi="Times New Roman" w:cs="Times New Roman"/>
                <w:kern w:val="0"/>
                <w:lang w:eastAsia="ro-MD"/>
                <w14:ligatures w14:val="none"/>
              </w:rPr>
              <w:t>.</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3F413A" w14:textId="698EF98E" w:rsidR="006400F6" w:rsidRPr="004728B8" w:rsidRDefault="006400F6" w:rsidP="008844AC">
            <w:pPr>
              <w:spacing w:after="0" w:line="240" w:lineRule="auto"/>
              <w:jc w:val="center"/>
              <w:rPr>
                <w:rFonts w:ascii="Times New Roman" w:eastAsia="Times New Roman" w:hAnsi="Times New Roman" w:cs="Times New Roman"/>
                <w:kern w:val="0"/>
                <w:lang w:eastAsia="ro-MD"/>
                <w14:ligatures w14:val="none"/>
              </w:rPr>
            </w:pPr>
          </w:p>
        </w:tc>
      </w:tr>
      <w:tr w:rsidR="008844AC" w:rsidRPr="004728B8" w14:paraId="27FA1E21"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3287D" w14:textId="7D37FE38" w:rsidR="008844AC" w:rsidRPr="004728B8"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4728B8">
              <w:rPr>
                <w:rFonts w:ascii="Times New Roman" w:eastAsia="Times New Roman" w:hAnsi="Times New Roman" w:cs="Times New Roman"/>
                <w:kern w:val="0"/>
                <w:lang w:eastAsia="ro-MD"/>
                <w14:ligatures w14:val="none"/>
              </w:rPr>
              <w:t>215</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505A6" w14:textId="75058D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 xml:space="preserve">Cuantumul ponderat la risc al expunerii înainte de aplicarea factorului de sprijinire </w:t>
            </w:r>
            <w:r w:rsidR="00E40987" w:rsidRPr="00B973D9">
              <w:rPr>
                <w:rFonts w:ascii="Times New Roman" w:eastAsia="Times New Roman" w:hAnsi="Times New Roman" w:cs="Times New Roman"/>
                <w:b/>
                <w:bCs/>
                <w:kern w:val="0"/>
                <w:lang w:eastAsia="ro-MD"/>
                <w14:ligatures w14:val="none"/>
              </w:rPr>
              <w:t>și de luare în calcul a neconcordanței valutare</w:t>
            </w:r>
          </w:p>
          <w:p w14:paraId="1C70C7C2" w14:textId="7ADC4D5A" w:rsidR="008844AC" w:rsidRDefault="003128FC"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 xml:space="preserve">Punctele 12 – 17 </w:t>
            </w:r>
            <w:r w:rsidRPr="004728B8">
              <w:rPr>
                <w:rFonts w:ascii="Times New Roman" w:eastAsia="Times New Roman" w:hAnsi="Times New Roman" w:cs="Times New Roman"/>
                <w:kern w:val="0"/>
                <w:lang w:eastAsia="ro-MD"/>
                <w14:ligatures w14:val="none"/>
              </w:rPr>
              <w:t xml:space="preserve">din Regulamentul </w:t>
            </w:r>
            <w:r>
              <w:rPr>
                <w:rFonts w:ascii="Times New Roman" w:eastAsia="Times New Roman" w:hAnsi="Times New Roman" w:cs="Times New Roman"/>
                <w:kern w:val="0"/>
                <w:lang w:eastAsia="ro-MD"/>
                <w14:ligatures w14:val="none"/>
              </w:rPr>
              <w:t>nr. 111/2018, f</w:t>
            </w:r>
            <w:r w:rsidR="008844AC" w:rsidRPr="004728B8">
              <w:rPr>
                <w:rFonts w:ascii="Times New Roman" w:eastAsia="Times New Roman" w:hAnsi="Times New Roman" w:cs="Times New Roman"/>
                <w:kern w:val="0"/>
                <w:lang w:eastAsia="ro-MD"/>
                <w14:ligatures w14:val="none"/>
              </w:rPr>
              <w:t xml:space="preserve">ără </w:t>
            </w:r>
            <w:r>
              <w:rPr>
                <w:rFonts w:ascii="Times New Roman" w:eastAsia="Times New Roman" w:hAnsi="Times New Roman" w:cs="Times New Roman"/>
                <w:kern w:val="0"/>
                <w:lang w:eastAsia="ro-MD"/>
                <w14:ligatures w14:val="none"/>
              </w:rPr>
              <w:t>a ține cont de</w:t>
            </w:r>
            <w:r w:rsidR="008844AC" w:rsidRPr="004728B8">
              <w:rPr>
                <w:rFonts w:ascii="Times New Roman" w:eastAsia="Times New Roman" w:hAnsi="Times New Roman" w:cs="Times New Roman"/>
                <w:kern w:val="0"/>
                <w:lang w:eastAsia="ro-MD"/>
                <w14:ligatures w14:val="none"/>
              </w:rPr>
              <w:t xml:space="preserve"> factori</w:t>
            </w:r>
            <w:r>
              <w:rPr>
                <w:rFonts w:ascii="Times New Roman" w:eastAsia="Times New Roman" w:hAnsi="Times New Roman" w:cs="Times New Roman"/>
                <w:kern w:val="0"/>
                <w:lang w:eastAsia="ro-MD"/>
                <w14:ligatures w14:val="none"/>
              </w:rPr>
              <w:t>i</w:t>
            </w:r>
            <w:r w:rsidR="008844AC" w:rsidRPr="004728B8">
              <w:rPr>
                <w:rFonts w:ascii="Times New Roman" w:eastAsia="Times New Roman" w:hAnsi="Times New Roman" w:cs="Times New Roman"/>
                <w:kern w:val="0"/>
                <w:lang w:eastAsia="ro-MD"/>
                <w14:ligatures w14:val="none"/>
              </w:rPr>
              <w:t xml:space="preserve"> de sprijinire a IMM-urilor în conformitate cu capitol</w:t>
            </w:r>
            <w:r w:rsidR="002F5634">
              <w:rPr>
                <w:rFonts w:ascii="Times New Roman" w:eastAsia="Times New Roman" w:hAnsi="Times New Roman" w:cs="Times New Roman"/>
                <w:kern w:val="0"/>
                <w:lang w:eastAsia="ro-MD"/>
                <w14:ligatures w14:val="none"/>
              </w:rPr>
              <w:t>e</w:t>
            </w:r>
            <w:r w:rsidR="008844AC" w:rsidRPr="004728B8">
              <w:rPr>
                <w:rFonts w:ascii="Times New Roman" w:eastAsia="Times New Roman" w:hAnsi="Times New Roman" w:cs="Times New Roman"/>
                <w:kern w:val="0"/>
                <w:lang w:eastAsia="ro-MD"/>
                <w14:ligatures w14:val="none"/>
              </w:rPr>
              <w:t>l</w:t>
            </w:r>
            <w:r w:rsidR="002F5634">
              <w:rPr>
                <w:rFonts w:ascii="Times New Roman" w:eastAsia="Times New Roman" w:hAnsi="Times New Roman" w:cs="Times New Roman"/>
                <w:kern w:val="0"/>
                <w:lang w:eastAsia="ro-MD"/>
                <w14:ligatures w14:val="none"/>
              </w:rPr>
              <w:t>e</w:t>
            </w:r>
            <w:r w:rsidR="008844AC" w:rsidRPr="004728B8">
              <w:rPr>
                <w:rFonts w:ascii="Times New Roman" w:eastAsia="Times New Roman" w:hAnsi="Times New Roman" w:cs="Times New Roman"/>
                <w:kern w:val="0"/>
                <w:lang w:eastAsia="ro-MD"/>
                <w14:ligatures w14:val="none"/>
              </w:rPr>
              <w:t xml:space="preserve"> V </w:t>
            </w:r>
            <w:r w:rsidR="002F5634">
              <w:rPr>
                <w:rFonts w:ascii="Times New Roman" w:eastAsia="Times New Roman" w:hAnsi="Times New Roman" w:cs="Times New Roman"/>
                <w:kern w:val="0"/>
                <w:lang w:eastAsia="ro-MD"/>
                <w14:ligatures w14:val="none"/>
              </w:rPr>
              <w:t>și V</w:t>
            </w:r>
            <w:r w:rsidR="002F5634" w:rsidRPr="00052914">
              <w:rPr>
                <w:rFonts w:ascii="Times New Roman" w:eastAsia="Times New Roman" w:hAnsi="Times New Roman" w:cs="Times New Roman"/>
                <w:kern w:val="0"/>
                <w:vertAlign w:val="superscript"/>
                <w:lang w:eastAsia="ro-MD"/>
                <w14:ligatures w14:val="none"/>
              </w:rPr>
              <w:t>1</w:t>
            </w:r>
            <w:r w:rsidR="002F5634">
              <w:rPr>
                <w:rFonts w:ascii="Times New Roman" w:eastAsia="Times New Roman" w:hAnsi="Times New Roman" w:cs="Times New Roman"/>
                <w:kern w:val="0"/>
                <w:lang w:eastAsia="ro-MD"/>
                <w14:ligatures w14:val="none"/>
              </w:rPr>
              <w:t xml:space="preserve"> </w:t>
            </w:r>
            <w:r w:rsidR="008844AC" w:rsidRPr="004728B8">
              <w:rPr>
                <w:rFonts w:ascii="Times New Roman" w:eastAsia="Times New Roman" w:hAnsi="Times New Roman" w:cs="Times New Roman"/>
                <w:kern w:val="0"/>
                <w:lang w:eastAsia="ro-MD"/>
                <w14:ligatures w14:val="none"/>
              </w:rPr>
              <w:t xml:space="preserve">din Regulamentul </w:t>
            </w:r>
            <w:r w:rsidR="00E968DB">
              <w:rPr>
                <w:rFonts w:ascii="Times New Roman" w:eastAsia="Times New Roman" w:hAnsi="Times New Roman" w:cs="Times New Roman"/>
                <w:kern w:val="0"/>
                <w:lang w:eastAsia="ro-MD"/>
                <w14:ligatures w14:val="none"/>
              </w:rPr>
              <w:t>nr. 111/2018</w:t>
            </w:r>
            <w:r w:rsidR="008844AC" w:rsidRPr="004728B8">
              <w:rPr>
                <w:rFonts w:ascii="Times New Roman" w:eastAsia="Times New Roman" w:hAnsi="Times New Roman" w:cs="Times New Roman"/>
                <w:kern w:val="0"/>
                <w:lang w:eastAsia="ro-MD"/>
                <w14:ligatures w14:val="none"/>
              </w:rPr>
              <w:t>.</w:t>
            </w:r>
          </w:p>
          <w:p w14:paraId="71B67AA8" w14:textId="1356A830" w:rsidR="00ED6478" w:rsidRPr="004728B8" w:rsidRDefault="00ED6478" w:rsidP="008844AC">
            <w:pPr>
              <w:spacing w:after="0" w:line="240" w:lineRule="auto"/>
              <w:rPr>
                <w:rFonts w:ascii="Times New Roman" w:eastAsia="Times New Roman" w:hAnsi="Times New Roman" w:cs="Times New Roman"/>
                <w:kern w:val="0"/>
                <w:lang w:eastAsia="ro-MD"/>
                <w14:ligatures w14:val="none"/>
              </w:rPr>
            </w:pPr>
            <w:r w:rsidRPr="0019627D">
              <w:rPr>
                <w:rFonts w:ascii="Times New Roman" w:eastAsia="Times New Roman" w:hAnsi="Times New Roman" w:cs="Times New Roman"/>
                <w:kern w:val="0"/>
                <w:lang w:eastAsia="ro-MD"/>
                <w14:ligatures w14:val="none"/>
              </w:rPr>
              <w:t xml:space="preserve">Cuantumul ponderat la risc al expunerii aferente valorii reziduale a activelor în sistem de leasing face obiectul punctului 94 din Regulamentul nr. 111/2018 și se calculează în conformitate cu formula </w:t>
            </w:r>
            <w:r w:rsidR="0019627D">
              <w:rPr>
                <w:rFonts w:ascii="Times New Roman" w:eastAsia="Times New Roman" w:hAnsi="Times New Roman" w:cs="Times New Roman"/>
                <w:kern w:val="0"/>
                <w:lang w:eastAsia="ro-MD"/>
                <w14:ligatures w14:val="none"/>
              </w:rPr>
              <w:t>„</w:t>
            </w:r>
            <w:r w:rsidRPr="0019627D">
              <w:rPr>
                <w:rFonts w:ascii="Times New Roman" w:eastAsia="Times New Roman" w:hAnsi="Times New Roman" w:cs="Times New Roman"/>
                <w:kern w:val="0"/>
                <w:lang w:eastAsia="ro-MD"/>
                <w14:ligatures w14:val="none"/>
              </w:rPr>
              <w:t>1/t × 100 % × valoarea reziduală</w:t>
            </w:r>
            <w:r w:rsidR="0019627D">
              <w:rPr>
                <w:rFonts w:ascii="Times New Roman" w:eastAsia="Times New Roman" w:hAnsi="Times New Roman" w:cs="Times New Roman"/>
                <w:kern w:val="0"/>
                <w:lang w:eastAsia="ro-MD"/>
                <w14:ligatures w14:val="none"/>
              </w:rPr>
              <w:t>”</w:t>
            </w:r>
            <w:r w:rsidRPr="0019627D">
              <w:rPr>
                <w:rFonts w:ascii="Times New Roman" w:eastAsia="Times New Roman" w:hAnsi="Times New Roman" w:cs="Times New Roman"/>
                <w:kern w:val="0"/>
                <w:lang w:eastAsia="ro-MD"/>
                <w14:ligatures w14:val="none"/>
              </w:rPr>
              <w:t>. În special, valoarea reziduală este valoarea reziduală neactualizată estimată la sfârșitul perioadei de leasing, care este reevaluată periodic pentru a se asigura că este în permanență adecvată.</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C7892"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E40987" w:rsidRPr="004728B8" w14:paraId="71229E7C"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C54BE8" w14:textId="4AF91A46" w:rsidR="00E40987" w:rsidRPr="004728B8"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E40987" w:rsidRPr="004728B8">
              <w:rPr>
                <w:rFonts w:ascii="Times New Roman" w:eastAsia="Times New Roman" w:hAnsi="Times New Roman" w:cs="Times New Roman"/>
                <w:kern w:val="0"/>
                <w:lang w:eastAsia="ro-MD"/>
                <w14:ligatures w14:val="none"/>
              </w:rPr>
              <w:t>216</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3DD405" w14:textId="77777777" w:rsidR="00E40987" w:rsidRPr="004F6F2C" w:rsidRDefault="00E40987" w:rsidP="00A84D2B">
            <w:pPr>
              <w:pStyle w:val="InstructionsText"/>
            </w:pPr>
            <w:r w:rsidRPr="004F6F2C">
              <w:t>(-) Ajustarea cuantumului ponderat la risc al expunerii ca urmare a factorului de sprijinire a IMM-urilor</w:t>
            </w:r>
          </w:p>
          <w:p w14:paraId="08FDBEC7" w14:textId="683AFCF1" w:rsidR="00E40987" w:rsidRPr="00EA59DC" w:rsidRDefault="00E40987" w:rsidP="00A84D2B">
            <w:pPr>
              <w:pStyle w:val="InstructionsText"/>
              <w:rPr>
                <w:rFonts w:ascii="inherit" w:hAnsi="inherit"/>
                <w:color w:val="000000"/>
              </w:rPr>
            </w:pPr>
            <w:r w:rsidRPr="00E91D07">
              <w:t>Deducerea diferenței dintre cuantumurile ponderate la risc ale expunerilor care nu se află în stare de nerambursare față de un IMM (RWEA), care se calculează în conformitate</w:t>
            </w:r>
            <w:r w:rsidR="00756DE1" w:rsidRPr="00E91D07">
              <w:t xml:space="preserve"> cu</w:t>
            </w:r>
            <w:r w:rsidRPr="00E91D07">
              <w:t xml:space="preserve"> Regulamentul nr. </w:t>
            </w:r>
            <w:r w:rsidR="00756DE1" w:rsidRPr="00E91D07">
              <w:t>111</w:t>
            </w:r>
            <w:r w:rsidRPr="00E91D07">
              <w:t>/201</w:t>
            </w:r>
            <w:r w:rsidR="00756DE1" w:rsidRPr="00E91D07">
              <w:t>8</w:t>
            </w:r>
            <w:r w:rsidRPr="00E91D07">
              <w:t xml:space="preserve"> și RWEA*</w:t>
            </w:r>
            <w:r w:rsidRPr="00BE15DE">
              <w:t xml:space="preserve"> în conformitat</w:t>
            </w:r>
            <w:r w:rsidRPr="00E91D07">
              <w:t xml:space="preserve">e cu </w:t>
            </w:r>
            <w:r w:rsidR="00597710" w:rsidRPr="00E91D07">
              <w:t>punctul 95</w:t>
            </w:r>
            <w:r w:rsidRPr="00E91D07">
              <w:t xml:space="preserve"> din regulamentul </w:t>
            </w:r>
            <w:r w:rsidR="00756DE1" w:rsidRPr="00E91D07">
              <w:t>respectiv</w:t>
            </w:r>
            <w:r w:rsidR="00597710" w:rsidRPr="00E91D07">
              <w:t>.</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8C9451" w14:textId="77777777" w:rsidR="00E40987" w:rsidRPr="004728B8" w:rsidRDefault="00E40987" w:rsidP="008844AC">
            <w:pPr>
              <w:spacing w:after="0" w:line="240" w:lineRule="auto"/>
              <w:rPr>
                <w:rFonts w:ascii="Times New Roman" w:eastAsia="Times New Roman" w:hAnsi="Times New Roman" w:cs="Times New Roman"/>
                <w:kern w:val="0"/>
                <w:lang w:eastAsia="ro-MD"/>
                <w14:ligatures w14:val="none"/>
              </w:rPr>
            </w:pPr>
          </w:p>
        </w:tc>
      </w:tr>
      <w:tr w:rsidR="00E40987" w:rsidRPr="004728B8" w14:paraId="5ED4049C"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44D01C" w14:textId="362FDF10" w:rsidR="00E40987" w:rsidRPr="004728B8"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E40987" w:rsidRPr="004728B8">
              <w:rPr>
                <w:rFonts w:ascii="Times New Roman" w:eastAsia="Times New Roman" w:hAnsi="Times New Roman" w:cs="Times New Roman"/>
                <w:kern w:val="0"/>
                <w:lang w:eastAsia="ro-MD"/>
                <w14:ligatures w14:val="none"/>
              </w:rPr>
              <w:t>217</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619A4E" w14:textId="680076BC" w:rsidR="00E40987" w:rsidRPr="00E91D07" w:rsidRDefault="00E40987" w:rsidP="00486A57">
            <w:pPr>
              <w:pStyle w:val="HngEinrckung1"/>
              <w:spacing w:before="0" w:after="0" w:line="240" w:lineRule="auto"/>
              <w:ind w:left="0" w:firstLine="0"/>
              <w:jc w:val="left"/>
              <w:rPr>
                <w:rStyle w:val="InstructionsTabelleberschrift"/>
                <w:rFonts w:ascii="Times New Roman" w:hAnsi="Times New Roman"/>
                <w:sz w:val="22"/>
                <w:szCs w:val="22"/>
                <w:u w:val="none"/>
              </w:rPr>
            </w:pPr>
            <w:r w:rsidRPr="00E91D07">
              <w:rPr>
                <w:rStyle w:val="InstructionsTabelleberschrift"/>
                <w:rFonts w:ascii="Times New Roman" w:hAnsi="Times New Roman"/>
                <w:sz w:val="22"/>
                <w:szCs w:val="22"/>
                <w:u w:val="none"/>
              </w:rPr>
              <w:t>(-) Ajustarea cuantumului ponderat la risc al expunerii ca urmare a</w:t>
            </w:r>
            <w:r w:rsidR="004728B8" w:rsidRPr="00E91D07">
              <w:rPr>
                <w:rStyle w:val="InstructionsTabelleberschrift"/>
                <w:rFonts w:ascii="Times New Roman" w:hAnsi="Times New Roman"/>
                <w:sz w:val="22"/>
                <w:szCs w:val="22"/>
                <w:u w:val="none"/>
              </w:rPr>
              <w:t xml:space="preserve"> </w:t>
            </w:r>
            <w:r w:rsidRPr="00E91D07">
              <w:rPr>
                <w:rStyle w:val="InstructionsTabelleberschrift"/>
                <w:rFonts w:ascii="Times New Roman" w:hAnsi="Times New Roman"/>
                <w:sz w:val="22"/>
                <w:szCs w:val="22"/>
                <w:u w:val="none"/>
              </w:rPr>
              <w:t>factorului de sprijinire a infrastructurii</w:t>
            </w:r>
          </w:p>
          <w:p w14:paraId="2BF08B4E" w14:textId="3A5C1E5E" w:rsidR="00E40987" w:rsidRPr="00756DE1" w:rsidRDefault="00E40987" w:rsidP="00A84D2B">
            <w:pPr>
              <w:pStyle w:val="InstructionsText"/>
            </w:pPr>
            <w:r w:rsidRPr="00756DE1">
              <w:t>Deducerea diferenței dintre cuantumurile ponderate la risc ale expunerilor calculate în conformitate cu Regulamentul nr. </w:t>
            </w:r>
            <w:r w:rsidR="00756DE1" w:rsidRPr="00756DE1">
              <w:t>111</w:t>
            </w:r>
            <w:r w:rsidRPr="00756DE1">
              <w:t>/201</w:t>
            </w:r>
            <w:r w:rsidR="00756DE1" w:rsidRPr="00756DE1">
              <w:t>8</w:t>
            </w:r>
            <w:r w:rsidRPr="00756DE1">
              <w:t xml:space="preserve"> și RWEA ajustat pentru riscul de credit aferent expunerilor față de entități care operează sau finanțează structuri fizice sau facilități, sisteme și rețele care oferă sau sprijină servicii publice esențiale în conformitate cu </w:t>
            </w:r>
            <w:r w:rsidR="00756DE1" w:rsidRPr="00756DE1">
              <w:t>Capitolul V</w:t>
            </w:r>
            <w:r w:rsidR="00756DE1" w:rsidRPr="00052914">
              <w:rPr>
                <w:vertAlign w:val="superscript"/>
              </w:rPr>
              <w:t>1</w:t>
            </w:r>
            <w:r w:rsidRPr="00756DE1">
              <w:t xml:space="preserve"> din regulamentul respectiv.</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1CED9A" w14:textId="77777777" w:rsidR="00E40987" w:rsidRPr="004728B8" w:rsidRDefault="00E40987"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03135040"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2AE75" w14:textId="018EFCAE" w:rsidR="008844AC" w:rsidRPr="004728B8"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4728B8">
              <w:rPr>
                <w:rFonts w:ascii="Times New Roman" w:eastAsia="Times New Roman" w:hAnsi="Times New Roman" w:cs="Times New Roman"/>
                <w:kern w:val="0"/>
                <w:lang w:eastAsia="ro-MD"/>
                <w14:ligatures w14:val="none"/>
              </w:rPr>
              <w:t>220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B9503" w14:textId="380CFDEB"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 xml:space="preserve">Cuantumul ponderat la risc al expunerii după aplicarea factorului de sprijinire </w:t>
            </w:r>
            <w:r w:rsidR="00E40987" w:rsidRPr="004728B8">
              <w:rPr>
                <w:rFonts w:ascii="Times New Roman" w:eastAsia="Times New Roman" w:hAnsi="Times New Roman" w:cs="Times New Roman"/>
                <w:b/>
                <w:bCs/>
                <w:kern w:val="0"/>
                <w:lang w:eastAsia="ro-MD"/>
                <w14:ligatures w14:val="none"/>
              </w:rPr>
              <w:t>și luare în calcul a neconcordanței valutare</w:t>
            </w:r>
            <w:r w:rsidRPr="004728B8">
              <w:rPr>
                <w:rFonts w:ascii="Times New Roman" w:eastAsia="Times New Roman" w:hAnsi="Times New Roman" w:cs="Times New Roman"/>
                <w:kern w:val="0"/>
                <w:lang w:eastAsia="ro-MD"/>
                <w14:ligatures w14:val="none"/>
              </w:rPr>
              <w:t xml:space="preserve"> </w:t>
            </w:r>
          </w:p>
          <w:p w14:paraId="3FBF1520" w14:textId="0BF945ED" w:rsidR="008844AC" w:rsidRDefault="00E52408"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 xml:space="preserve">Punctele 12 – 17 </w:t>
            </w:r>
            <w:r w:rsidRPr="004728B8">
              <w:rPr>
                <w:rFonts w:ascii="Times New Roman" w:eastAsia="Times New Roman" w:hAnsi="Times New Roman" w:cs="Times New Roman"/>
                <w:kern w:val="0"/>
                <w:lang w:eastAsia="ro-MD"/>
                <w14:ligatures w14:val="none"/>
              </w:rPr>
              <w:t xml:space="preserve">din Regulamentul </w:t>
            </w:r>
            <w:r>
              <w:rPr>
                <w:rFonts w:ascii="Times New Roman" w:eastAsia="Times New Roman" w:hAnsi="Times New Roman" w:cs="Times New Roman"/>
                <w:kern w:val="0"/>
                <w:lang w:eastAsia="ro-MD"/>
                <w14:ligatures w14:val="none"/>
              </w:rPr>
              <w:t xml:space="preserve">nr. 111/2018, ținând cont de </w:t>
            </w:r>
            <w:r w:rsidR="008844AC" w:rsidRPr="004728B8">
              <w:rPr>
                <w:rFonts w:ascii="Times New Roman" w:eastAsia="Times New Roman" w:hAnsi="Times New Roman" w:cs="Times New Roman"/>
                <w:kern w:val="0"/>
                <w:lang w:eastAsia="ro-MD"/>
                <w14:ligatures w14:val="none"/>
              </w:rPr>
              <w:t>factor</w:t>
            </w:r>
            <w:r>
              <w:rPr>
                <w:rFonts w:ascii="Times New Roman" w:eastAsia="Times New Roman" w:hAnsi="Times New Roman" w:cs="Times New Roman"/>
                <w:kern w:val="0"/>
                <w:lang w:eastAsia="ro-MD"/>
                <w14:ligatures w14:val="none"/>
              </w:rPr>
              <w:t>i</w:t>
            </w:r>
            <w:r w:rsidR="008844AC" w:rsidRPr="004728B8">
              <w:rPr>
                <w:rFonts w:ascii="Times New Roman" w:eastAsia="Times New Roman" w:hAnsi="Times New Roman" w:cs="Times New Roman"/>
                <w:kern w:val="0"/>
                <w:lang w:eastAsia="ro-MD"/>
                <w14:ligatures w14:val="none"/>
              </w:rPr>
              <w:t>i de sprijinire a IMM-urilor în conformitate cu capitol</w:t>
            </w:r>
            <w:r w:rsidR="002F5634">
              <w:rPr>
                <w:rFonts w:ascii="Times New Roman" w:eastAsia="Times New Roman" w:hAnsi="Times New Roman" w:cs="Times New Roman"/>
                <w:kern w:val="0"/>
                <w:lang w:eastAsia="ro-MD"/>
                <w14:ligatures w14:val="none"/>
              </w:rPr>
              <w:t>e</w:t>
            </w:r>
            <w:r w:rsidR="008844AC" w:rsidRPr="004728B8">
              <w:rPr>
                <w:rFonts w:ascii="Times New Roman" w:eastAsia="Times New Roman" w:hAnsi="Times New Roman" w:cs="Times New Roman"/>
                <w:kern w:val="0"/>
                <w:lang w:eastAsia="ro-MD"/>
                <w14:ligatures w14:val="none"/>
              </w:rPr>
              <w:t>l</w:t>
            </w:r>
            <w:r w:rsidR="002F5634">
              <w:rPr>
                <w:rFonts w:ascii="Times New Roman" w:eastAsia="Times New Roman" w:hAnsi="Times New Roman" w:cs="Times New Roman"/>
                <w:kern w:val="0"/>
                <w:lang w:eastAsia="ro-MD"/>
                <w14:ligatures w14:val="none"/>
              </w:rPr>
              <w:t>e</w:t>
            </w:r>
            <w:r w:rsidR="008844AC" w:rsidRPr="004728B8">
              <w:rPr>
                <w:rFonts w:ascii="Times New Roman" w:eastAsia="Times New Roman" w:hAnsi="Times New Roman" w:cs="Times New Roman"/>
                <w:kern w:val="0"/>
                <w:lang w:eastAsia="ro-MD"/>
                <w14:ligatures w14:val="none"/>
              </w:rPr>
              <w:t xml:space="preserve"> V </w:t>
            </w:r>
            <w:r w:rsidR="002F5634">
              <w:rPr>
                <w:rFonts w:ascii="Times New Roman" w:eastAsia="Times New Roman" w:hAnsi="Times New Roman" w:cs="Times New Roman"/>
                <w:kern w:val="0"/>
                <w:lang w:eastAsia="ro-MD"/>
                <w14:ligatures w14:val="none"/>
              </w:rPr>
              <w:t>și V</w:t>
            </w:r>
            <w:r w:rsidR="002F5634" w:rsidRPr="00052914">
              <w:rPr>
                <w:rFonts w:ascii="Times New Roman" w:eastAsia="Times New Roman" w:hAnsi="Times New Roman" w:cs="Times New Roman"/>
                <w:kern w:val="0"/>
                <w:vertAlign w:val="superscript"/>
                <w:lang w:eastAsia="ro-MD"/>
                <w14:ligatures w14:val="none"/>
              </w:rPr>
              <w:t>1</w:t>
            </w:r>
            <w:r w:rsidR="002F5634">
              <w:rPr>
                <w:rFonts w:ascii="Times New Roman" w:eastAsia="Times New Roman" w:hAnsi="Times New Roman" w:cs="Times New Roman"/>
                <w:kern w:val="0"/>
                <w:lang w:eastAsia="ro-MD"/>
                <w14:ligatures w14:val="none"/>
              </w:rPr>
              <w:t xml:space="preserve"> </w:t>
            </w:r>
            <w:r w:rsidR="008844AC" w:rsidRPr="004728B8">
              <w:rPr>
                <w:rFonts w:ascii="Times New Roman" w:eastAsia="Times New Roman" w:hAnsi="Times New Roman" w:cs="Times New Roman"/>
                <w:kern w:val="0"/>
                <w:lang w:eastAsia="ro-MD"/>
                <w14:ligatures w14:val="none"/>
              </w:rPr>
              <w:t xml:space="preserve">din Regulamentul </w:t>
            </w:r>
            <w:r w:rsidR="002F5634">
              <w:rPr>
                <w:rFonts w:ascii="Times New Roman" w:eastAsia="Times New Roman" w:hAnsi="Times New Roman" w:cs="Times New Roman"/>
                <w:kern w:val="0"/>
                <w:lang w:eastAsia="ro-MD"/>
                <w14:ligatures w14:val="none"/>
              </w:rPr>
              <w:t>nr. 111/2018</w:t>
            </w:r>
            <w:r w:rsidR="008844AC" w:rsidRPr="004728B8">
              <w:rPr>
                <w:rFonts w:ascii="Times New Roman" w:eastAsia="Times New Roman" w:hAnsi="Times New Roman" w:cs="Times New Roman"/>
                <w:kern w:val="0"/>
                <w:lang w:eastAsia="ro-MD"/>
                <w14:ligatures w14:val="none"/>
              </w:rPr>
              <w:t>.</w:t>
            </w:r>
          </w:p>
          <w:p w14:paraId="2CBDC286" w14:textId="77777777" w:rsidR="002F5634" w:rsidRDefault="002F5634" w:rsidP="008844AC">
            <w:pPr>
              <w:spacing w:after="0" w:line="240" w:lineRule="auto"/>
              <w:rPr>
                <w:rFonts w:ascii="Times New Roman" w:eastAsia="Times New Roman" w:hAnsi="Times New Roman" w:cs="Times New Roman"/>
                <w:kern w:val="0"/>
                <w:lang w:eastAsia="ro-MD"/>
                <w14:ligatures w14:val="none"/>
              </w:rPr>
            </w:pPr>
            <w:r w:rsidRPr="0019627D">
              <w:rPr>
                <w:rFonts w:ascii="Times New Roman" w:eastAsia="Times New Roman" w:hAnsi="Times New Roman" w:cs="Times New Roman"/>
                <w:kern w:val="0"/>
                <w:lang w:eastAsia="ro-MD"/>
                <w14:ligatures w14:val="none"/>
              </w:rPr>
              <w:lastRenderedPageBreak/>
              <w:t xml:space="preserve">Cuantumul ponderat la risc al expunerii aferente valorii reziduale a activelor în sistem de leasing face obiectul punctului 94 din Regulamentul nr. 111/2018 și se calculează în conformitate cu formula </w:t>
            </w:r>
            <w:r>
              <w:rPr>
                <w:rFonts w:ascii="Times New Roman" w:eastAsia="Times New Roman" w:hAnsi="Times New Roman" w:cs="Times New Roman"/>
                <w:kern w:val="0"/>
                <w:lang w:eastAsia="ro-MD"/>
                <w14:ligatures w14:val="none"/>
              </w:rPr>
              <w:t>„</w:t>
            </w:r>
            <w:r w:rsidRPr="0019627D">
              <w:rPr>
                <w:rFonts w:ascii="Times New Roman" w:eastAsia="Times New Roman" w:hAnsi="Times New Roman" w:cs="Times New Roman"/>
                <w:kern w:val="0"/>
                <w:lang w:eastAsia="ro-MD"/>
                <w14:ligatures w14:val="none"/>
              </w:rPr>
              <w:t>1/t × 100 % × valoarea reziduală</w:t>
            </w:r>
            <w:r>
              <w:rPr>
                <w:rFonts w:ascii="Times New Roman" w:eastAsia="Times New Roman" w:hAnsi="Times New Roman" w:cs="Times New Roman"/>
                <w:kern w:val="0"/>
                <w:lang w:eastAsia="ro-MD"/>
                <w14:ligatures w14:val="none"/>
              </w:rPr>
              <w:t>”</w:t>
            </w:r>
            <w:r w:rsidRPr="0019627D">
              <w:rPr>
                <w:rFonts w:ascii="Times New Roman" w:eastAsia="Times New Roman" w:hAnsi="Times New Roman" w:cs="Times New Roman"/>
                <w:kern w:val="0"/>
                <w:lang w:eastAsia="ro-MD"/>
                <w14:ligatures w14:val="none"/>
              </w:rPr>
              <w:t>. În special, valoarea reziduală este valoarea reziduală neactualizată estimată la sfârșitul perioadei de leasing, care este reevaluată periodic pentru a se asigura că este în permanență adecvată.</w:t>
            </w:r>
          </w:p>
          <w:p w14:paraId="7A204F6E" w14:textId="61E32AFE" w:rsidR="002F5634" w:rsidRPr="004728B8" w:rsidRDefault="002F5634" w:rsidP="008844AC">
            <w:pPr>
              <w:spacing w:after="0" w:line="240" w:lineRule="auto"/>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În cazul unei neconcordanțe de monede, impactul trebuie reflectat în RWEA raportat în această coloană.</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429C5"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7F4C6433"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A4706" w14:textId="13C78C72" w:rsidR="008844AC" w:rsidRPr="004728B8"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4728B8">
              <w:rPr>
                <w:rFonts w:ascii="Times New Roman" w:eastAsia="Times New Roman" w:hAnsi="Times New Roman" w:cs="Times New Roman"/>
                <w:kern w:val="0"/>
                <w:lang w:eastAsia="ro-MD"/>
                <w14:ligatures w14:val="none"/>
              </w:rPr>
              <w:t>230</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4D176" w14:textId="5C62B66D" w:rsidR="008844AC" w:rsidRDefault="00C058A3" w:rsidP="008844AC">
            <w:pPr>
              <w:spacing w:after="0" w:line="240" w:lineRule="auto"/>
              <w:rPr>
                <w:rFonts w:ascii="Times New Roman" w:eastAsia="Times New Roman" w:hAnsi="Times New Roman" w:cs="Times New Roman"/>
                <w:b/>
                <w:bCs/>
                <w:kern w:val="0"/>
                <w:lang w:eastAsia="ro-MD"/>
                <w14:ligatures w14:val="none"/>
              </w:rPr>
            </w:pPr>
            <w:r>
              <w:rPr>
                <w:rFonts w:ascii="Times New Roman" w:eastAsia="Times New Roman" w:hAnsi="Times New Roman" w:cs="Times New Roman"/>
                <w:b/>
                <w:bCs/>
                <w:kern w:val="0"/>
                <w:lang w:eastAsia="ro-MD"/>
                <w14:ligatures w14:val="none"/>
              </w:rPr>
              <w:t>d</w:t>
            </w:r>
            <w:r w:rsidR="008844AC" w:rsidRPr="004728B8">
              <w:rPr>
                <w:rFonts w:ascii="Times New Roman" w:eastAsia="Times New Roman" w:hAnsi="Times New Roman" w:cs="Times New Roman"/>
                <w:b/>
                <w:bCs/>
                <w:kern w:val="0"/>
                <w:lang w:eastAsia="ro-MD"/>
                <w14:ligatures w14:val="none"/>
              </w:rPr>
              <w:t>in care: cu o evaluare a creditului efectuată de o societate de evaluare externă a creditului desemnată</w:t>
            </w:r>
          </w:p>
          <w:p w14:paraId="1A836543" w14:textId="28317185" w:rsidR="002F5634" w:rsidRPr="002F5634" w:rsidRDefault="002F5634" w:rsidP="008844AC">
            <w:pPr>
              <w:spacing w:after="0" w:line="240" w:lineRule="auto"/>
              <w:rPr>
                <w:rFonts w:ascii="Times New Roman" w:eastAsia="Times New Roman" w:hAnsi="Times New Roman" w:cs="Times New Roman"/>
                <w:kern w:val="0"/>
                <w:lang w:eastAsia="ro-MD"/>
                <w14:ligatures w14:val="none"/>
              </w:rPr>
            </w:pPr>
            <w:r w:rsidRPr="00052914">
              <w:rPr>
                <w:rFonts w:ascii="Times New Roman" w:eastAsia="Times New Roman" w:hAnsi="Times New Roman" w:cs="Times New Roman"/>
                <w:kern w:val="0"/>
                <w:lang w:eastAsia="ro-MD"/>
                <w14:ligatures w14:val="none"/>
              </w:rPr>
              <w:t>Punctul 11 subpunctele 1)-4), 6), 7), 11</w:t>
            </w:r>
            <w:r w:rsidRPr="00052914">
              <w:rPr>
                <w:rFonts w:ascii="Times New Roman" w:eastAsia="Times New Roman" w:hAnsi="Times New Roman" w:cs="Times New Roman"/>
                <w:kern w:val="0"/>
                <w:vertAlign w:val="superscript"/>
                <w:lang w:eastAsia="ro-MD"/>
                <w14:ligatures w14:val="none"/>
              </w:rPr>
              <w:t>2</w:t>
            </w:r>
            <w:r w:rsidRPr="00052914">
              <w:rPr>
                <w:rFonts w:ascii="Times New Roman" w:eastAsia="Times New Roman" w:hAnsi="Times New Roman" w:cs="Times New Roman"/>
                <w:kern w:val="0"/>
                <w:lang w:eastAsia="ro-MD"/>
                <w14:ligatures w14:val="none"/>
              </w:rPr>
              <w:t>)</w:t>
            </w:r>
            <w:r>
              <w:rPr>
                <w:rFonts w:ascii="Times New Roman" w:eastAsia="Times New Roman" w:hAnsi="Times New Roman" w:cs="Times New Roman"/>
                <w:kern w:val="0"/>
                <w:lang w:eastAsia="ro-MD"/>
                <w14:ligatures w14:val="none"/>
              </w:rPr>
              <w:t>, 13), 14) și 16) din Regulamentul nr. 111/2018</w:t>
            </w: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068AC"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49470434" w14:textId="77777777" w:rsidTr="00B47F18">
        <w:trPr>
          <w:jc w:val="center"/>
        </w:trPr>
        <w:tc>
          <w:tcPr>
            <w:tcW w:w="5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CF0F0" w14:textId="2CAF5E2F" w:rsidR="008844AC" w:rsidRPr="004728B8"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4728B8">
              <w:rPr>
                <w:rFonts w:ascii="Times New Roman" w:eastAsia="Times New Roman" w:hAnsi="Times New Roman" w:cs="Times New Roman"/>
                <w:kern w:val="0"/>
                <w:lang w:eastAsia="ro-MD"/>
                <w14:ligatures w14:val="none"/>
              </w:rPr>
              <w:t>24</w:t>
            </w:r>
            <w:r w:rsidR="009B2411" w:rsidRPr="004728B8">
              <w:rPr>
                <w:rFonts w:ascii="Times New Roman" w:eastAsia="Times New Roman" w:hAnsi="Times New Roman" w:cs="Times New Roman"/>
                <w:kern w:val="0"/>
                <w:lang w:eastAsia="ro-MD"/>
                <w14:ligatures w14:val="none"/>
              </w:rPr>
              <w:t>1</w:t>
            </w:r>
          </w:p>
        </w:tc>
        <w:tc>
          <w:tcPr>
            <w:tcW w:w="394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F8985" w14:textId="77777777" w:rsidR="009B2411" w:rsidRPr="00F5278C" w:rsidRDefault="009B2411" w:rsidP="00A84D2B">
            <w:pPr>
              <w:pStyle w:val="InstructionsText"/>
            </w:pPr>
            <w:r w:rsidRPr="00E91D07">
              <w:rPr>
                <w:b/>
                <w:bCs/>
              </w:rPr>
              <w:t>ELEMENT MEMORANDUM:</w:t>
            </w:r>
            <w:r w:rsidRPr="00F5278C">
              <w:t xml:space="preserve"> RWEA legat de impactul aplicării dispozițiilor tranzitorii privind factorul de conversie a creditului pentru angajamentele care pot fi revocate necondiționat</w:t>
            </w:r>
          </w:p>
          <w:p w14:paraId="75A3FD21" w14:textId="5EBD019F" w:rsidR="008844AC" w:rsidRPr="004728B8" w:rsidRDefault="008844AC" w:rsidP="009B2411">
            <w:pPr>
              <w:spacing w:after="0" w:line="240" w:lineRule="auto"/>
              <w:rPr>
                <w:rFonts w:ascii="Times New Roman" w:eastAsia="Times New Roman" w:hAnsi="Times New Roman" w:cs="Times New Roman"/>
                <w:kern w:val="0"/>
                <w:lang w:eastAsia="ro-MD"/>
                <w14:ligatures w14:val="none"/>
              </w:rPr>
            </w:pPr>
          </w:p>
        </w:tc>
        <w:tc>
          <w:tcPr>
            <w:tcW w:w="5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2C1F1" w14:textId="3A49A48B" w:rsidR="008844AC" w:rsidRPr="004728B8" w:rsidRDefault="007A073B" w:rsidP="00052914">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blocat</w:t>
            </w:r>
          </w:p>
        </w:tc>
      </w:tr>
    </w:tbl>
    <w:p w14:paraId="44792DEF" w14:textId="77777777" w:rsidR="008844AC" w:rsidRPr="008844AC" w:rsidRDefault="008844AC" w:rsidP="008844AC">
      <w:pPr>
        <w:spacing w:after="0" w:line="240" w:lineRule="auto"/>
        <w:ind w:firstLine="567"/>
        <w:jc w:val="both"/>
        <w:rPr>
          <w:rFonts w:ascii="Arial" w:eastAsia="Times New Roman" w:hAnsi="Arial" w:cs="Arial"/>
          <w:kern w:val="0"/>
          <w:sz w:val="24"/>
          <w:szCs w:val="24"/>
          <w:lang w:eastAsia="ro-MD"/>
          <w14:ligatures w14:val="none"/>
        </w:rPr>
      </w:pPr>
      <w:r w:rsidRPr="008844AC">
        <w:rPr>
          <w:rFonts w:ascii="Arial" w:eastAsia="Times New Roman" w:hAnsi="Arial" w:cs="Arial"/>
          <w:kern w:val="0"/>
          <w:sz w:val="24"/>
          <w:szCs w:val="24"/>
          <w:lang w:eastAsia="ro-MD"/>
          <w14:ligatures w14:val="none"/>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1050"/>
        <w:gridCol w:w="7239"/>
        <w:gridCol w:w="1049"/>
      </w:tblGrid>
      <w:tr w:rsidR="008844AC" w:rsidRPr="004728B8" w14:paraId="10D2D1CC"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E40B01" w14:textId="77777777" w:rsidR="008844AC" w:rsidRPr="004728B8" w:rsidRDefault="008844AC" w:rsidP="008844AC">
            <w:pPr>
              <w:spacing w:after="0" w:line="240" w:lineRule="auto"/>
              <w:jc w:val="center"/>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Codul rândului</w:t>
            </w:r>
          </w:p>
        </w:tc>
        <w:tc>
          <w:tcPr>
            <w:tcW w:w="387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8715C3" w14:textId="77777777" w:rsidR="008844AC" w:rsidRPr="004728B8" w:rsidRDefault="008844AC" w:rsidP="008844AC">
            <w:pPr>
              <w:spacing w:after="0" w:line="240" w:lineRule="auto"/>
              <w:jc w:val="center"/>
              <w:rPr>
                <w:rFonts w:ascii="Times New Roman" w:eastAsia="Times New Roman" w:hAnsi="Times New Roman" w:cs="Times New Roman"/>
                <w:b/>
                <w:bCs/>
                <w:kern w:val="0"/>
                <w:lang w:eastAsia="ro-MD"/>
                <w14:ligatures w14:val="none"/>
              </w:rPr>
            </w:pPr>
            <w:proofErr w:type="spellStart"/>
            <w:r w:rsidRPr="004728B8">
              <w:rPr>
                <w:rFonts w:ascii="Times New Roman" w:eastAsia="Times New Roman" w:hAnsi="Times New Roman" w:cs="Times New Roman"/>
                <w:b/>
                <w:bCs/>
                <w:kern w:val="0"/>
                <w:lang w:eastAsia="ro-MD"/>
                <w14:ligatures w14:val="none"/>
              </w:rPr>
              <w:t>Instrucţiuni</w:t>
            </w:r>
            <w:proofErr w:type="spellEnd"/>
          </w:p>
        </w:tc>
        <w:tc>
          <w:tcPr>
            <w:tcW w:w="56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5A78A3" w14:textId="77777777" w:rsidR="008844AC" w:rsidRPr="004728B8" w:rsidRDefault="008844AC" w:rsidP="008844AC">
            <w:pPr>
              <w:spacing w:after="0" w:line="240" w:lineRule="auto"/>
              <w:jc w:val="center"/>
              <w:rPr>
                <w:rFonts w:ascii="Times New Roman" w:eastAsia="Times New Roman" w:hAnsi="Times New Roman" w:cs="Times New Roman"/>
                <w:b/>
                <w:bCs/>
                <w:kern w:val="0"/>
                <w:lang w:eastAsia="ro-MD"/>
                <w14:ligatures w14:val="none"/>
              </w:rPr>
            </w:pPr>
          </w:p>
        </w:tc>
      </w:tr>
      <w:tr w:rsidR="008844AC" w:rsidRPr="004728B8" w14:paraId="4C4A6811"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73BA8" w14:textId="46A42ED2" w:rsidR="008844AC" w:rsidRPr="004728B8" w:rsidRDefault="008844AC" w:rsidP="008844AC">
            <w:pPr>
              <w:spacing w:after="0" w:line="240" w:lineRule="auto"/>
              <w:jc w:val="center"/>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0</w:t>
            </w:r>
            <w:r w:rsidR="00E63527">
              <w:rPr>
                <w:rFonts w:ascii="Times New Roman" w:eastAsia="Times New Roman" w:hAnsi="Times New Roman" w:cs="Times New Roman"/>
                <w:kern w:val="0"/>
                <w:lang w:eastAsia="ro-MD"/>
                <w14:ligatures w14:val="none"/>
              </w:rPr>
              <w:t>0</w:t>
            </w:r>
            <w:r w:rsidRPr="004728B8">
              <w:rPr>
                <w:rFonts w:ascii="Times New Roman" w:eastAsia="Times New Roman" w:hAnsi="Times New Roman" w:cs="Times New Roman"/>
                <w:kern w:val="0"/>
                <w:lang w:eastAsia="ro-MD"/>
                <w14:ligatures w14:val="none"/>
              </w:rPr>
              <w:t>10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84684"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Expuneri totale</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60F6B"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4728B8" w:rsidRPr="00E91D07" w14:paraId="36003D32"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7A913B" w14:textId="1ADBB199" w:rsidR="004728B8" w:rsidRPr="00E91D07" w:rsidRDefault="00E63527" w:rsidP="008844AC">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4728B8" w:rsidRPr="00E91D07">
              <w:rPr>
                <w:rFonts w:ascii="Times New Roman" w:eastAsia="Times New Roman" w:hAnsi="Times New Roman" w:cs="Times New Roman"/>
                <w:kern w:val="0"/>
                <w:lang w:eastAsia="ro-MD"/>
                <w14:ligatures w14:val="none"/>
              </w:rPr>
              <w:t>011</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99F5FD" w14:textId="47CB7413" w:rsidR="004728B8" w:rsidRPr="00E91D07" w:rsidRDefault="00C058A3" w:rsidP="00A84D2B">
            <w:pPr>
              <w:pStyle w:val="InstructionsText"/>
              <w:rPr>
                <w:rStyle w:val="InstructionsTabelleberschrift"/>
                <w:rFonts w:ascii="Times New Roman" w:hAnsi="Times New Roman"/>
                <w:sz w:val="22"/>
                <w:u w:val="none"/>
              </w:rPr>
            </w:pPr>
            <w:r>
              <w:rPr>
                <w:rStyle w:val="InstructionsTabelleberschrift"/>
                <w:rFonts w:ascii="Times New Roman" w:hAnsi="Times New Roman"/>
                <w:sz w:val="22"/>
                <w:u w:val="none"/>
              </w:rPr>
              <w:t>d</w:t>
            </w:r>
            <w:r w:rsidR="004728B8" w:rsidRPr="00E91D07">
              <w:rPr>
                <w:rStyle w:val="InstructionsTabelleberschrift"/>
                <w:rFonts w:ascii="Times New Roman" w:hAnsi="Times New Roman"/>
                <w:sz w:val="22"/>
                <w:u w:val="none"/>
              </w:rPr>
              <w:t xml:space="preserve">in care: </w:t>
            </w:r>
            <w:r>
              <w:rPr>
                <w:rStyle w:val="InstructionsTabelleberschrift"/>
                <w:rFonts w:ascii="Times New Roman" w:hAnsi="Times New Roman"/>
                <w:sz w:val="22"/>
                <w:u w:val="none"/>
              </w:rPr>
              <w:t>e</w:t>
            </w:r>
            <w:r w:rsidR="004728B8" w:rsidRPr="00E91D07">
              <w:rPr>
                <w:rStyle w:val="InstructionsTabelleberschrift"/>
                <w:rFonts w:ascii="Times New Roman" w:hAnsi="Times New Roman"/>
                <w:sz w:val="22"/>
                <w:u w:val="none"/>
              </w:rPr>
              <w:t>xpuneri față de bănci centrale</w:t>
            </w:r>
          </w:p>
          <w:p w14:paraId="12226EFC" w14:textId="12DC2A50" w:rsidR="004728B8" w:rsidRPr="00E91D07" w:rsidRDefault="009C6BF0" w:rsidP="004728B8">
            <w:pPr>
              <w:spacing w:after="0" w:line="240" w:lineRule="auto"/>
              <w:rPr>
                <w:rFonts w:ascii="Times New Roman" w:eastAsia="Times New Roman" w:hAnsi="Times New Roman" w:cs="Times New Roman"/>
                <w:b/>
                <w:bCs/>
                <w:kern w:val="0"/>
                <w:lang w:eastAsia="ro-MD"/>
                <w14:ligatures w14:val="none"/>
              </w:rPr>
            </w:pPr>
            <w:r w:rsidRPr="00E91D07">
              <w:rPr>
                <w:rFonts w:ascii="Times New Roman" w:eastAsia="Times New Roman" w:hAnsi="Times New Roman" w:cs="Times New Roman"/>
                <w:kern w:val="0"/>
                <w:lang w:eastAsia="ro-MD"/>
                <w14:ligatures w14:val="none"/>
              </w:rPr>
              <w:t>Punctul 11 subpunctul 1) din Regulamentul nr. 111/2018</w:t>
            </w:r>
            <w:r w:rsidR="004728B8" w:rsidRPr="00E91D07">
              <w:rPr>
                <w:rFonts w:ascii="Times New Roman" w:hAnsi="Times New Roman" w:cs="Times New Roman"/>
              </w:rPr>
              <w:t>.</w:t>
            </w:r>
            <w:r w:rsidR="004728B8" w:rsidRPr="00E91D07">
              <w:rPr>
                <w:rStyle w:val="InstructionsTabelleberschrift"/>
                <w:rFonts w:ascii="Times New Roman" w:hAnsi="Times New Roman"/>
                <w:sz w:val="22"/>
                <w:u w:val="none"/>
              </w:rPr>
              <w:t xml:space="preserve">  </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E087869" w14:textId="77777777" w:rsidR="004728B8" w:rsidRPr="00E91D07" w:rsidRDefault="004728B8"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637CDD7E"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7391A" w14:textId="79CEF14C" w:rsidR="008844AC" w:rsidRPr="004728B8" w:rsidRDefault="008844AC" w:rsidP="008844AC">
            <w:pPr>
              <w:spacing w:after="0" w:line="240" w:lineRule="auto"/>
              <w:jc w:val="center"/>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0</w:t>
            </w:r>
            <w:r w:rsidR="00E63527">
              <w:rPr>
                <w:rFonts w:ascii="Times New Roman" w:eastAsia="Times New Roman" w:hAnsi="Times New Roman" w:cs="Times New Roman"/>
                <w:kern w:val="0"/>
                <w:lang w:eastAsia="ro-MD"/>
                <w14:ligatures w14:val="none"/>
              </w:rPr>
              <w:t>0</w:t>
            </w:r>
            <w:r w:rsidRPr="004728B8">
              <w:rPr>
                <w:rFonts w:ascii="Times New Roman" w:eastAsia="Times New Roman" w:hAnsi="Times New Roman" w:cs="Times New Roman"/>
                <w:kern w:val="0"/>
                <w:lang w:eastAsia="ro-MD"/>
                <w14:ligatures w14:val="none"/>
              </w:rPr>
              <w:t>15</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68DFD" w14:textId="56A4648B" w:rsidR="008844AC" w:rsidRPr="00F5278C" w:rsidRDefault="008844AC" w:rsidP="008844AC">
            <w:pPr>
              <w:spacing w:after="0" w:line="240" w:lineRule="auto"/>
              <w:rPr>
                <w:rFonts w:ascii="Times New Roman" w:eastAsia="Times New Roman" w:hAnsi="Times New Roman" w:cs="Times New Roman"/>
                <w:b/>
                <w:bCs/>
                <w:kern w:val="0"/>
                <w:lang w:val="ro-RO" w:eastAsia="ro-MD"/>
                <w14:ligatures w14:val="none"/>
              </w:rPr>
            </w:pPr>
            <w:r w:rsidRPr="0001728D">
              <w:rPr>
                <w:rFonts w:ascii="Times New Roman" w:eastAsia="Times New Roman" w:hAnsi="Times New Roman" w:cs="Times New Roman"/>
                <w:b/>
                <w:bCs/>
                <w:kern w:val="0"/>
                <w:lang w:eastAsia="ro-MD"/>
                <w14:ligatures w14:val="none"/>
              </w:rPr>
              <w:t>din care: expuneri în stare de nerambursare</w:t>
            </w:r>
            <w:r w:rsidRPr="00F5278C">
              <w:rPr>
                <w:rFonts w:ascii="Times New Roman" w:eastAsia="Times New Roman" w:hAnsi="Times New Roman" w:cs="Times New Roman"/>
                <w:b/>
                <w:bCs/>
                <w:kern w:val="0"/>
                <w:lang w:eastAsia="ro-MD"/>
                <w14:ligatures w14:val="none"/>
              </w:rPr>
              <w:t xml:space="preserve"> </w:t>
            </w:r>
            <w:r w:rsidR="0001728D" w:rsidRPr="00F5278C">
              <w:rPr>
                <w:rFonts w:ascii="Times New Roman" w:eastAsia="Times New Roman" w:hAnsi="Times New Roman" w:cs="Times New Roman"/>
                <w:b/>
                <w:bCs/>
                <w:kern w:val="0"/>
                <w:lang w:eastAsia="ro-MD"/>
                <w14:ligatures w14:val="none"/>
              </w:rPr>
              <w:t xml:space="preserve">din clasa de expuneri </w:t>
            </w:r>
            <w:r w:rsidR="0001728D" w:rsidRPr="00F5278C">
              <w:rPr>
                <w:rFonts w:ascii="Times New Roman" w:eastAsia="Times New Roman" w:hAnsi="Times New Roman" w:cs="Times New Roman"/>
                <w:b/>
                <w:bCs/>
                <w:kern w:val="0"/>
                <w:lang w:val="ro-RO" w:eastAsia="ro-MD"/>
                <w14:ligatures w14:val="none"/>
              </w:rPr>
              <w:t>„OPC</w:t>
            </w:r>
            <w:r w:rsidR="0001728D">
              <w:rPr>
                <w:rFonts w:ascii="Times New Roman" w:eastAsia="Times New Roman" w:hAnsi="Times New Roman" w:cs="Times New Roman"/>
                <w:b/>
                <w:bCs/>
                <w:kern w:val="0"/>
                <w:lang w:val="ro-RO" w:eastAsia="ro-MD"/>
                <w14:ligatures w14:val="none"/>
              </w:rPr>
              <w:t>-</w:t>
            </w:r>
            <w:r w:rsidR="0001728D" w:rsidRPr="00F5278C">
              <w:rPr>
                <w:rFonts w:ascii="Times New Roman" w:eastAsia="Times New Roman" w:hAnsi="Times New Roman" w:cs="Times New Roman"/>
                <w:b/>
                <w:bCs/>
                <w:kern w:val="0"/>
                <w:lang w:val="ro-RO" w:eastAsia="ro-MD"/>
                <w14:ligatures w14:val="none"/>
              </w:rPr>
              <w:t>uri” și „expuneri provenind din titluri de capital”</w:t>
            </w:r>
          </w:p>
          <w:p w14:paraId="14660BFC" w14:textId="77777777" w:rsidR="00052914" w:rsidRDefault="008844AC" w:rsidP="008844AC">
            <w:pPr>
              <w:spacing w:after="0" w:line="240" w:lineRule="auto"/>
              <w:rPr>
                <w:rFonts w:ascii="Times New Roman" w:eastAsia="Times New Roman" w:hAnsi="Times New Roman" w:cs="Times New Roman"/>
                <w:kern w:val="0"/>
                <w:lang w:eastAsia="ro-MD"/>
                <w14:ligatures w14:val="none"/>
              </w:rPr>
            </w:pPr>
            <w:r w:rsidRPr="0001728D">
              <w:rPr>
                <w:rFonts w:ascii="Times New Roman" w:eastAsia="Times New Roman" w:hAnsi="Times New Roman" w:cs="Times New Roman"/>
                <w:kern w:val="0"/>
                <w:lang w:eastAsia="ro-MD"/>
                <w14:ligatures w14:val="none"/>
              </w:rPr>
              <w:t xml:space="preserve">Punctele 73-75 din Regulamentul </w:t>
            </w:r>
            <w:r w:rsidR="00715D23">
              <w:rPr>
                <w:rFonts w:ascii="Times New Roman" w:eastAsia="Times New Roman" w:hAnsi="Times New Roman" w:cs="Times New Roman"/>
                <w:kern w:val="0"/>
                <w:lang w:eastAsia="ro-MD"/>
                <w14:ligatures w14:val="none"/>
              </w:rPr>
              <w:t>nr. 111/2018</w:t>
            </w:r>
          </w:p>
          <w:p w14:paraId="4B2E9FB0" w14:textId="7876AFB2" w:rsidR="008844AC" w:rsidRPr="0001728D" w:rsidRDefault="008844AC" w:rsidP="008844AC">
            <w:pPr>
              <w:spacing w:after="0" w:line="240" w:lineRule="auto"/>
              <w:rPr>
                <w:rFonts w:ascii="Times New Roman" w:eastAsia="Times New Roman" w:hAnsi="Times New Roman" w:cs="Times New Roman"/>
                <w:kern w:val="0"/>
                <w:lang w:eastAsia="ro-MD"/>
                <w14:ligatures w14:val="none"/>
              </w:rPr>
            </w:pPr>
            <w:r w:rsidRPr="0001728D">
              <w:rPr>
                <w:rFonts w:ascii="Times New Roman" w:eastAsia="Times New Roman" w:hAnsi="Times New Roman" w:cs="Times New Roman"/>
                <w:kern w:val="0"/>
                <w:lang w:eastAsia="ro-MD"/>
                <w14:ligatures w14:val="none"/>
              </w:rPr>
              <w:t xml:space="preserve">Acest rând se raportează numai în clasele </w:t>
            </w:r>
            <w:r w:rsidR="00052914">
              <w:rPr>
                <w:rFonts w:ascii="Times New Roman" w:eastAsia="Times New Roman" w:hAnsi="Times New Roman" w:cs="Times New Roman"/>
                <w:kern w:val="0"/>
                <w:lang w:eastAsia="ro-MD"/>
                <w14:ligatures w14:val="none"/>
              </w:rPr>
              <w:t>„</w:t>
            </w:r>
            <w:r w:rsidR="005159A6" w:rsidRPr="00052914">
              <w:rPr>
                <w:rFonts w:ascii="Times New Roman" w:eastAsia="Times New Roman" w:hAnsi="Times New Roman" w:cs="Times New Roman"/>
                <w:kern w:val="0"/>
                <w:lang w:eastAsia="ro-MD"/>
                <w14:ligatures w14:val="none"/>
              </w:rPr>
              <w:t>Expuneri sub formă de unități sau acțiuni deținute în organisme de plasament colectiv (OPC</w:t>
            </w:r>
            <w:r w:rsidR="005159A6">
              <w:rPr>
                <w:rFonts w:ascii="Times New Roman" w:eastAsia="Times New Roman" w:hAnsi="Times New Roman" w:cs="Times New Roman"/>
                <w:kern w:val="0"/>
                <w:lang w:eastAsia="ro-MD"/>
                <w14:ligatures w14:val="none"/>
              </w:rPr>
              <w:t>)</w:t>
            </w:r>
            <w:r w:rsidR="00052914">
              <w:rPr>
                <w:rFonts w:ascii="Times New Roman" w:eastAsia="Times New Roman" w:hAnsi="Times New Roman" w:cs="Times New Roman"/>
                <w:kern w:val="0"/>
                <w:lang w:eastAsia="ro-MD"/>
                <w14:ligatures w14:val="none"/>
              </w:rPr>
              <w:t>”</w:t>
            </w:r>
            <w:r w:rsidRPr="0001728D">
              <w:rPr>
                <w:rFonts w:ascii="Times New Roman" w:eastAsia="Times New Roman" w:hAnsi="Times New Roman" w:cs="Times New Roman"/>
                <w:kern w:val="0"/>
                <w:lang w:eastAsia="ro-MD"/>
                <w14:ligatures w14:val="none"/>
              </w:rPr>
              <w:t xml:space="preserve"> </w:t>
            </w:r>
            <w:proofErr w:type="spellStart"/>
            <w:r w:rsidRPr="0001728D">
              <w:rPr>
                <w:rFonts w:ascii="Times New Roman" w:eastAsia="Times New Roman" w:hAnsi="Times New Roman" w:cs="Times New Roman"/>
                <w:kern w:val="0"/>
                <w:lang w:eastAsia="ro-MD"/>
                <w14:ligatures w14:val="none"/>
              </w:rPr>
              <w:t>şi</w:t>
            </w:r>
            <w:proofErr w:type="spellEnd"/>
            <w:r w:rsidRPr="0001728D">
              <w:rPr>
                <w:rFonts w:ascii="Times New Roman" w:eastAsia="Times New Roman" w:hAnsi="Times New Roman" w:cs="Times New Roman"/>
                <w:kern w:val="0"/>
                <w:lang w:eastAsia="ro-MD"/>
                <w14:ligatures w14:val="none"/>
              </w:rPr>
              <w:t xml:space="preserve"> </w:t>
            </w:r>
            <w:r w:rsidR="00052914">
              <w:rPr>
                <w:rFonts w:ascii="Times New Roman" w:eastAsia="Times New Roman" w:hAnsi="Times New Roman" w:cs="Times New Roman"/>
                <w:kern w:val="0"/>
                <w:lang w:eastAsia="ro-MD"/>
                <w14:ligatures w14:val="none"/>
              </w:rPr>
              <w:t>„</w:t>
            </w:r>
            <w:r w:rsidRPr="0001728D">
              <w:rPr>
                <w:rFonts w:ascii="Times New Roman" w:eastAsia="Times New Roman" w:hAnsi="Times New Roman" w:cs="Times New Roman"/>
                <w:kern w:val="0"/>
                <w:lang w:eastAsia="ro-MD"/>
                <w14:ligatures w14:val="none"/>
              </w:rPr>
              <w:t>Expuneri provenind din titluri de capital</w:t>
            </w:r>
            <w:r w:rsidR="00052914">
              <w:rPr>
                <w:rFonts w:ascii="Times New Roman" w:eastAsia="Times New Roman" w:hAnsi="Times New Roman" w:cs="Times New Roman"/>
                <w:kern w:val="0"/>
                <w:lang w:eastAsia="ro-MD"/>
                <w14:ligatures w14:val="none"/>
              </w:rPr>
              <w:t>”</w:t>
            </w:r>
            <w:r w:rsidRPr="0001728D">
              <w:rPr>
                <w:rFonts w:ascii="Times New Roman" w:eastAsia="Times New Roman" w:hAnsi="Times New Roman" w:cs="Times New Roman"/>
                <w:kern w:val="0"/>
                <w:lang w:eastAsia="ro-MD"/>
                <w14:ligatures w14:val="none"/>
              </w:rPr>
              <w:t>.</w:t>
            </w:r>
          </w:p>
          <w:p w14:paraId="56B0FE93" w14:textId="62CE7B31" w:rsidR="008844AC" w:rsidRPr="0001728D" w:rsidRDefault="005159A6"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O</w:t>
            </w:r>
            <w:r w:rsidR="008844AC" w:rsidRPr="0001728D">
              <w:rPr>
                <w:rFonts w:ascii="Times New Roman" w:eastAsia="Times New Roman" w:hAnsi="Times New Roman" w:cs="Times New Roman"/>
                <w:kern w:val="0"/>
                <w:lang w:eastAsia="ro-MD"/>
                <w14:ligatures w14:val="none"/>
              </w:rPr>
              <w:t xml:space="preserve"> expunere enumerată la punctul </w:t>
            </w:r>
            <w:r>
              <w:rPr>
                <w:rFonts w:ascii="Times New Roman" w:eastAsia="Times New Roman" w:hAnsi="Times New Roman" w:cs="Times New Roman"/>
                <w:kern w:val="0"/>
                <w:lang w:eastAsia="ro-MD"/>
                <w14:ligatures w14:val="none"/>
              </w:rPr>
              <w:t>11 subpunctul 14)</w:t>
            </w:r>
            <w:r w:rsidR="008844AC" w:rsidRPr="0001728D">
              <w:rPr>
                <w:rFonts w:ascii="Times New Roman" w:eastAsia="Times New Roman" w:hAnsi="Times New Roman" w:cs="Times New Roman"/>
                <w:kern w:val="0"/>
                <w:lang w:eastAsia="ro-MD"/>
                <w14:ligatures w14:val="none"/>
              </w:rPr>
              <w:t xml:space="preserve"> din Regulamentul </w:t>
            </w:r>
            <w:r>
              <w:rPr>
                <w:rFonts w:ascii="Times New Roman" w:eastAsia="Times New Roman" w:hAnsi="Times New Roman" w:cs="Times New Roman"/>
                <w:kern w:val="0"/>
                <w:lang w:eastAsia="ro-MD"/>
                <w14:ligatures w14:val="none"/>
              </w:rPr>
              <w:t>nr. 111/2018</w:t>
            </w:r>
            <w:r w:rsidR="00052914">
              <w:rPr>
                <w:rFonts w:ascii="Times New Roman" w:eastAsia="Times New Roman" w:hAnsi="Times New Roman" w:cs="Times New Roman"/>
                <w:kern w:val="0"/>
                <w:lang w:eastAsia="ro-MD"/>
                <w14:ligatures w14:val="none"/>
              </w:rPr>
              <w:t xml:space="preserve"> </w:t>
            </w:r>
            <w:r>
              <w:rPr>
                <w:rFonts w:ascii="Times New Roman" w:eastAsia="Times New Roman" w:hAnsi="Times New Roman" w:cs="Times New Roman"/>
                <w:kern w:val="0"/>
                <w:lang w:eastAsia="ro-MD"/>
                <w14:ligatures w14:val="none"/>
              </w:rPr>
              <w:t xml:space="preserve">trebuie încadrată în clasa de expuneri „OPC”, iar o expunere enumerată la  </w:t>
            </w:r>
            <w:r w:rsidR="008844AC" w:rsidRPr="0001728D">
              <w:rPr>
                <w:rFonts w:ascii="Times New Roman" w:eastAsia="Times New Roman" w:hAnsi="Times New Roman" w:cs="Times New Roman"/>
                <w:kern w:val="0"/>
                <w:lang w:eastAsia="ro-MD"/>
                <w14:ligatures w14:val="none"/>
              </w:rPr>
              <w:t>punctele 84-</w:t>
            </w:r>
            <w:r w:rsidR="008844AC" w:rsidRPr="00EA59DC">
              <w:rPr>
                <w:rFonts w:ascii="Times New Roman" w:eastAsia="Times New Roman" w:hAnsi="Times New Roman" w:cs="Times New Roman"/>
                <w:kern w:val="0"/>
                <w:lang w:eastAsia="ro-MD"/>
                <w14:ligatures w14:val="none"/>
              </w:rPr>
              <w:t>86</w:t>
            </w:r>
            <w:r w:rsidRPr="00EA59DC">
              <w:rPr>
                <w:rFonts w:ascii="Times New Roman" w:eastAsia="Times New Roman" w:hAnsi="Times New Roman" w:cs="Times New Roman"/>
                <w:kern w:val="0"/>
                <w:vertAlign w:val="superscript"/>
                <w:lang w:eastAsia="ro-MD"/>
                <w14:ligatures w14:val="none"/>
              </w:rPr>
              <w:t>6</w:t>
            </w:r>
            <w:r w:rsidR="008844AC" w:rsidRPr="00EA59DC">
              <w:rPr>
                <w:rFonts w:ascii="Times New Roman" w:eastAsia="Times New Roman" w:hAnsi="Times New Roman" w:cs="Times New Roman"/>
                <w:kern w:val="0"/>
                <w:lang w:eastAsia="ro-MD"/>
                <w14:ligatures w14:val="none"/>
              </w:rPr>
              <w:t xml:space="preserve"> din</w:t>
            </w:r>
            <w:r w:rsidR="008844AC" w:rsidRPr="0001728D">
              <w:rPr>
                <w:rFonts w:ascii="Times New Roman" w:eastAsia="Times New Roman" w:hAnsi="Times New Roman" w:cs="Times New Roman"/>
                <w:kern w:val="0"/>
                <w:lang w:eastAsia="ro-MD"/>
                <w14:ligatures w14:val="none"/>
              </w:rPr>
              <w:t xml:space="preserve"> regulamentul </w:t>
            </w:r>
            <w:proofErr w:type="spellStart"/>
            <w:r w:rsidR="008844AC" w:rsidRPr="0001728D">
              <w:rPr>
                <w:rFonts w:ascii="Times New Roman" w:eastAsia="Times New Roman" w:hAnsi="Times New Roman" w:cs="Times New Roman"/>
                <w:kern w:val="0"/>
                <w:lang w:eastAsia="ro-MD"/>
                <w14:ligatures w14:val="none"/>
              </w:rPr>
              <w:t>menţionat</w:t>
            </w:r>
            <w:proofErr w:type="spellEnd"/>
            <w:r w:rsidR="008844AC" w:rsidRPr="0001728D">
              <w:rPr>
                <w:rFonts w:ascii="Times New Roman" w:eastAsia="Times New Roman" w:hAnsi="Times New Roman" w:cs="Times New Roman"/>
                <w:kern w:val="0"/>
                <w:lang w:eastAsia="ro-MD"/>
                <w14:ligatures w14:val="none"/>
              </w:rPr>
              <w:t xml:space="preserve">, </w:t>
            </w:r>
            <w:r>
              <w:rPr>
                <w:rFonts w:ascii="Times New Roman" w:eastAsia="Times New Roman" w:hAnsi="Times New Roman" w:cs="Times New Roman"/>
                <w:kern w:val="0"/>
                <w:lang w:eastAsia="ro-MD"/>
                <w14:ligatures w14:val="none"/>
              </w:rPr>
              <w:t>trebuie încadrată în</w:t>
            </w:r>
            <w:r w:rsidR="008844AC" w:rsidRPr="0001728D">
              <w:rPr>
                <w:rFonts w:ascii="Times New Roman" w:eastAsia="Times New Roman" w:hAnsi="Times New Roman" w:cs="Times New Roman"/>
                <w:kern w:val="0"/>
                <w:lang w:eastAsia="ro-MD"/>
                <w14:ligatures w14:val="none"/>
              </w:rPr>
              <w:t xml:space="preserve"> clas</w:t>
            </w:r>
            <w:r>
              <w:rPr>
                <w:rFonts w:ascii="Times New Roman" w:eastAsia="Times New Roman" w:hAnsi="Times New Roman" w:cs="Times New Roman"/>
                <w:kern w:val="0"/>
                <w:lang w:eastAsia="ro-MD"/>
                <w14:ligatures w14:val="none"/>
              </w:rPr>
              <w:t>a</w:t>
            </w:r>
            <w:r w:rsidR="008844AC" w:rsidRPr="0001728D">
              <w:rPr>
                <w:rFonts w:ascii="Times New Roman" w:eastAsia="Times New Roman" w:hAnsi="Times New Roman" w:cs="Times New Roman"/>
                <w:kern w:val="0"/>
                <w:lang w:eastAsia="ro-MD"/>
                <w14:ligatures w14:val="none"/>
              </w:rPr>
              <w:t xml:space="preserve"> de expuneri </w:t>
            </w:r>
            <w:r>
              <w:rPr>
                <w:rFonts w:ascii="Times New Roman" w:eastAsia="Times New Roman" w:hAnsi="Times New Roman" w:cs="Times New Roman"/>
                <w:kern w:val="0"/>
                <w:lang w:eastAsia="ro-MD"/>
                <w14:ligatures w14:val="none"/>
              </w:rPr>
              <w:t>„</w:t>
            </w:r>
            <w:r w:rsidR="008844AC" w:rsidRPr="0001728D">
              <w:rPr>
                <w:rFonts w:ascii="Times New Roman" w:eastAsia="Times New Roman" w:hAnsi="Times New Roman" w:cs="Times New Roman"/>
                <w:kern w:val="0"/>
                <w:lang w:eastAsia="ro-MD"/>
                <w14:ligatures w14:val="none"/>
              </w:rPr>
              <w:t>Expuneri provenind din titluri de capital</w:t>
            </w:r>
            <w:r>
              <w:rPr>
                <w:rFonts w:ascii="Times New Roman" w:eastAsia="Times New Roman" w:hAnsi="Times New Roman" w:cs="Times New Roman"/>
                <w:kern w:val="0"/>
                <w:lang w:eastAsia="ro-MD"/>
                <w14:ligatures w14:val="none"/>
              </w:rPr>
              <w:t>”</w:t>
            </w:r>
            <w:r w:rsidR="008844AC" w:rsidRPr="0001728D">
              <w:rPr>
                <w:rFonts w:ascii="Times New Roman" w:eastAsia="Times New Roman" w:hAnsi="Times New Roman" w:cs="Times New Roman"/>
                <w:kern w:val="0"/>
                <w:lang w:eastAsia="ro-MD"/>
                <w14:ligatures w14:val="none"/>
              </w:rPr>
              <w:t xml:space="preserve">. Prin urmare, nu ar trebui efectuată nicio altă alocare, chiar dacă expunerea este în stare de nerambursare în conformitate cu punctele 73-75 din Regulamentul </w:t>
            </w:r>
            <w:r w:rsidR="000B701E">
              <w:rPr>
                <w:rFonts w:ascii="Times New Roman" w:eastAsia="Times New Roman" w:hAnsi="Times New Roman" w:cs="Times New Roman"/>
                <w:kern w:val="0"/>
                <w:lang w:eastAsia="ro-MD"/>
                <w14:ligatures w14:val="none"/>
              </w:rPr>
              <w:t>nr. 111/2018</w:t>
            </w:r>
            <w:r w:rsidR="008844AC" w:rsidRPr="0001728D">
              <w:rPr>
                <w:rFonts w:ascii="Times New Roman" w:eastAsia="Times New Roman" w:hAnsi="Times New Roman" w:cs="Times New Roman"/>
                <w:kern w:val="0"/>
                <w:lang w:eastAsia="ro-MD"/>
                <w14:ligatures w14:val="none"/>
              </w:rPr>
              <w:t>.</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32CDC"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606E88E2"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A285A" w14:textId="1E7355F8" w:rsidR="008844AC" w:rsidRPr="004728B8"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4728B8">
              <w:rPr>
                <w:rFonts w:ascii="Times New Roman" w:eastAsia="Times New Roman" w:hAnsi="Times New Roman" w:cs="Times New Roman"/>
                <w:kern w:val="0"/>
                <w:lang w:eastAsia="ro-MD"/>
                <w14:ligatures w14:val="none"/>
              </w:rPr>
              <w:t>020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AEF04"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din care: IMM-uri</w:t>
            </w:r>
            <w:r w:rsidRPr="004728B8">
              <w:rPr>
                <w:rFonts w:ascii="Times New Roman" w:eastAsia="Times New Roman" w:hAnsi="Times New Roman" w:cs="Times New Roman"/>
                <w:kern w:val="0"/>
                <w:lang w:eastAsia="ro-MD"/>
                <w14:ligatures w14:val="none"/>
              </w:rPr>
              <w:t xml:space="preserve"> </w:t>
            </w:r>
          </w:p>
          <w:p w14:paraId="38B062FE"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Toate expunerile </w:t>
            </w:r>
            <w:proofErr w:type="spellStart"/>
            <w:r w:rsidRPr="004728B8">
              <w:rPr>
                <w:rFonts w:ascii="Times New Roman" w:eastAsia="Times New Roman" w:hAnsi="Times New Roman" w:cs="Times New Roman"/>
                <w:kern w:val="0"/>
                <w:lang w:eastAsia="ro-MD"/>
                <w14:ligatures w14:val="none"/>
              </w:rPr>
              <w:t>faţă</w:t>
            </w:r>
            <w:proofErr w:type="spellEnd"/>
            <w:r w:rsidRPr="004728B8">
              <w:rPr>
                <w:rFonts w:ascii="Times New Roman" w:eastAsia="Times New Roman" w:hAnsi="Times New Roman" w:cs="Times New Roman"/>
                <w:kern w:val="0"/>
                <w:lang w:eastAsia="ro-MD"/>
                <w14:ligatures w14:val="none"/>
              </w:rPr>
              <w:t xml:space="preserve"> de IMM-uri se raportează aici.</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26B62"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4728B8" w14:paraId="5B0ACC1B"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630BA" w14:textId="7CA1E839" w:rsidR="008844AC" w:rsidRPr="004728B8"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4728B8">
              <w:rPr>
                <w:rFonts w:ascii="Times New Roman" w:eastAsia="Times New Roman" w:hAnsi="Times New Roman" w:cs="Times New Roman"/>
                <w:kern w:val="0"/>
                <w:lang w:eastAsia="ro-MD"/>
                <w14:ligatures w14:val="none"/>
              </w:rPr>
              <w:t>030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81541" w14:textId="06DCE625"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b/>
                <w:bCs/>
                <w:kern w:val="0"/>
                <w:lang w:eastAsia="ro-MD"/>
                <w14:ligatures w14:val="none"/>
              </w:rPr>
              <w:t xml:space="preserve">din care: </w:t>
            </w:r>
            <w:r w:rsidR="00C058A3">
              <w:rPr>
                <w:rFonts w:ascii="Times New Roman" w:eastAsia="Times New Roman" w:hAnsi="Times New Roman" w:cs="Times New Roman"/>
                <w:b/>
                <w:bCs/>
                <w:kern w:val="0"/>
                <w:lang w:eastAsia="ro-MD"/>
                <w14:ligatures w14:val="none"/>
              </w:rPr>
              <w:t>e</w:t>
            </w:r>
            <w:r w:rsidRPr="004728B8">
              <w:rPr>
                <w:rFonts w:ascii="Times New Roman" w:eastAsia="Times New Roman" w:hAnsi="Times New Roman" w:cs="Times New Roman"/>
                <w:b/>
                <w:bCs/>
                <w:kern w:val="0"/>
                <w:lang w:eastAsia="ro-MD"/>
                <w14:ligatures w14:val="none"/>
              </w:rPr>
              <w:t xml:space="preserve">xpuneri aflate sub </w:t>
            </w:r>
            <w:proofErr w:type="spellStart"/>
            <w:r w:rsidRPr="004728B8">
              <w:rPr>
                <w:rFonts w:ascii="Times New Roman" w:eastAsia="Times New Roman" w:hAnsi="Times New Roman" w:cs="Times New Roman"/>
                <w:b/>
                <w:bCs/>
                <w:kern w:val="0"/>
                <w:lang w:eastAsia="ro-MD"/>
                <w14:ligatures w14:val="none"/>
              </w:rPr>
              <w:t>incidenţa</w:t>
            </w:r>
            <w:proofErr w:type="spellEnd"/>
            <w:r w:rsidRPr="004728B8">
              <w:rPr>
                <w:rFonts w:ascii="Times New Roman" w:eastAsia="Times New Roman" w:hAnsi="Times New Roman" w:cs="Times New Roman"/>
                <w:b/>
                <w:bCs/>
                <w:kern w:val="0"/>
                <w:lang w:eastAsia="ro-MD"/>
                <w14:ligatures w14:val="none"/>
              </w:rPr>
              <w:t xml:space="preserve"> factorului de sprijinire a IMM-urilor</w:t>
            </w:r>
            <w:r w:rsidRPr="004728B8">
              <w:rPr>
                <w:rFonts w:ascii="Times New Roman" w:eastAsia="Times New Roman" w:hAnsi="Times New Roman" w:cs="Times New Roman"/>
                <w:kern w:val="0"/>
                <w:lang w:eastAsia="ro-MD"/>
                <w14:ligatures w14:val="none"/>
              </w:rPr>
              <w:t xml:space="preserve"> </w:t>
            </w:r>
          </w:p>
          <w:p w14:paraId="6F24359A" w14:textId="2658E390"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r w:rsidRPr="004728B8">
              <w:rPr>
                <w:rFonts w:ascii="Times New Roman" w:eastAsia="Times New Roman" w:hAnsi="Times New Roman" w:cs="Times New Roman"/>
                <w:kern w:val="0"/>
                <w:lang w:eastAsia="ro-MD"/>
                <w14:ligatures w14:val="none"/>
              </w:rPr>
              <w:t xml:space="preserve">Numai expunerile care îndeplinesc </w:t>
            </w:r>
            <w:proofErr w:type="spellStart"/>
            <w:r w:rsidRPr="004728B8">
              <w:rPr>
                <w:rFonts w:ascii="Times New Roman" w:eastAsia="Times New Roman" w:hAnsi="Times New Roman" w:cs="Times New Roman"/>
                <w:kern w:val="0"/>
                <w:lang w:eastAsia="ro-MD"/>
                <w14:ligatures w14:val="none"/>
              </w:rPr>
              <w:t>cerinţele</w:t>
            </w:r>
            <w:proofErr w:type="spellEnd"/>
            <w:r w:rsidRPr="004728B8">
              <w:rPr>
                <w:rFonts w:ascii="Times New Roman" w:eastAsia="Times New Roman" w:hAnsi="Times New Roman" w:cs="Times New Roman"/>
                <w:kern w:val="0"/>
                <w:lang w:eastAsia="ro-MD"/>
                <w14:ligatures w14:val="none"/>
              </w:rPr>
              <w:t xml:space="preserve"> de la capitolul V din Regulamentul </w:t>
            </w:r>
            <w:r w:rsidR="000B701E">
              <w:rPr>
                <w:rFonts w:ascii="Times New Roman" w:eastAsia="Times New Roman" w:hAnsi="Times New Roman" w:cs="Times New Roman"/>
                <w:kern w:val="0"/>
                <w:lang w:eastAsia="ro-MD"/>
                <w14:ligatures w14:val="none"/>
              </w:rPr>
              <w:t>nr. 111/2018</w:t>
            </w:r>
            <w:r w:rsidRPr="004728B8">
              <w:rPr>
                <w:rFonts w:ascii="Times New Roman" w:eastAsia="Times New Roman" w:hAnsi="Times New Roman" w:cs="Times New Roman"/>
                <w:kern w:val="0"/>
                <w:lang w:eastAsia="ro-MD"/>
                <w14:ligatures w14:val="none"/>
              </w:rPr>
              <w:t>.</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950BA" w14:textId="77777777" w:rsidR="008844AC" w:rsidRPr="004728B8" w:rsidRDefault="008844AC" w:rsidP="008844AC">
            <w:pPr>
              <w:spacing w:after="0" w:line="240" w:lineRule="auto"/>
              <w:rPr>
                <w:rFonts w:ascii="Times New Roman" w:eastAsia="Times New Roman" w:hAnsi="Times New Roman" w:cs="Times New Roman"/>
                <w:kern w:val="0"/>
                <w:lang w:eastAsia="ro-MD"/>
                <w14:ligatures w14:val="none"/>
              </w:rPr>
            </w:pPr>
          </w:p>
        </w:tc>
      </w:tr>
      <w:tr w:rsidR="0001728D" w:rsidRPr="00E91D07" w14:paraId="0132C38F"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677541F" w14:textId="03FB6147" w:rsidR="0001728D" w:rsidRPr="00E91D07" w:rsidRDefault="00E63527" w:rsidP="008844AC">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01728D" w:rsidRPr="00E91D07">
              <w:rPr>
                <w:rFonts w:ascii="Times New Roman" w:eastAsia="Times New Roman" w:hAnsi="Times New Roman" w:cs="Times New Roman"/>
                <w:kern w:val="0"/>
                <w:lang w:eastAsia="ro-MD"/>
                <w14:ligatures w14:val="none"/>
              </w:rPr>
              <w:t>035</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15CC71A" w14:textId="5F41B72D" w:rsidR="0001728D" w:rsidRPr="00E91D07" w:rsidRDefault="0001728D" w:rsidP="00A84D2B">
            <w:pPr>
              <w:pStyle w:val="InstructionsText"/>
              <w:rPr>
                <w:rStyle w:val="InstructionsTabelleberschrift"/>
                <w:rFonts w:ascii="Times New Roman" w:hAnsi="Times New Roman"/>
                <w:sz w:val="22"/>
                <w:u w:val="none"/>
              </w:rPr>
            </w:pPr>
            <w:r w:rsidRPr="00E91D07">
              <w:rPr>
                <w:rStyle w:val="InstructionsTabelleberschrift"/>
                <w:rFonts w:ascii="Times New Roman" w:hAnsi="Times New Roman"/>
                <w:sz w:val="22"/>
                <w:u w:val="none"/>
              </w:rPr>
              <w:t>din care: expuneri aflate sub incidența factorului de sprijinire a infrastructurii</w:t>
            </w:r>
          </w:p>
          <w:p w14:paraId="5AE32B43" w14:textId="7312B769" w:rsidR="0001728D" w:rsidRPr="00E91D07" w:rsidRDefault="0001728D" w:rsidP="0001728D">
            <w:pPr>
              <w:spacing w:after="0" w:line="240" w:lineRule="auto"/>
              <w:rPr>
                <w:rFonts w:ascii="Times New Roman" w:eastAsia="Times New Roman" w:hAnsi="Times New Roman" w:cs="Times New Roman"/>
                <w:b/>
                <w:bCs/>
                <w:kern w:val="0"/>
                <w:lang w:eastAsia="ro-MD"/>
                <w14:ligatures w14:val="none"/>
              </w:rPr>
            </w:pPr>
            <w:r w:rsidRPr="00E91D07">
              <w:rPr>
                <w:rFonts w:ascii="Times New Roman" w:hAnsi="Times New Roman" w:cs="Times New Roman"/>
              </w:rPr>
              <w:t xml:space="preserve">Numai expunerile care îndeplinesc cerințele de la </w:t>
            </w:r>
            <w:r w:rsidR="000B701E" w:rsidRPr="00E91D07">
              <w:rPr>
                <w:rFonts w:ascii="Times New Roman" w:hAnsi="Times New Roman" w:cs="Times New Roman"/>
              </w:rPr>
              <w:t>capitolul V</w:t>
            </w:r>
            <w:r w:rsidR="000B701E" w:rsidRPr="00E91D07">
              <w:rPr>
                <w:rFonts w:ascii="Times New Roman" w:hAnsi="Times New Roman" w:cs="Times New Roman"/>
                <w:vertAlign w:val="superscript"/>
              </w:rPr>
              <w:t>1</w:t>
            </w:r>
            <w:r w:rsidRPr="00E91D07">
              <w:rPr>
                <w:rFonts w:ascii="Times New Roman" w:hAnsi="Times New Roman" w:cs="Times New Roman"/>
              </w:rPr>
              <w:t xml:space="preserve"> din Regulamentul nr. </w:t>
            </w:r>
            <w:r w:rsidR="000B701E" w:rsidRPr="00E91D07">
              <w:rPr>
                <w:rFonts w:ascii="Times New Roman" w:hAnsi="Times New Roman" w:cs="Times New Roman"/>
              </w:rPr>
              <w:t>111</w:t>
            </w:r>
            <w:r w:rsidRPr="00E91D07">
              <w:rPr>
                <w:rFonts w:ascii="Times New Roman" w:hAnsi="Times New Roman" w:cs="Times New Roman"/>
              </w:rPr>
              <w:t>/201</w:t>
            </w:r>
            <w:r w:rsidR="000B701E" w:rsidRPr="00E91D07">
              <w:rPr>
                <w:rFonts w:ascii="Times New Roman" w:hAnsi="Times New Roman" w:cs="Times New Roman"/>
              </w:rPr>
              <w:t>8</w:t>
            </w:r>
            <w:r w:rsidRPr="00E91D07">
              <w:rPr>
                <w:rFonts w:ascii="Times New Roman" w:hAnsi="Times New Roman" w:cs="Times New Roman"/>
              </w:rPr>
              <w:t xml:space="preserve"> se raportează aici.</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FF88DF" w14:textId="77777777" w:rsidR="0001728D" w:rsidRPr="00E91D07" w:rsidRDefault="0001728D" w:rsidP="008844AC">
            <w:pPr>
              <w:spacing w:after="0" w:line="240" w:lineRule="auto"/>
              <w:rPr>
                <w:rFonts w:ascii="Times New Roman" w:eastAsia="Times New Roman" w:hAnsi="Times New Roman" w:cs="Times New Roman"/>
                <w:kern w:val="0"/>
                <w:lang w:eastAsia="ro-MD"/>
                <w14:ligatures w14:val="none"/>
              </w:rPr>
            </w:pPr>
          </w:p>
        </w:tc>
      </w:tr>
      <w:tr w:rsidR="008844AC" w:rsidRPr="00E91D07" w14:paraId="4563042E"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7B504" w14:textId="48C688DA" w:rsidR="008844AC" w:rsidRPr="00E91D07" w:rsidRDefault="00E63527" w:rsidP="008844AC">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8844AC" w:rsidRPr="00E91D07">
              <w:rPr>
                <w:rFonts w:ascii="Times New Roman" w:eastAsia="Times New Roman" w:hAnsi="Times New Roman" w:cs="Times New Roman"/>
                <w:kern w:val="0"/>
                <w:lang w:eastAsia="ro-MD"/>
                <w14:ligatures w14:val="none"/>
              </w:rPr>
              <w:t>050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9F693" w14:textId="156F18AC" w:rsidR="008844AC" w:rsidRPr="00E91D07" w:rsidRDefault="008844AC" w:rsidP="008844AC">
            <w:pPr>
              <w:spacing w:after="0" w:line="240" w:lineRule="auto"/>
              <w:rPr>
                <w:rFonts w:ascii="Times New Roman" w:eastAsia="Times New Roman" w:hAnsi="Times New Roman" w:cs="Times New Roman"/>
                <w:b/>
                <w:bCs/>
                <w:kern w:val="0"/>
                <w:lang w:eastAsia="ro-MD"/>
                <w14:ligatures w14:val="none"/>
              </w:rPr>
            </w:pPr>
            <w:r w:rsidRPr="00E91D07">
              <w:rPr>
                <w:rFonts w:ascii="Times New Roman" w:eastAsia="Times New Roman" w:hAnsi="Times New Roman" w:cs="Times New Roman"/>
                <w:b/>
                <w:bCs/>
                <w:kern w:val="0"/>
                <w:lang w:eastAsia="ro-MD"/>
                <w14:ligatures w14:val="none"/>
              </w:rPr>
              <w:t xml:space="preserve">din care: </w:t>
            </w:r>
            <w:r w:rsidR="00C058A3">
              <w:rPr>
                <w:rFonts w:ascii="Times New Roman" w:eastAsia="Times New Roman" w:hAnsi="Times New Roman" w:cs="Times New Roman"/>
                <w:b/>
                <w:bCs/>
                <w:kern w:val="0"/>
                <w:lang w:eastAsia="ro-MD"/>
                <w14:ligatures w14:val="none"/>
              </w:rPr>
              <w:t>e</w:t>
            </w:r>
            <w:r w:rsidRPr="00E91D07">
              <w:rPr>
                <w:rFonts w:ascii="Times New Roman" w:eastAsia="Times New Roman" w:hAnsi="Times New Roman" w:cs="Times New Roman"/>
                <w:b/>
                <w:bCs/>
                <w:kern w:val="0"/>
                <w:lang w:eastAsia="ro-MD"/>
                <w14:ligatures w14:val="none"/>
              </w:rPr>
              <w:t xml:space="preserve">xpuneri aflate sub </w:t>
            </w:r>
            <w:proofErr w:type="spellStart"/>
            <w:r w:rsidRPr="00E91D07">
              <w:rPr>
                <w:rFonts w:ascii="Times New Roman" w:eastAsia="Times New Roman" w:hAnsi="Times New Roman" w:cs="Times New Roman"/>
                <w:b/>
                <w:bCs/>
                <w:kern w:val="0"/>
                <w:lang w:eastAsia="ro-MD"/>
                <w14:ligatures w14:val="none"/>
              </w:rPr>
              <w:t>incidenţa</w:t>
            </w:r>
            <w:proofErr w:type="spellEnd"/>
            <w:r w:rsidRPr="00E91D07">
              <w:rPr>
                <w:rFonts w:ascii="Times New Roman" w:eastAsia="Times New Roman" w:hAnsi="Times New Roman" w:cs="Times New Roman"/>
                <w:b/>
                <w:bCs/>
                <w:kern w:val="0"/>
                <w:lang w:eastAsia="ro-MD"/>
                <w14:ligatures w14:val="none"/>
              </w:rPr>
              <w:t xml:space="preserve"> utilizării </w:t>
            </w:r>
            <w:proofErr w:type="spellStart"/>
            <w:r w:rsidRPr="00E91D07">
              <w:rPr>
                <w:rFonts w:ascii="Times New Roman" w:eastAsia="Times New Roman" w:hAnsi="Times New Roman" w:cs="Times New Roman"/>
                <w:b/>
                <w:bCs/>
                <w:kern w:val="0"/>
                <w:lang w:eastAsia="ro-MD"/>
                <w14:ligatures w14:val="none"/>
              </w:rPr>
              <w:t>parţiale</w:t>
            </w:r>
            <w:proofErr w:type="spellEnd"/>
            <w:r w:rsidRPr="00E91D07">
              <w:rPr>
                <w:rFonts w:ascii="Times New Roman" w:eastAsia="Times New Roman" w:hAnsi="Times New Roman" w:cs="Times New Roman"/>
                <w:b/>
                <w:bCs/>
                <w:kern w:val="0"/>
                <w:lang w:eastAsia="ro-MD"/>
                <w14:ligatures w14:val="none"/>
              </w:rPr>
              <w:t xml:space="preserve"> permanente a abordării standardizate</w:t>
            </w:r>
          </w:p>
          <w:p w14:paraId="64E8126C" w14:textId="4C00CCE6" w:rsidR="000B701E" w:rsidRPr="00E91D07" w:rsidRDefault="000B701E" w:rsidP="008844AC">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 xml:space="preserve">Expunerile cărora li s-a aplicat abordarea standardizată în conformitate cu </w:t>
            </w:r>
            <w:r w:rsidR="0018345B" w:rsidRPr="00E91D07">
              <w:rPr>
                <w:rFonts w:ascii="Times New Roman" w:eastAsia="Times New Roman" w:hAnsi="Times New Roman" w:cs="Times New Roman"/>
                <w:kern w:val="0"/>
                <w:lang w:eastAsia="ro-MD"/>
                <w14:ligatures w14:val="none"/>
              </w:rPr>
              <w:t>capitolul 1, secțiunea 7 a</w:t>
            </w:r>
            <w:r w:rsidR="0018345B" w:rsidRPr="00E91D07">
              <w:rPr>
                <w:rFonts w:ascii="Times New Roman" w:eastAsia="Times New Roman" w:hAnsi="Times New Roman" w:cs="Times New Roman"/>
                <w:color w:val="000000"/>
                <w:kern w:val="0"/>
                <w:lang w:eastAsia="ro-MD"/>
                <w14:ligatures w14:val="none"/>
              </w:rPr>
              <w:t xml:space="preserve"> Regulamentului privind tratamentul riscului de credit pentru bănci potrivit abordării bazate pe modele interne de rating</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7AD60" w14:textId="3B1EE035" w:rsidR="008844AC" w:rsidRPr="00E91D07" w:rsidRDefault="008844AC" w:rsidP="008844AC">
            <w:pPr>
              <w:spacing w:after="0" w:line="240" w:lineRule="auto"/>
              <w:jc w:val="center"/>
              <w:rPr>
                <w:rFonts w:ascii="Times New Roman" w:eastAsia="Times New Roman" w:hAnsi="Times New Roman" w:cs="Times New Roman"/>
                <w:kern w:val="0"/>
                <w:lang w:eastAsia="ro-MD"/>
                <w14:ligatures w14:val="none"/>
              </w:rPr>
            </w:pPr>
          </w:p>
        </w:tc>
      </w:tr>
      <w:tr w:rsidR="008844AC" w:rsidRPr="00E91D07" w14:paraId="4F50E4D5"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43D6B" w14:textId="60F30174" w:rsidR="008844AC" w:rsidRPr="00E91D07" w:rsidRDefault="00E63527" w:rsidP="008844AC">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8844AC" w:rsidRPr="00E91D07">
              <w:rPr>
                <w:rFonts w:ascii="Times New Roman" w:eastAsia="Times New Roman" w:hAnsi="Times New Roman" w:cs="Times New Roman"/>
                <w:kern w:val="0"/>
                <w:lang w:eastAsia="ro-MD"/>
                <w14:ligatures w14:val="none"/>
              </w:rPr>
              <w:t>060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E8DBF" w14:textId="25F7DCFF" w:rsidR="008844AC" w:rsidRPr="00E91D07" w:rsidRDefault="008844AC" w:rsidP="008844AC">
            <w:pPr>
              <w:spacing w:after="0" w:line="240" w:lineRule="auto"/>
              <w:rPr>
                <w:rFonts w:ascii="Times New Roman" w:eastAsia="Times New Roman" w:hAnsi="Times New Roman" w:cs="Times New Roman"/>
                <w:b/>
                <w:bCs/>
                <w:kern w:val="0"/>
                <w:lang w:eastAsia="ro-MD"/>
                <w14:ligatures w14:val="none"/>
              </w:rPr>
            </w:pPr>
            <w:r w:rsidRPr="00E91D07">
              <w:rPr>
                <w:rFonts w:ascii="Times New Roman" w:eastAsia="Times New Roman" w:hAnsi="Times New Roman" w:cs="Times New Roman"/>
                <w:b/>
                <w:bCs/>
                <w:kern w:val="0"/>
                <w:lang w:eastAsia="ro-MD"/>
                <w14:ligatures w14:val="none"/>
              </w:rPr>
              <w:t xml:space="preserve">din care: </w:t>
            </w:r>
            <w:r w:rsidR="00C058A3">
              <w:rPr>
                <w:rFonts w:ascii="Times New Roman" w:eastAsia="Times New Roman" w:hAnsi="Times New Roman" w:cs="Times New Roman"/>
                <w:b/>
                <w:bCs/>
                <w:kern w:val="0"/>
                <w:lang w:eastAsia="ro-MD"/>
                <w14:ligatures w14:val="none"/>
              </w:rPr>
              <w:t>e</w:t>
            </w:r>
            <w:r w:rsidRPr="00E91D07">
              <w:rPr>
                <w:rFonts w:ascii="Times New Roman" w:eastAsia="Times New Roman" w:hAnsi="Times New Roman" w:cs="Times New Roman"/>
                <w:b/>
                <w:bCs/>
                <w:kern w:val="0"/>
                <w:lang w:eastAsia="ro-MD"/>
                <w14:ligatures w14:val="none"/>
              </w:rPr>
              <w:t xml:space="preserve">xpuneri din cadrul abordării standardizate cu </w:t>
            </w:r>
            <w:r w:rsidR="00DE0301">
              <w:rPr>
                <w:rFonts w:ascii="Times New Roman" w:eastAsia="Times New Roman" w:hAnsi="Times New Roman" w:cs="Times New Roman"/>
                <w:b/>
                <w:bCs/>
                <w:kern w:val="0"/>
                <w:lang w:eastAsia="ro-MD"/>
                <w14:ligatures w14:val="none"/>
              </w:rPr>
              <w:t>aprobarea</w:t>
            </w:r>
            <w:r w:rsidRPr="00E91D07">
              <w:rPr>
                <w:rFonts w:ascii="Times New Roman" w:eastAsia="Times New Roman" w:hAnsi="Times New Roman" w:cs="Times New Roman"/>
                <w:b/>
                <w:bCs/>
                <w:kern w:val="0"/>
                <w:lang w:eastAsia="ro-MD"/>
                <w14:ligatures w14:val="none"/>
              </w:rPr>
              <w:t xml:space="preserve"> prealabilă a </w:t>
            </w:r>
            <w:proofErr w:type="spellStart"/>
            <w:r w:rsidRPr="00E91D07">
              <w:rPr>
                <w:rFonts w:ascii="Times New Roman" w:eastAsia="Times New Roman" w:hAnsi="Times New Roman" w:cs="Times New Roman"/>
                <w:b/>
                <w:bCs/>
                <w:kern w:val="0"/>
                <w:lang w:eastAsia="ro-MD"/>
                <w14:ligatures w14:val="none"/>
              </w:rPr>
              <w:t>autorităţii</w:t>
            </w:r>
            <w:proofErr w:type="spellEnd"/>
            <w:r w:rsidRPr="00E91D07">
              <w:rPr>
                <w:rFonts w:ascii="Times New Roman" w:eastAsia="Times New Roman" w:hAnsi="Times New Roman" w:cs="Times New Roman"/>
                <w:b/>
                <w:bCs/>
                <w:kern w:val="0"/>
                <w:lang w:eastAsia="ro-MD"/>
                <w14:ligatures w14:val="none"/>
              </w:rPr>
              <w:t xml:space="preserve"> de supraveghere de a efectua o implementare progresivă a abordării IRB</w:t>
            </w:r>
          </w:p>
          <w:p w14:paraId="71D4EA24" w14:textId="7D0A6A98" w:rsidR="0018345B" w:rsidRPr="00E91D07" w:rsidRDefault="0018345B" w:rsidP="008844AC">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color w:val="000000"/>
                <w:kern w:val="0"/>
                <w:lang w:eastAsia="ro-MD"/>
                <w14:ligatures w14:val="none"/>
              </w:rPr>
              <w:t xml:space="preserve">Punctele 36 și 37 </w:t>
            </w:r>
            <w:r w:rsidR="00C058A3">
              <w:rPr>
                <w:rFonts w:ascii="Times New Roman" w:eastAsia="Times New Roman" w:hAnsi="Times New Roman" w:cs="Times New Roman"/>
                <w:color w:val="000000"/>
                <w:kern w:val="0"/>
                <w:lang w:eastAsia="ro-MD"/>
                <w14:ligatures w14:val="none"/>
              </w:rPr>
              <w:t xml:space="preserve">din </w:t>
            </w:r>
            <w:r w:rsidRPr="00E91D07">
              <w:rPr>
                <w:rFonts w:ascii="Times New Roman" w:eastAsia="Times New Roman" w:hAnsi="Times New Roman" w:cs="Times New Roman"/>
                <w:color w:val="000000"/>
                <w:kern w:val="0"/>
                <w:lang w:eastAsia="ro-MD"/>
                <w14:ligatures w14:val="none"/>
              </w:rPr>
              <w:t>Regulamentul privind tratamentul riscului de credit pentru bănci potrivit abordării bazate pe modele interne de rating</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750BC" w14:textId="5D35F6B6" w:rsidR="008844AC" w:rsidRPr="00E91D07" w:rsidRDefault="008844AC" w:rsidP="008844AC">
            <w:pPr>
              <w:spacing w:after="0" w:line="240" w:lineRule="auto"/>
              <w:jc w:val="center"/>
              <w:rPr>
                <w:rFonts w:ascii="Times New Roman" w:eastAsia="Times New Roman" w:hAnsi="Times New Roman" w:cs="Times New Roman"/>
                <w:kern w:val="0"/>
                <w:lang w:eastAsia="ro-MD"/>
                <w14:ligatures w14:val="none"/>
              </w:rPr>
            </w:pPr>
          </w:p>
        </w:tc>
      </w:tr>
      <w:tr w:rsidR="00CB23EE" w:rsidRPr="00E91D07" w14:paraId="7C65913A"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57B28D" w14:textId="54E817B5" w:rsidR="00CB23EE" w:rsidRPr="00E91D07" w:rsidRDefault="00E63527" w:rsidP="00CB23EE">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lastRenderedPageBreak/>
              <w:t>0</w:t>
            </w:r>
            <w:r w:rsidR="00CB23EE" w:rsidRPr="00E91D07">
              <w:rPr>
                <w:rFonts w:ascii="Times New Roman" w:eastAsia="Times New Roman" w:hAnsi="Times New Roman" w:cs="Times New Roman"/>
                <w:kern w:val="0"/>
                <w:lang w:eastAsia="ro-MD"/>
                <w14:ligatures w14:val="none"/>
              </w:rPr>
              <w:t>061</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67A45C6" w14:textId="70FE2BF0" w:rsidR="00CB23EE" w:rsidRPr="00E91D07" w:rsidRDefault="00C058A3" w:rsidP="00A84D2B">
            <w:pPr>
              <w:pStyle w:val="InstructionsText"/>
              <w:rPr>
                <w:rStyle w:val="InstructionsTabelleberschrift"/>
                <w:rFonts w:ascii="Times New Roman" w:hAnsi="Times New Roman"/>
                <w:sz w:val="22"/>
                <w:u w:val="none"/>
              </w:rPr>
            </w:pPr>
            <w:r>
              <w:rPr>
                <w:rStyle w:val="InstructionsTabelleberschrift"/>
                <w:rFonts w:ascii="Times New Roman" w:hAnsi="Times New Roman"/>
                <w:sz w:val="22"/>
                <w:u w:val="none"/>
              </w:rPr>
              <w:t>d</w:t>
            </w:r>
            <w:r w:rsidR="00CB23EE" w:rsidRPr="00E91D07">
              <w:rPr>
                <w:rStyle w:val="InstructionsTabelleberschrift"/>
                <w:rFonts w:ascii="Times New Roman" w:hAnsi="Times New Roman"/>
                <w:sz w:val="22"/>
                <w:u w:val="none"/>
              </w:rPr>
              <w:t xml:space="preserve">in care: </w:t>
            </w:r>
            <w:r>
              <w:rPr>
                <w:rStyle w:val="InstructionsTabelleberschrift"/>
                <w:rFonts w:ascii="Times New Roman" w:hAnsi="Times New Roman"/>
                <w:sz w:val="22"/>
                <w:u w:val="none"/>
              </w:rPr>
              <w:t>e</w:t>
            </w:r>
            <w:r w:rsidR="00CB23EE" w:rsidRPr="00E91D07">
              <w:rPr>
                <w:rStyle w:val="InstructionsTabelleberschrift"/>
                <w:rFonts w:ascii="Times New Roman" w:hAnsi="Times New Roman"/>
                <w:sz w:val="22"/>
                <w:u w:val="none"/>
              </w:rPr>
              <w:t xml:space="preserve">xpuneri IPRE care îndeplinesc oricare dintre condițiile prevăzute la </w:t>
            </w:r>
            <w:r w:rsidR="00A413AA" w:rsidRPr="00E91D07">
              <w:rPr>
                <w:rStyle w:val="InstructionsTabelleberschrift"/>
                <w:rFonts w:ascii="Times New Roman" w:hAnsi="Times New Roman"/>
                <w:sz w:val="22"/>
                <w:u w:val="none"/>
              </w:rPr>
              <w:t xml:space="preserve">punctul 66 subpunctul 1) lit. b) </w:t>
            </w:r>
            <w:r w:rsidR="00CB23EE" w:rsidRPr="00E91D07">
              <w:rPr>
                <w:rStyle w:val="InstructionsTabelleberschrift"/>
                <w:rFonts w:ascii="Times New Roman" w:hAnsi="Times New Roman"/>
                <w:sz w:val="22"/>
                <w:u w:val="none"/>
              </w:rPr>
              <w:t xml:space="preserve">din Regulamentul nr. </w:t>
            </w:r>
            <w:r w:rsidR="00A413AA" w:rsidRPr="00E91D07">
              <w:rPr>
                <w:rStyle w:val="InstructionsTabelleberschrift"/>
                <w:rFonts w:ascii="Times New Roman" w:hAnsi="Times New Roman"/>
                <w:sz w:val="22"/>
                <w:u w:val="none"/>
              </w:rPr>
              <w:t>111</w:t>
            </w:r>
            <w:r w:rsidR="00CB23EE" w:rsidRPr="00E91D07">
              <w:rPr>
                <w:rStyle w:val="InstructionsTabelleberschrift"/>
                <w:rFonts w:ascii="Times New Roman" w:hAnsi="Times New Roman"/>
                <w:sz w:val="22"/>
                <w:u w:val="none"/>
              </w:rPr>
              <w:t>/201</w:t>
            </w:r>
            <w:r w:rsidR="00A413AA" w:rsidRPr="00E91D07">
              <w:rPr>
                <w:rStyle w:val="InstructionsTabelleberschrift"/>
                <w:rFonts w:ascii="Times New Roman" w:hAnsi="Times New Roman"/>
                <w:sz w:val="22"/>
                <w:u w:val="none"/>
              </w:rPr>
              <w:t>8</w:t>
            </w:r>
          </w:p>
          <w:p w14:paraId="24699C4C" w14:textId="6A645FDE" w:rsidR="00CB23EE" w:rsidRPr="00E91D07" w:rsidRDefault="00CB23EE" w:rsidP="00CB23EE">
            <w:pPr>
              <w:spacing w:after="0" w:line="240" w:lineRule="auto"/>
              <w:rPr>
                <w:rFonts w:ascii="Times New Roman" w:eastAsia="Times New Roman" w:hAnsi="Times New Roman" w:cs="Times New Roman"/>
                <w:kern w:val="0"/>
                <w:lang w:eastAsia="ro-MD"/>
                <w14:ligatures w14:val="none"/>
              </w:rPr>
            </w:pPr>
            <w:r w:rsidRPr="00E91D07">
              <w:rPr>
                <w:rStyle w:val="InstructionsTabelleberschrift"/>
                <w:rFonts w:ascii="Times New Roman" w:hAnsi="Times New Roman"/>
                <w:b w:val="0"/>
                <w:bCs w:val="0"/>
                <w:sz w:val="22"/>
                <w:u w:val="none"/>
              </w:rPr>
              <w:t>Trebuie raportate doar în clasa de subexpuneri</w:t>
            </w:r>
            <w:r w:rsidR="00491ACA" w:rsidRPr="00E91D07">
              <w:rPr>
                <w:rStyle w:val="InstructionsTabelleberschrift"/>
                <w:rFonts w:ascii="Times New Roman" w:hAnsi="Times New Roman"/>
                <w:b w:val="0"/>
                <w:bCs w:val="0"/>
                <w:sz w:val="22"/>
                <w:u w:val="none"/>
              </w:rPr>
              <w:t xml:space="preserve"> „</w:t>
            </w:r>
            <w:r w:rsidRPr="00E91D07">
              <w:rPr>
                <w:rStyle w:val="InstructionsTabelleberschrift"/>
                <w:rFonts w:ascii="Times New Roman" w:hAnsi="Times New Roman"/>
                <w:b w:val="0"/>
                <w:bCs w:val="0"/>
                <w:sz w:val="22"/>
                <w:u w:val="none"/>
              </w:rPr>
              <w:t>garantate cu ipoteci asupra bunurilor imobile locative – IPRE</w:t>
            </w:r>
            <w:r w:rsidR="00491ACA" w:rsidRPr="00E91D07">
              <w:rPr>
                <w:rStyle w:val="InstructionsTabelleberschrift"/>
                <w:rFonts w:ascii="Times New Roman" w:hAnsi="Times New Roman"/>
                <w:b w:val="0"/>
                <w:bCs w:val="0"/>
                <w:sz w:val="22"/>
                <w:u w:val="none"/>
              </w:rPr>
              <w:t>”</w:t>
            </w:r>
            <w:r w:rsidRPr="00E91D07">
              <w:rPr>
                <w:rStyle w:val="InstructionsTabelleberschrift"/>
                <w:rFonts w:ascii="Times New Roman" w:hAnsi="Times New Roman"/>
                <w:b w:val="0"/>
                <w:bCs w:val="0"/>
                <w:sz w:val="22"/>
                <w:u w:val="none"/>
              </w:rPr>
              <w:t>.</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9DD79F" w14:textId="77777777" w:rsidR="00CB23EE" w:rsidRPr="00E91D07" w:rsidRDefault="00CB23EE" w:rsidP="00CB23EE">
            <w:pPr>
              <w:spacing w:after="0" w:line="240" w:lineRule="auto"/>
              <w:jc w:val="center"/>
              <w:rPr>
                <w:rFonts w:ascii="Times New Roman" w:eastAsia="Times New Roman" w:hAnsi="Times New Roman" w:cs="Times New Roman"/>
                <w:kern w:val="0"/>
                <w:lang w:eastAsia="ro-MD"/>
                <w14:ligatures w14:val="none"/>
              </w:rPr>
            </w:pPr>
          </w:p>
        </w:tc>
      </w:tr>
      <w:tr w:rsidR="00CB23EE" w:rsidRPr="00E91D07" w14:paraId="0F6BA3F1"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7FDE111" w14:textId="62C9ED1B" w:rsidR="00CB23EE" w:rsidRPr="00E91D07" w:rsidRDefault="00E63527" w:rsidP="00CB23EE">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CB23EE" w:rsidRPr="00E91D07">
              <w:rPr>
                <w:rFonts w:ascii="Times New Roman" w:eastAsia="Times New Roman" w:hAnsi="Times New Roman" w:cs="Times New Roman"/>
                <w:kern w:val="0"/>
                <w:lang w:eastAsia="ro-MD"/>
                <w14:ligatures w14:val="none"/>
              </w:rPr>
              <w:t>062</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3F6560" w14:textId="19BE0AA1" w:rsidR="00491ACA" w:rsidRPr="00E91D07" w:rsidRDefault="00C058A3" w:rsidP="00A84D2B">
            <w:pPr>
              <w:pStyle w:val="InstructionsText"/>
              <w:rPr>
                <w:rStyle w:val="InstructionsTabelleberschrift"/>
                <w:rFonts w:ascii="Times New Roman" w:hAnsi="Times New Roman"/>
                <w:sz w:val="22"/>
                <w:u w:val="none"/>
              </w:rPr>
            </w:pPr>
            <w:r>
              <w:rPr>
                <w:rStyle w:val="InstructionsTabelleberschrift"/>
                <w:rFonts w:ascii="Times New Roman" w:hAnsi="Times New Roman"/>
                <w:sz w:val="22"/>
                <w:u w:val="none"/>
              </w:rPr>
              <w:t>d</w:t>
            </w:r>
            <w:r w:rsidR="00CB23EE" w:rsidRPr="00E91D07">
              <w:rPr>
                <w:rStyle w:val="InstructionsTabelleberschrift"/>
                <w:rFonts w:ascii="Times New Roman" w:hAnsi="Times New Roman"/>
                <w:sz w:val="22"/>
                <w:u w:val="none"/>
              </w:rPr>
              <w:t xml:space="preserve">in care: Expuneri IPRE în cazul cărora se aplică derogarea prevăzută la </w:t>
            </w:r>
            <w:r w:rsidR="00491ACA" w:rsidRPr="00EA59DC">
              <w:rPr>
                <w:rStyle w:val="InstructionsTabelleberschrift"/>
                <w:rFonts w:ascii="Times New Roman" w:hAnsi="Times New Roman"/>
                <w:sz w:val="22"/>
                <w:u w:val="none"/>
              </w:rPr>
              <w:t>punctul 70</w:t>
            </w:r>
            <w:r w:rsidR="00491ACA" w:rsidRPr="00EA59DC">
              <w:rPr>
                <w:rStyle w:val="InstructionsTabelleberschrift"/>
                <w:rFonts w:ascii="Times New Roman" w:hAnsi="Times New Roman"/>
                <w:sz w:val="22"/>
                <w:u w:val="none"/>
                <w:vertAlign w:val="superscript"/>
              </w:rPr>
              <w:t xml:space="preserve">2 </w:t>
            </w:r>
            <w:r w:rsidR="00491ACA" w:rsidRPr="00EA59DC">
              <w:rPr>
                <w:rStyle w:val="InstructionsTabelleberschrift"/>
                <w:rFonts w:ascii="Times New Roman" w:hAnsi="Times New Roman"/>
                <w:sz w:val="22"/>
                <w:u w:val="none"/>
              </w:rPr>
              <w:t>din</w:t>
            </w:r>
            <w:r w:rsidR="00491ACA" w:rsidRPr="00E91D07">
              <w:rPr>
                <w:rStyle w:val="InstructionsTabelleberschrift"/>
                <w:rFonts w:ascii="Times New Roman" w:hAnsi="Times New Roman"/>
                <w:sz w:val="22"/>
                <w:u w:val="none"/>
              </w:rPr>
              <w:t xml:space="preserve"> Regulamentul nr. 111/2018</w:t>
            </w:r>
          </w:p>
          <w:p w14:paraId="61821BC2" w14:textId="1920DC1C" w:rsidR="00CB23EE" w:rsidRPr="00E91D07" w:rsidRDefault="00CB23EE" w:rsidP="00A84D2B">
            <w:pPr>
              <w:pStyle w:val="InstructionsText"/>
              <w:rPr>
                <w:rStyle w:val="InstructionsTabelleberschrift"/>
                <w:rFonts w:ascii="Times New Roman" w:hAnsi="Times New Roman"/>
                <w:sz w:val="22"/>
                <w:u w:val="none"/>
              </w:rPr>
            </w:pPr>
          </w:p>
          <w:p w14:paraId="61B03406" w14:textId="010C1964" w:rsidR="00CB23EE" w:rsidRPr="00E91D07" w:rsidRDefault="00CB23EE" w:rsidP="00CB23EE">
            <w:pPr>
              <w:spacing w:after="0" w:line="240" w:lineRule="auto"/>
              <w:rPr>
                <w:rFonts w:ascii="Times New Roman" w:eastAsia="Times New Roman" w:hAnsi="Times New Roman" w:cs="Times New Roman"/>
                <w:kern w:val="0"/>
                <w:lang w:eastAsia="ro-MD"/>
                <w14:ligatures w14:val="none"/>
              </w:rPr>
            </w:pPr>
            <w:r w:rsidRPr="00E91D07">
              <w:rPr>
                <w:rStyle w:val="InstructionsTabelleberschrift"/>
                <w:rFonts w:ascii="Times New Roman" w:hAnsi="Times New Roman"/>
                <w:b w:val="0"/>
                <w:bCs w:val="0"/>
                <w:sz w:val="22"/>
                <w:u w:val="none"/>
              </w:rPr>
              <w:t xml:space="preserve">Trebuie raportate doar în clasa de subexpuneri </w:t>
            </w:r>
            <w:r w:rsidR="00491ACA" w:rsidRPr="00E91D07">
              <w:rPr>
                <w:rStyle w:val="InstructionsTabelleberschrift"/>
                <w:rFonts w:ascii="Times New Roman" w:hAnsi="Times New Roman"/>
                <w:b w:val="0"/>
                <w:bCs w:val="0"/>
                <w:sz w:val="22"/>
                <w:u w:val="none"/>
              </w:rPr>
              <w:t>„</w:t>
            </w:r>
            <w:r w:rsidRPr="00E91D07">
              <w:rPr>
                <w:rStyle w:val="InstructionsTabelleberschrift"/>
                <w:rFonts w:ascii="Times New Roman" w:hAnsi="Times New Roman"/>
                <w:b w:val="0"/>
                <w:bCs w:val="0"/>
                <w:sz w:val="22"/>
                <w:u w:val="none"/>
              </w:rPr>
              <w:t>garantate cu ipoteci asupra bunurilor imobile locative – IPRE</w:t>
            </w:r>
            <w:r w:rsidR="00491ACA" w:rsidRPr="00E91D07">
              <w:rPr>
                <w:rStyle w:val="InstructionsTabelleberschrift"/>
                <w:rFonts w:ascii="Times New Roman" w:hAnsi="Times New Roman"/>
                <w:b w:val="0"/>
                <w:bCs w:val="0"/>
                <w:sz w:val="22"/>
                <w:u w:val="none"/>
              </w:rPr>
              <w:t>”</w:t>
            </w:r>
            <w:r w:rsidRPr="00E91D07">
              <w:rPr>
                <w:rStyle w:val="InstructionsTabelleberschrift"/>
                <w:rFonts w:ascii="Times New Roman" w:hAnsi="Times New Roman"/>
                <w:b w:val="0"/>
                <w:bCs w:val="0"/>
                <w:sz w:val="22"/>
                <w:u w:val="none"/>
              </w:rPr>
              <w:t>.</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C8A4EB" w14:textId="77777777" w:rsidR="00CB23EE" w:rsidRPr="00E91D07" w:rsidRDefault="00CB23EE" w:rsidP="00CB23EE">
            <w:pPr>
              <w:spacing w:after="0" w:line="240" w:lineRule="auto"/>
              <w:jc w:val="center"/>
              <w:rPr>
                <w:rFonts w:ascii="Times New Roman" w:eastAsia="Times New Roman" w:hAnsi="Times New Roman" w:cs="Times New Roman"/>
                <w:kern w:val="0"/>
                <w:lang w:eastAsia="ro-MD"/>
                <w14:ligatures w14:val="none"/>
              </w:rPr>
            </w:pPr>
          </w:p>
        </w:tc>
      </w:tr>
      <w:tr w:rsidR="00CB23EE" w:rsidRPr="00E91D07" w14:paraId="20BA67CB"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F48B55B" w14:textId="165FA079" w:rsidR="00CB23EE" w:rsidRPr="00E91D07" w:rsidRDefault="00E63527" w:rsidP="00CB23EE">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CB23EE" w:rsidRPr="00E91D07">
              <w:rPr>
                <w:rFonts w:ascii="Times New Roman" w:eastAsia="Times New Roman" w:hAnsi="Times New Roman" w:cs="Times New Roman"/>
                <w:kern w:val="0"/>
                <w:lang w:eastAsia="ro-MD"/>
                <w14:ligatures w14:val="none"/>
              </w:rPr>
              <w:t>063</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45212D1" w14:textId="0B8B1FF3" w:rsidR="00491ACA" w:rsidRPr="00E91D07" w:rsidRDefault="00C058A3" w:rsidP="00A84D2B">
            <w:pPr>
              <w:pStyle w:val="InstructionsText"/>
              <w:rPr>
                <w:rStyle w:val="InstructionsTabelleberschrift"/>
                <w:rFonts w:ascii="Times New Roman" w:hAnsi="Times New Roman"/>
                <w:sz w:val="22"/>
                <w:u w:val="none"/>
              </w:rPr>
            </w:pPr>
            <w:r>
              <w:rPr>
                <w:rStyle w:val="InstructionsTabelleberschrift"/>
                <w:rFonts w:ascii="Times New Roman" w:hAnsi="Times New Roman"/>
                <w:sz w:val="22"/>
                <w:u w:val="none"/>
              </w:rPr>
              <w:t>d</w:t>
            </w:r>
            <w:r w:rsidR="00CB23EE" w:rsidRPr="00E91D07">
              <w:rPr>
                <w:rStyle w:val="InstructionsTabelleberschrift"/>
                <w:rFonts w:ascii="Times New Roman" w:hAnsi="Times New Roman"/>
                <w:sz w:val="22"/>
                <w:u w:val="none"/>
              </w:rPr>
              <w:t xml:space="preserve">in care: </w:t>
            </w:r>
            <w:r>
              <w:rPr>
                <w:rStyle w:val="InstructionsTabelleberschrift"/>
                <w:rFonts w:ascii="Times New Roman" w:hAnsi="Times New Roman"/>
                <w:sz w:val="22"/>
                <w:u w:val="none"/>
              </w:rPr>
              <w:t>e</w:t>
            </w:r>
            <w:r w:rsidR="00CB23EE" w:rsidRPr="00E91D07">
              <w:rPr>
                <w:rStyle w:val="InstructionsTabelleberschrift"/>
                <w:rFonts w:ascii="Times New Roman" w:hAnsi="Times New Roman"/>
                <w:sz w:val="22"/>
                <w:u w:val="none"/>
              </w:rPr>
              <w:t xml:space="preserve">xpuneri IPRE în cazul cărora se aplică derogarea prevăzută la </w:t>
            </w:r>
            <w:r w:rsidR="00491ACA" w:rsidRPr="00E91D07">
              <w:rPr>
                <w:rStyle w:val="InstructionsTabelleberschrift"/>
                <w:rFonts w:ascii="Times New Roman" w:hAnsi="Times New Roman"/>
                <w:sz w:val="22"/>
                <w:u w:val="none"/>
              </w:rPr>
              <w:t>punctul 72</w:t>
            </w:r>
            <w:r w:rsidR="00491ACA" w:rsidRPr="00E91D07">
              <w:rPr>
                <w:rStyle w:val="InstructionsTabelleberschrift"/>
                <w:rFonts w:ascii="Times New Roman" w:hAnsi="Times New Roman"/>
                <w:sz w:val="22"/>
                <w:u w:val="none"/>
                <w:vertAlign w:val="superscript"/>
              </w:rPr>
              <w:t>2</w:t>
            </w:r>
            <w:r w:rsidR="00491ACA" w:rsidRPr="00E91D07">
              <w:rPr>
                <w:rStyle w:val="InstructionsTabelleberschrift"/>
                <w:rFonts w:ascii="Times New Roman" w:hAnsi="Times New Roman"/>
                <w:sz w:val="22"/>
                <w:u w:val="none"/>
              </w:rPr>
              <w:t xml:space="preserve"> din Regulamentul nr. 111/2018</w:t>
            </w:r>
          </w:p>
          <w:p w14:paraId="7931CD64" w14:textId="3BA8D9A8" w:rsidR="00CB23EE" w:rsidRPr="00E91D07" w:rsidRDefault="00CB23EE" w:rsidP="00A84D2B">
            <w:pPr>
              <w:pStyle w:val="InstructionsText"/>
              <w:rPr>
                <w:rStyle w:val="InstructionsTabelleberschrift"/>
                <w:rFonts w:ascii="Times New Roman" w:hAnsi="Times New Roman"/>
                <w:sz w:val="22"/>
                <w:u w:val="none"/>
              </w:rPr>
            </w:pPr>
          </w:p>
          <w:p w14:paraId="73622C96" w14:textId="7987D46A" w:rsidR="00CB23EE" w:rsidRPr="00E91D07" w:rsidRDefault="00CB23EE" w:rsidP="00CB23EE">
            <w:pPr>
              <w:spacing w:after="0" w:line="240" w:lineRule="auto"/>
              <w:rPr>
                <w:rFonts w:ascii="Times New Roman" w:eastAsia="Times New Roman" w:hAnsi="Times New Roman" w:cs="Times New Roman"/>
                <w:kern w:val="0"/>
                <w:lang w:eastAsia="ro-MD"/>
                <w14:ligatures w14:val="none"/>
              </w:rPr>
            </w:pPr>
            <w:r w:rsidRPr="00E91D07">
              <w:rPr>
                <w:rStyle w:val="InstructionsTabelleberschrift"/>
                <w:rFonts w:ascii="Times New Roman" w:hAnsi="Times New Roman"/>
                <w:b w:val="0"/>
                <w:bCs w:val="0"/>
                <w:sz w:val="22"/>
                <w:u w:val="none"/>
              </w:rPr>
              <w:t xml:space="preserve">Trebuie raportate doar în clasa de subexpuneri </w:t>
            </w:r>
            <w:r w:rsidR="009311DE" w:rsidRPr="00E91D07">
              <w:rPr>
                <w:rStyle w:val="InstructionsTabelleberschrift"/>
                <w:rFonts w:ascii="Times New Roman" w:hAnsi="Times New Roman"/>
                <w:b w:val="0"/>
                <w:bCs w:val="0"/>
                <w:sz w:val="22"/>
                <w:u w:val="none"/>
              </w:rPr>
              <w:t>„</w:t>
            </w:r>
            <w:r w:rsidRPr="00E91D07">
              <w:rPr>
                <w:rStyle w:val="InstructionsTabelleberschrift"/>
                <w:rFonts w:ascii="Times New Roman" w:hAnsi="Times New Roman"/>
                <w:b w:val="0"/>
                <w:bCs w:val="0"/>
                <w:sz w:val="22"/>
                <w:u w:val="none"/>
              </w:rPr>
              <w:t>Garantate cu ipoteci asupra bunurilor imobile comerciale – IPRE</w:t>
            </w:r>
            <w:r w:rsidR="009311DE" w:rsidRPr="00E91D07">
              <w:rPr>
                <w:rStyle w:val="InstructionsTabelleberschrift"/>
                <w:rFonts w:ascii="Times New Roman" w:hAnsi="Times New Roman"/>
                <w:b w:val="0"/>
                <w:bCs w:val="0"/>
                <w:sz w:val="22"/>
                <w:u w:val="none"/>
              </w:rPr>
              <w:t>”</w:t>
            </w:r>
            <w:r w:rsidRPr="00E91D07">
              <w:rPr>
                <w:rStyle w:val="InstructionsTabelleberschrift"/>
                <w:rFonts w:ascii="Times New Roman" w:hAnsi="Times New Roman"/>
                <w:b w:val="0"/>
                <w:bCs w:val="0"/>
                <w:sz w:val="22"/>
                <w:u w:val="none"/>
              </w:rPr>
              <w:t>.</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55701B" w14:textId="77777777" w:rsidR="00CB23EE" w:rsidRPr="00E91D07" w:rsidRDefault="00CB23EE" w:rsidP="00CB23EE">
            <w:pPr>
              <w:spacing w:after="0" w:line="240" w:lineRule="auto"/>
              <w:jc w:val="center"/>
              <w:rPr>
                <w:rFonts w:ascii="Times New Roman" w:eastAsia="Times New Roman" w:hAnsi="Times New Roman" w:cs="Times New Roman"/>
                <w:kern w:val="0"/>
                <w:lang w:eastAsia="ro-MD"/>
                <w14:ligatures w14:val="none"/>
              </w:rPr>
            </w:pPr>
          </w:p>
        </w:tc>
      </w:tr>
      <w:tr w:rsidR="00CB23EE" w:rsidRPr="00E91D07" w14:paraId="713F1240"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8E19FA4" w14:textId="469C5AA3" w:rsidR="00CB23EE" w:rsidRPr="00E91D07" w:rsidRDefault="00E63527" w:rsidP="00CB23EE">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CB23EE" w:rsidRPr="00E91D07">
              <w:rPr>
                <w:rFonts w:ascii="Times New Roman" w:eastAsia="Times New Roman" w:hAnsi="Times New Roman" w:cs="Times New Roman"/>
                <w:kern w:val="0"/>
                <w:lang w:eastAsia="ro-MD"/>
                <w14:ligatures w14:val="none"/>
              </w:rPr>
              <w:t>064</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8EB1F3" w14:textId="6C08B483" w:rsidR="00CB23EE" w:rsidRPr="00E91D07" w:rsidRDefault="00C058A3" w:rsidP="00A84D2B">
            <w:pPr>
              <w:pStyle w:val="InstructionsText"/>
              <w:rPr>
                <w:rStyle w:val="InstructionsTabelleberschrift"/>
                <w:rFonts w:ascii="Times New Roman" w:hAnsi="Times New Roman"/>
                <w:sz w:val="22"/>
                <w:u w:val="none"/>
              </w:rPr>
            </w:pPr>
            <w:r>
              <w:rPr>
                <w:rStyle w:val="InstructionsTabelleberschrift"/>
                <w:rFonts w:ascii="Times New Roman" w:hAnsi="Times New Roman"/>
                <w:sz w:val="22"/>
                <w:u w:val="none"/>
              </w:rPr>
              <w:t>d</w:t>
            </w:r>
            <w:r w:rsidR="00CB23EE" w:rsidRPr="00E91D07">
              <w:rPr>
                <w:rStyle w:val="InstructionsTabelleberschrift"/>
                <w:rFonts w:ascii="Times New Roman" w:hAnsi="Times New Roman"/>
                <w:sz w:val="22"/>
                <w:u w:val="none"/>
              </w:rPr>
              <w:t xml:space="preserve">in care: </w:t>
            </w:r>
            <w:r>
              <w:rPr>
                <w:rStyle w:val="InstructionsTabelleberschrift"/>
                <w:rFonts w:ascii="Times New Roman" w:hAnsi="Times New Roman"/>
                <w:sz w:val="22"/>
                <w:u w:val="none"/>
              </w:rPr>
              <w:t>e</w:t>
            </w:r>
            <w:r w:rsidR="00CB23EE" w:rsidRPr="00E91D07">
              <w:rPr>
                <w:rStyle w:val="InstructionsTabelleberschrift"/>
                <w:rFonts w:ascii="Times New Roman" w:hAnsi="Times New Roman"/>
                <w:sz w:val="22"/>
                <w:u w:val="none"/>
              </w:rPr>
              <w:t>xpuneri din cadrul abordării IRB</w:t>
            </w:r>
          </w:p>
          <w:p w14:paraId="22B623D5" w14:textId="1414029B" w:rsidR="00CB23EE" w:rsidRPr="00E91D07" w:rsidRDefault="00CB23EE" w:rsidP="00CB23EE">
            <w:pPr>
              <w:spacing w:after="0" w:line="240" w:lineRule="auto"/>
              <w:rPr>
                <w:rFonts w:ascii="Times New Roman" w:eastAsia="Times New Roman" w:hAnsi="Times New Roman" w:cs="Times New Roman"/>
                <w:kern w:val="0"/>
                <w:lang w:eastAsia="ro-MD"/>
                <w14:ligatures w14:val="none"/>
              </w:rPr>
            </w:pPr>
            <w:r w:rsidRPr="00E91D07">
              <w:rPr>
                <w:rStyle w:val="InstructionsTabelleberschrift"/>
                <w:rFonts w:ascii="Times New Roman" w:hAnsi="Times New Roman"/>
                <w:b w:val="0"/>
                <w:bCs w:val="0"/>
                <w:sz w:val="22"/>
                <w:u w:val="none"/>
              </w:rPr>
              <w:t xml:space="preserve">Trebuie raportate doar în subclasa de expuneri </w:t>
            </w:r>
            <w:r w:rsidR="00151027" w:rsidRPr="00E91D07">
              <w:rPr>
                <w:rStyle w:val="InstructionsTabelleberschrift"/>
                <w:rFonts w:ascii="Times New Roman" w:hAnsi="Times New Roman"/>
                <w:b w:val="0"/>
                <w:bCs w:val="0"/>
                <w:sz w:val="22"/>
                <w:u w:val="none"/>
                <w:lang w:val="ro-RO"/>
              </w:rPr>
              <w:t>„</w:t>
            </w:r>
            <w:r w:rsidRPr="00E91D07">
              <w:rPr>
                <w:rStyle w:val="InstructionsTabelleberschrift"/>
                <w:rFonts w:ascii="Times New Roman" w:hAnsi="Times New Roman"/>
                <w:b w:val="0"/>
                <w:bCs w:val="0"/>
                <w:sz w:val="22"/>
                <w:u w:val="none"/>
              </w:rPr>
              <w:t>Expuneri provenind din titluri de capital</w:t>
            </w:r>
            <w:r w:rsidR="00151027" w:rsidRPr="00E91D07">
              <w:rPr>
                <w:rStyle w:val="InstructionsTabelleberschrift"/>
                <w:rFonts w:ascii="Times New Roman" w:hAnsi="Times New Roman"/>
                <w:b w:val="0"/>
                <w:bCs w:val="0"/>
                <w:sz w:val="22"/>
                <w:u w:val="none"/>
              </w:rPr>
              <w:t>”</w:t>
            </w:r>
            <w:r w:rsidRPr="00E91D07">
              <w:rPr>
                <w:rStyle w:val="InstructionsTabelleberschrift"/>
                <w:rFonts w:ascii="Times New Roman" w:hAnsi="Times New Roman"/>
                <w:b w:val="0"/>
                <w:bCs w:val="0"/>
                <w:sz w:val="22"/>
                <w:u w:val="none"/>
              </w:rPr>
              <w:t>.</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0896045" w14:textId="77777777" w:rsidR="00CB23EE" w:rsidRPr="00E91D07" w:rsidRDefault="00CB23EE" w:rsidP="00CB23EE">
            <w:pPr>
              <w:spacing w:after="0" w:line="240" w:lineRule="auto"/>
              <w:jc w:val="center"/>
              <w:rPr>
                <w:rFonts w:ascii="Times New Roman" w:eastAsia="Times New Roman" w:hAnsi="Times New Roman" w:cs="Times New Roman"/>
                <w:kern w:val="0"/>
                <w:lang w:eastAsia="ro-MD"/>
                <w14:ligatures w14:val="none"/>
              </w:rPr>
            </w:pPr>
          </w:p>
        </w:tc>
      </w:tr>
      <w:tr w:rsidR="008844AC" w:rsidRPr="00E91D07" w14:paraId="58E00C3B"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6D67A37B" w14:textId="3E76855C" w:rsidR="008844AC" w:rsidRPr="00E91D07" w:rsidRDefault="008844AC" w:rsidP="008844AC">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E63527" w:rsidRPr="00E91D07">
              <w:rPr>
                <w:rFonts w:ascii="Times New Roman" w:eastAsia="Times New Roman" w:hAnsi="Times New Roman" w:cs="Times New Roman"/>
                <w:kern w:val="0"/>
                <w:lang w:eastAsia="ro-MD"/>
                <w14:ligatures w14:val="none"/>
              </w:rPr>
              <w:t>0</w:t>
            </w:r>
            <w:r w:rsidRPr="00E91D07">
              <w:rPr>
                <w:rFonts w:ascii="Times New Roman" w:eastAsia="Times New Roman" w:hAnsi="Times New Roman" w:cs="Times New Roman"/>
                <w:kern w:val="0"/>
                <w:lang w:eastAsia="ro-MD"/>
                <w14:ligatures w14:val="none"/>
              </w:rPr>
              <w:t>70-</w:t>
            </w:r>
            <w:r w:rsidR="00E63527" w:rsidRPr="00E91D07">
              <w:rPr>
                <w:rFonts w:ascii="Times New Roman" w:eastAsia="Times New Roman" w:hAnsi="Times New Roman" w:cs="Times New Roman"/>
                <w:kern w:val="0"/>
                <w:lang w:eastAsia="ro-MD"/>
                <w14:ligatures w14:val="none"/>
              </w:rPr>
              <w:t>0</w:t>
            </w:r>
            <w:r w:rsidRPr="00E91D07">
              <w:rPr>
                <w:rFonts w:ascii="Times New Roman" w:eastAsia="Times New Roman" w:hAnsi="Times New Roman" w:cs="Times New Roman"/>
                <w:kern w:val="0"/>
                <w:lang w:eastAsia="ro-MD"/>
                <w14:ligatures w14:val="none"/>
              </w:rPr>
              <w:t>130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7994C" w14:textId="77777777" w:rsidR="008844AC" w:rsidRPr="00E91D07" w:rsidRDefault="008844AC" w:rsidP="008844AC">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b/>
                <w:bCs/>
                <w:kern w:val="0"/>
                <w:lang w:eastAsia="ro-MD"/>
                <w14:ligatures w14:val="none"/>
              </w:rPr>
              <w:t>Defalcarea expunerilor totale pe tipuri de expunere</w:t>
            </w:r>
            <w:r w:rsidRPr="00E91D07">
              <w:rPr>
                <w:rFonts w:ascii="Times New Roman" w:eastAsia="Times New Roman" w:hAnsi="Times New Roman" w:cs="Times New Roman"/>
                <w:kern w:val="0"/>
                <w:lang w:eastAsia="ro-MD"/>
                <w14:ligatures w14:val="none"/>
              </w:rPr>
              <w:t xml:space="preserve"> </w:t>
            </w:r>
          </w:p>
          <w:p w14:paraId="1E862533" w14:textId="782BDE38" w:rsidR="00F321E6" w:rsidRPr="00E91D07" w:rsidRDefault="00F321E6" w:rsidP="00A84D2B">
            <w:pPr>
              <w:pStyle w:val="InstructionsText"/>
            </w:pPr>
            <w:r w:rsidRPr="00E91D07">
              <w:t xml:space="preserve">Pozițiile din </w:t>
            </w:r>
            <w:r w:rsidR="00DB7992" w:rsidRPr="00E91D07">
              <w:t>„</w:t>
            </w:r>
            <w:r w:rsidRPr="00E91D07">
              <w:t>portofoliul bancar</w:t>
            </w:r>
            <w:r w:rsidR="00DB7992" w:rsidRPr="00E91D07">
              <w:t>”</w:t>
            </w:r>
            <w:r w:rsidRPr="00E91D07">
              <w:t xml:space="preserve"> al </w:t>
            </w:r>
            <w:r w:rsidR="003C08DF" w:rsidRPr="00E91D07">
              <w:t>băncii</w:t>
            </w:r>
            <w:r w:rsidRPr="00E91D07">
              <w:t xml:space="preserve"> raportoare trebuie defalcate, pe baza criteriilor prevăzute mai jos, în expuneri bilanțiere supuse riscului de credit, expuneri </w:t>
            </w:r>
            <w:proofErr w:type="spellStart"/>
            <w:r w:rsidRPr="00E91D07">
              <w:t>extrabilanțiere</w:t>
            </w:r>
            <w:proofErr w:type="spellEnd"/>
            <w:r w:rsidRPr="00E91D07">
              <w:t xml:space="preserve"> supuse riscului de credit și expuneri supuse riscului de credit al </w:t>
            </w:r>
            <w:proofErr w:type="spellStart"/>
            <w:r w:rsidRPr="00E91D07">
              <w:t>contrapărții</w:t>
            </w:r>
            <w:proofErr w:type="spellEnd"/>
            <w:r w:rsidRPr="00E91D07">
              <w:t xml:space="preserve">. </w:t>
            </w:r>
          </w:p>
          <w:p w14:paraId="15E8C559" w14:textId="46637E5C" w:rsidR="008844AC" w:rsidRPr="00E91D07" w:rsidRDefault="00F321E6" w:rsidP="008844AC">
            <w:pPr>
              <w:spacing w:after="0" w:line="240" w:lineRule="auto"/>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 xml:space="preserve">Expunerile față de riscul de credit al </w:t>
            </w:r>
            <w:proofErr w:type="spellStart"/>
            <w:r w:rsidRPr="00E91D07">
              <w:rPr>
                <w:rFonts w:ascii="Times New Roman" w:eastAsia="Times New Roman" w:hAnsi="Times New Roman" w:cs="Times New Roman"/>
                <w:kern w:val="0"/>
                <w:lang w:eastAsia="ro-MD"/>
                <w14:ligatures w14:val="none"/>
              </w:rPr>
              <w:t>contrapărții</w:t>
            </w:r>
            <w:proofErr w:type="spellEnd"/>
            <w:r w:rsidRPr="00E91D07">
              <w:rPr>
                <w:rFonts w:ascii="Times New Roman" w:eastAsia="Times New Roman" w:hAnsi="Times New Roman" w:cs="Times New Roman"/>
                <w:kern w:val="0"/>
                <w:lang w:eastAsia="ro-MD"/>
                <w14:ligatures w14:val="none"/>
              </w:rPr>
              <w:t xml:space="preserve"> care decurg din portofoliul de tranzacționare al </w:t>
            </w:r>
            <w:r w:rsidR="00094EAF" w:rsidRPr="00E91D07">
              <w:rPr>
                <w:rFonts w:ascii="Times New Roman" w:eastAsia="Times New Roman" w:hAnsi="Times New Roman" w:cs="Times New Roman"/>
                <w:kern w:val="0"/>
                <w:lang w:eastAsia="ro-MD"/>
                <w14:ligatures w14:val="none"/>
              </w:rPr>
              <w:t>băncii</w:t>
            </w:r>
            <w:r w:rsidRPr="00E91D07">
              <w:rPr>
                <w:rFonts w:ascii="Times New Roman" w:eastAsia="Times New Roman" w:hAnsi="Times New Roman" w:cs="Times New Roman"/>
                <w:kern w:val="0"/>
                <w:lang w:eastAsia="ro-MD"/>
                <w14:ligatures w14:val="none"/>
              </w:rPr>
              <w:t xml:space="preserve">, astfel cum sunt menționate la </w:t>
            </w:r>
            <w:r w:rsidR="00094EAF" w:rsidRPr="00E91D07">
              <w:rPr>
                <w:rFonts w:ascii="Times New Roman" w:eastAsia="Times New Roman" w:hAnsi="Times New Roman" w:cs="Times New Roman"/>
                <w:kern w:val="0"/>
                <w:lang w:eastAsia="ro-MD"/>
                <w14:ligatures w14:val="none"/>
              </w:rPr>
              <w:t>punctul 132 subpunctul 4)</w:t>
            </w:r>
            <w:r w:rsidRPr="00E91D07">
              <w:rPr>
                <w:rFonts w:ascii="Times New Roman" w:eastAsia="Times New Roman" w:hAnsi="Times New Roman" w:cs="Times New Roman"/>
                <w:kern w:val="0"/>
                <w:lang w:eastAsia="ro-MD"/>
                <w14:ligatures w14:val="none"/>
              </w:rPr>
              <w:t xml:space="preserve"> </w:t>
            </w:r>
            <w:r w:rsidR="00094EAF" w:rsidRPr="00E91D07">
              <w:rPr>
                <w:rFonts w:ascii="Times New Roman" w:eastAsia="Times New Roman" w:hAnsi="Times New Roman" w:cs="Times New Roman"/>
                <w:kern w:val="0"/>
                <w:lang w:eastAsia="ro-MD"/>
                <w14:ligatures w14:val="none"/>
              </w:rPr>
              <w:t xml:space="preserve">a Regulamentului 109/2018 </w:t>
            </w:r>
            <w:r w:rsidRPr="00E91D07">
              <w:rPr>
                <w:rFonts w:ascii="Times New Roman" w:eastAsia="Times New Roman" w:hAnsi="Times New Roman" w:cs="Times New Roman"/>
                <w:kern w:val="0"/>
                <w:lang w:eastAsia="ro-MD"/>
                <w14:ligatures w14:val="none"/>
              </w:rPr>
              <w:t xml:space="preserve">și la </w:t>
            </w:r>
            <w:r w:rsidR="00DA674B" w:rsidRPr="00E91D07">
              <w:rPr>
                <w:rFonts w:ascii="Times New Roman" w:eastAsia="Times New Roman" w:hAnsi="Times New Roman" w:cs="Times New Roman"/>
                <w:kern w:val="0"/>
                <w:lang w:eastAsia="ro-MD"/>
                <w14:ligatures w14:val="none"/>
              </w:rPr>
              <w:t>Capitolul VII a Regulamentului nr. 220/20025</w:t>
            </w:r>
            <w:r w:rsidRPr="00E91D07">
              <w:rPr>
                <w:rFonts w:ascii="Times New Roman" w:eastAsia="Times New Roman" w:hAnsi="Times New Roman" w:cs="Times New Roman"/>
                <w:kern w:val="0"/>
                <w:lang w:eastAsia="ro-MD"/>
                <w14:ligatures w14:val="none"/>
              </w:rPr>
              <w:t xml:space="preserve">, se atribuie expunerilor care sunt supuse riscului de credit al </w:t>
            </w:r>
            <w:proofErr w:type="spellStart"/>
            <w:r w:rsidRPr="00E91D07">
              <w:rPr>
                <w:rFonts w:ascii="Times New Roman" w:eastAsia="Times New Roman" w:hAnsi="Times New Roman" w:cs="Times New Roman"/>
                <w:kern w:val="0"/>
                <w:lang w:eastAsia="ro-MD"/>
                <w14:ligatures w14:val="none"/>
              </w:rPr>
              <w:t>contrapărții</w:t>
            </w:r>
            <w:proofErr w:type="spellEnd"/>
            <w:r w:rsidRPr="00E91D07">
              <w:rPr>
                <w:rFonts w:ascii="Times New Roman" w:eastAsia="Times New Roman" w:hAnsi="Times New Roman" w:cs="Times New Roman"/>
                <w:kern w:val="0"/>
                <w:lang w:eastAsia="ro-MD"/>
                <w14:ligatures w14:val="none"/>
              </w:rPr>
              <w:t xml:space="preserve">. </w:t>
            </w:r>
            <w:r w:rsidR="00DA674B" w:rsidRPr="00E91D07">
              <w:rPr>
                <w:rFonts w:ascii="Times New Roman" w:eastAsia="Times New Roman" w:hAnsi="Times New Roman" w:cs="Times New Roman"/>
                <w:kern w:val="0"/>
                <w:lang w:eastAsia="ro-MD"/>
                <w14:ligatures w14:val="none"/>
              </w:rPr>
              <w:t>Bănc</w:t>
            </w:r>
            <w:r w:rsidRPr="00E91D07">
              <w:rPr>
                <w:rFonts w:ascii="Times New Roman" w:eastAsia="Times New Roman" w:hAnsi="Times New Roman" w:cs="Times New Roman"/>
                <w:kern w:val="0"/>
                <w:lang w:eastAsia="ro-MD"/>
                <w14:ligatures w14:val="none"/>
              </w:rPr>
              <w:t xml:space="preserve">ile care aplică </w:t>
            </w:r>
            <w:r w:rsidR="00DA674B" w:rsidRPr="00E91D07">
              <w:rPr>
                <w:rFonts w:ascii="Times New Roman" w:eastAsia="Times New Roman" w:hAnsi="Times New Roman" w:cs="Times New Roman"/>
                <w:kern w:val="0"/>
                <w:lang w:eastAsia="ro-MD"/>
                <w14:ligatures w14:val="none"/>
              </w:rPr>
              <w:t>punctul 135 a Regulamentului</w:t>
            </w:r>
            <w:r w:rsidRPr="00E91D07">
              <w:rPr>
                <w:rFonts w:ascii="Times New Roman" w:eastAsia="Times New Roman" w:hAnsi="Times New Roman" w:cs="Times New Roman"/>
                <w:kern w:val="0"/>
                <w:lang w:eastAsia="ro-MD"/>
                <w14:ligatures w14:val="none"/>
              </w:rPr>
              <w:t xml:space="preserve"> nr. </w:t>
            </w:r>
            <w:r w:rsidR="00DA674B" w:rsidRPr="00E91D07">
              <w:rPr>
                <w:rFonts w:ascii="Times New Roman" w:eastAsia="Times New Roman" w:hAnsi="Times New Roman" w:cs="Times New Roman"/>
                <w:kern w:val="0"/>
                <w:lang w:eastAsia="ro-MD"/>
                <w14:ligatures w14:val="none"/>
              </w:rPr>
              <w:t>109</w:t>
            </w:r>
            <w:r w:rsidRPr="00E91D07">
              <w:rPr>
                <w:rFonts w:ascii="Times New Roman" w:eastAsia="Times New Roman" w:hAnsi="Times New Roman" w:cs="Times New Roman"/>
                <w:kern w:val="0"/>
                <w:lang w:eastAsia="ro-MD"/>
                <w14:ligatures w14:val="none"/>
              </w:rPr>
              <w:t>/20</w:t>
            </w:r>
            <w:r w:rsidR="00DA674B" w:rsidRPr="00E91D07">
              <w:rPr>
                <w:rFonts w:ascii="Times New Roman" w:eastAsia="Times New Roman" w:hAnsi="Times New Roman" w:cs="Times New Roman"/>
                <w:kern w:val="0"/>
                <w:lang w:eastAsia="ro-MD"/>
                <w14:ligatures w14:val="none"/>
              </w:rPr>
              <w:t>18</w:t>
            </w:r>
            <w:r w:rsidRPr="00E91D07">
              <w:rPr>
                <w:rFonts w:ascii="Times New Roman" w:eastAsia="Times New Roman" w:hAnsi="Times New Roman" w:cs="Times New Roman"/>
                <w:kern w:val="0"/>
                <w:lang w:eastAsia="ro-MD"/>
                <w14:ligatures w14:val="none"/>
              </w:rPr>
              <w:t xml:space="preserve"> își defalcă, de asemenea, pozițiile din </w:t>
            </w:r>
            <w:r w:rsidR="00DA674B" w:rsidRPr="00E91D07">
              <w:rPr>
                <w:rFonts w:ascii="Times New Roman" w:eastAsia="Times New Roman" w:hAnsi="Times New Roman" w:cs="Times New Roman"/>
                <w:kern w:val="0"/>
                <w:lang w:eastAsia="ro-MD"/>
                <w14:ligatures w14:val="none"/>
              </w:rPr>
              <w:t>„</w:t>
            </w:r>
            <w:r w:rsidRPr="00E91D07">
              <w:rPr>
                <w:rFonts w:ascii="Times New Roman" w:eastAsia="Times New Roman" w:hAnsi="Times New Roman" w:cs="Times New Roman"/>
                <w:kern w:val="0"/>
                <w:lang w:eastAsia="ro-MD"/>
                <w14:ligatures w14:val="none"/>
              </w:rPr>
              <w:t>portofoliul de tranzacționare</w:t>
            </w:r>
            <w:r w:rsidR="00DA674B" w:rsidRPr="00E91D07">
              <w:rPr>
                <w:rFonts w:ascii="Times New Roman" w:eastAsia="Times New Roman" w:hAnsi="Times New Roman" w:cs="Times New Roman"/>
                <w:kern w:val="0"/>
                <w:lang w:eastAsia="ro-MD"/>
                <w14:ligatures w14:val="none"/>
              </w:rPr>
              <w:t>”</w:t>
            </w:r>
            <w:r w:rsidRPr="00E91D07">
              <w:rPr>
                <w:rFonts w:ascii="Times New Roman" w:eastAsia="Times New Roman" w:hAnsi="Times New Roman" w:cs="Times New Roman"/>
                <w:kern w:val="0"/>
                <w:lang w:eastAsia="ro-MD"/>
                <w14:ligatures w14:val="none"/>
              </w:rPr>
              <w:t xml:space="preserve"> menționat la </w:t>
            </w:r>
            <w:r w:rsidR="00DA674B" w:rsidRPr="00E91D07">
              <w:rPr>
                <w:rFonts w:ascii="Times New Roman" w:eastAsia="Times New Roman" w:hAnsi="Times New Roman" w:cs="Times New Roman"/>
                <w:kern w:val="0"/>
                <w:lang w:eastAsia="ro-MD"/>
                <w14:ligatures w14:val="none"/>
              </w:rPr>
              <w:t>punctul 132 subpunctul 2) d</w:t>
            </w:r>
            <w:r w:rsidRPr="00E91D07">
              <w:rPr>
                <w:rFonts w:ascii="Times New Roman" w:eastAsia="Times New Roman" w:hAnsi="Times New Roman" w:cs="Times New Roman"/>
                <w:kern w:val="0"/>
                <w:lang w:eastAsia="ro-MD"/>
                <w14:ligatures w14:val="none"/>
              </w:rPr>
              <w:t xml:space="preserve">in regulamentul </w:t>
            </w:r>
            <w:r w:rsidR="00DA674B" w:rsidRPr="00E91D07">
              <w:rPr>
                <w:rFonts w:ascii="Times New Roman" w:eastAsia="Times New Roman" w:hAnsi="Times New Roman" w:cs="Times New Roman"/>
                <w:kern w:val="0"/>
                <w:lang w:eastAsia="ro-MD"/>
                <w14:ligatures w14:val="none"/>
              </w:rPr>
              <w:t>109/2018</w:t>
            </w:r>
            <w:r w:rsidRPr="00E91D07">
              <w:rPr>
                <w:rFonts w:ascii="Times New Roman" w:eastAsia="Times New Roman" w:hAnsi="Times New Roman" w:cs="Times New Roman"/>
                <w:kern w:val="0"/>
                <w:lang w:eastAsia="ro-MD"/>
                <w14:ligatures w14:val="none"/>
              </w:rPr>
              <w:t xml:space="preserve">, pe baza criteriilor prevăzute mai jos, în expuneri bilanțiere supuse riscului de credit, expuneri </w:t>
            </w:r>
            <w:proofErr w:type="spellStart"/>
            <w:r w:rsidRPr="00E91D07">
              <w:rPr>
                <w:rFonts w:ascii="Times New Roman" w:eastAsia="Times New Roman" w:hAnsi="Times New Roman" w:cs="Times New Roman"/>
                <w:kern w:val="0"/>
                <w:lang w:eastAsia="ro-MD"/>
                <w14:ligatures w14:val="none"/>
              </w:rPr>
              <w:t>extrabilanțiere</w:t>
            </w:r>
            <w:proofErr w:type="spellEnd"/>
            <w:r w:rsidRPr="00E91D07">
              <w:rPr>
                <w:rFonts w:ascii="Times New Roman" w:eastAsia="Times New Roman" w:hAnsi="Times New Roman" w:cs="Times New Roman"/>
                <w:kern w:val="0"/>
                <w:lang w:eastAsia="ro-MD"/>
                <w14:ligatures w14:val="none"/>
              </w:rPr>
              <w:t xml:space="preserve"> supuse riscului de credit și expuneri supuse riscului de credit al </w:t>
            </w:r>
            <w:proofErr w:type="spellStart"/>
            <w:r w:rsidRPr="00E91D07">
              <w:rPr>
                <w:rFonts w:ascii="Times New Roman" w:eastAsia="Times New Roman" w:hAnsi="Times New Roman" w:cs="Times New Roman"/>
                <w:kern w:val="0"/>
                <w:lang w:eastAsia="ro-MD"/>
                <w14:ligatures w14:val="none"/>
              </w:rPr>
              <w:t>contrapărții</w:t>
            </w:r>
            <w:proofErr w:type="spellEnd"/>
            <w:r w:rsidRPr="00E91D07">
              <w:rPr>
                <w:rFonts w:ascii="Times New Roman" w:eastAsia="Times New Roman" w:hAnsi="Times New Roman" w:cs="Times New Roman"/>
                <w:kern w:val="0"/>
                <w:lang w:eastAsia="ro-MD"/>
                <w14:ligatures w14:val="none"/>
              </w:rPr>
              <w:t>.</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798DD" w14:textId="6BB35D21" w:rsidR="008844AC" w:rsidRPr="00E91D07"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359E3163"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22B3F" w14:textId="56E52E58"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070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1D45F"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 xml:space="preserve">Expuneri </w:t>
            </w:r>
            <w:proofErr w:type="spellStart"/>
            <w:r w:rsidRPr="008844AC">
              <w:rPr>
                <w:rFonts w:ascii="Times New Roman" w:eastAsia="Times New Roman" w:hAnsi="Times New Roman" w:cs="Times New Roman"/>
                <w:b/>
                <w:bCs/>
                <w:kern w:val="0"/>
                <w:lang w:eastAsia="ro-MD"/>
                <w14:ligatures w14:val="none"/>
              </w:rPr>
              <w:t>bilanţiere</w:t>
            </w:r>
            <w:proofErr w:type="spellEnd"/>
            <w:r w:rsidRPr="008844AC">
              <w:rPr>
                <w:rFonts w:ascii="Times New Roman" w:eastAsia="Times New Roman" w:hAnsi="Times New Roman" w:cs="Times New Roman"/>
                <w:b/>
                <w:bCs/>
                <w:kern w:val="0"/>
                <w:lang w:eastAsia="ro-MD"/>
                <w14:ligatures w14:val="none"/>
              </w:rPr>
              <w:t xml:space="preserve"> supuse riscului de credit</w:t>
            </w:r>
            <w:r w:rsidRPr="008844AC">
              <w:rPr>
                <w:rFonts w:ascii="Times New Roman" w:eastAsia="Times New Roman" w:hAnsi="Times New Roman" w:cs="Times New Roman"/>
                <w:kern w:val="0"/>
                <w:lang w:eastAsia="ro-MD"/>
                <w14:ligatures w14:val="none"/>
              </w:rPr>
              <w:t xml:space="preserve"> </w:t>
            </w:r>
          </w:p>
          <w:p w14:paraId="5B286C66" w14:textId="77777777" w:rsidR="00F9395C" w:rsidRPr="00AF6B97" w:rsidRDefault="00F9395C" w:rsidP="00A84D2B">
            <w:pPr>
              <w:pStyle w:val="InstructionsText"/>
            </w:pPr>
            <w:r w:rsidRPr="00052914">
              <w:t xml:space="preserve">Expunerile supuse riscului de credit al </w:t>
            </w:r>
            <w:proofErr w:type="spellStart"/>
            <w:r w:rsidRPr="00052914">
              <w:t>contrapărții</w:t>
            </w:r>
            <w:proofErr w:type="spellEnd"/>
            <w:r w:rsidRPr="00052914">
              <w:t xml:space="preserve"> se raportează pe rândurile 0090-0130</w:t>
            </w:r>
            <w:r w:rsidRPr="00AF6B97">
              <w:t xml:space="preserve"> și, prin urmare, nu se raportează pe acest rând.</w:t>
            </w:r>
          </w:p>
          <w:p w14:paraId="0FC57F14" w14:textId="22EEB772"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roofErr w:type="spellStart"/>
            <w:r w:rsidRPr="008844AC">
              <w:rPr>
                <w:rFonts w:ascii="Times New Roman" w:eastAsia="Times New Roman" w:hAnsi="Times New Roman" w:cs="Times New Roman"/>
                <w:kern w:val="0"/>
                <w:lang w:eastAsia="ro-MD"/>
                <w14:ligatures w14:val="none"/>
              </w:rPr>
              <w:t>Tranzacţiile</w:t>
            </w:r>
            <w:proofErr w:type="spellEnd"/>
            <w:r w:rsidRPr="008844AC">
              <w:rPr>
                <w:rFonts w:ascii="Times New Roman" w:eastAsia="Times New Roman" w:hAnsi="Times New Roman" w:cs="Times New Roman"/>
                <w:kern w:val="0"/>
                <w:lang w:eastAsia="ro-MD"/>
                <w14:ligatures w14:val="none"/>
              </w:rPr>
              <w:t xml:space="preserve"> incomplete prevăzute la punctul 9 din Regulamentul </w:t>
            </w:r>
            <w:r w:rsidR="00F9395C">
              <w:rPr>
                <w:rFonts w:ascii="Times New Roman" w:eastAsia="Times New Roman" w:hAnsi="Times New Roman" w:cs="Times New Roman"/>
                <w:kern w:val="0"/>
                <w:lang w:eastAsia="ro-MD"/>
                <w14:ligatures w14:val="none"/>
              </w:rPr>
              <w:t>nr. 115/2018</w:t>
            </w:r>
            <w:r w:rsidRPr="008844AC">
              <w:rPr>
                <w:rFonts w:ascii="Times New Roman" w:eastAsia="Times New Roman" w:hAnsi="Times New Roman" w:cs="Times New Roman"/>
                <w:kern w:val="0"/>
                <w:lang w:eastAsia="ro-MD"/>
                <w14:ligatures w14:val="none"/>
              </w:rPr>
              <w:t xml:space="preserve"> (dacă nu sunt deduse) nu constituie un element </w:t>
            </w:r>
            <w:proofErr w:type="spellStart"/>
            <w:r w:rsidRPr="008844AC">
              <w:rPr>
                <w:rFonts w:ascii="Times New Roman" w:eastAsia="Times New Roman" w:hAnsi="Times New Roman" w:cs="Times New Roman"/>
                <w:kern w:val="0"/>
                <w:lang w:eastAsia="ro-MD"/>
                <w14:ligatures w14:val="none"/>
              </w:rPr>
              <w:t>bilanţier</w:t>
            </w:r>
            <w:proofErr w:type="spellEnd"/>
            <w:r w:rsidRPr="008844AC">
              <w:rPr>
                <w:rFonts w:ascii="Times New Roman" w:eastAsia="Times New Roman" w:hAnsi="Times New Roman" w:cs="Times New Roman"/>
                <w:kern w:val="0"/>
                <w:lang w:eastAsia="ro-MD"/>
                <w14:ligatures w14:val="none"/>
              </w:rPr>
              <w:t>, cu toate acestea, se raportează la acest rând.</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8D272"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07C56B98"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971DE" w14:textId="17EE5787" w:rsidR="008844AC" w:rsidRPr="008844AC" w:rsidRDefault="008844AC" w:rsidP="008844AC">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sidR="00E63527">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80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20F65"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 xml:space="preserve">Expuneri </w:t>
            </w:r>
            <w:proofErr w:type="spellStart"/>
            <w:r w:rsidRPr="008844AC">
              <w:rPr>
                <w:rFonts w:ascii="Times New Roman" w:eastAsia="Times New Roman" w:hAnsi="Times New Roman" w:cs="Times New Roman"/>
                <w:b/>
                <w:bCs/>
                <w:kern w:val="0"/>
                <w:lang w:eastAsia="ro-MD"/>
                <w14:ligatures w14:val="none"/>
              </w:rPr>
              <w:t>extrabilanţiere</w:t>
            </w:r>
            <w:proofErr w:type="spellEnd"/>
            <w:r w:rsidRPr="008844AC">
              <w:rPr>
                <w:rFonts w:ascii="Times New Roman" w:eastAsia="Times New Roman" w:hAnsi="Times New Roman" w:cs="Times New Roman"/>
                <w:b/>
                <w:bCs/>
                <w:kern w:val="0"/>
                <w:lang w:eastAsia="ro-MD"/>
                <w14:ligatures w14:val="none"/>
              </w:rPr>
              <w:t xml:space="preserve"> supuse riscului de credit</w:t>
            </w:r>
            <w:r w:rsidRPr="008844AC">
              <w:rPr>
                <w:rFonts w:ascii="Times New Roman" w:eastAsia="Times New Roman" w:hAnsi="Times New Roman" w:cs="Times New Roman"/>
                <w:kern w:val="0"/>
                <w:lang w:eastAsia="ro-MD"/>
                <w14:ligatures w14:val="none"/>
              </w:rPr>
              <w:t xml:space="preserve"> </w:t>
            </w:r>
          </w:p>
          <w:p w14:paraId="61453C94" w14:textId="3B004564"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roofErr w:type="spellStart"/>
            <w:r w:rsidRPr="008844AC">
              <w:rPr>
                <w:rFonts w:ascii="Times New Roman" w:eastAsia="Times New Roman" w:hAnsi="Times New Roman" w:cs="Times New Roman"/>
                <w:kern w:val="0"/>
                <w:lang w:eastAsia="ro-MD"/>
                <w14:ligatures w14:val="none"/>
              </w:rPr>
              <w:t>Poziţiile</w:t>
            </w:r>
            <w:proofErr w:type="spellEnd"/>
            <w:r w:rsidRPr="008844AC">
              <w:rPr>
                <w:rFonts w:ascii="Times New Roman" w:eastAsia="Times New Roman" w:hAnsi="Times New Roman" w:cs="Times New Roman"/>
                <w:kern w:val="0"/>
                <w:lang w:eastAsia="ro-MD"/>
                <w14:ligatures w14:val="none"/>
              </w:rPr>
              <w:t xml:space="preserve"> </w:t>
            </w:r>
            <w:proofErr w:type="spellStart"/>
            <w:r w:rsidRPr="008844AC">
              <w:rPr>
                <w:rFonts w:ascii="Times New Roman" w:eastAsia="Times New Roman" w:hAnsi="Times New Roman" w:cs="Times New Roman"/>
                <w:kern w:val="0"/>
                <w:lang w:eastAsia="ro-MD"/>
                <w14:ligatures w14:val="none"/>
              </w:rPr>
              <w:t>extrabilanţiere</w:t>
            </w:r>
            <w:proofErr w:type="spellEnd"/>
            <w:r w:rsidRPr="008844AC">
              <w:rPr>
                <w:rFonts w:ascii="Times New Roman" w:eastAsia="Times New Roman" w:hAnsi="Times New Roman" w:cs="Times New Roman"/>
                <w:kern w:val="0"/>
                <w:lang w:eastAsia="ro-MD"/>
                <w14:ligatures w14:val="none"/>
              </w:rPr>
              <w:t xml:space="preserve"> cuprind elementele enumerate în anexa nr.1 la Regulamentul </w:t>
            </w:r>
            <w:r w:rsidR="008B0FF0">
              <w:rPr>
                <w:rFonts w:ascii="Times New Roman" w:eastAsia="Times New Roman" w:hAnsi="Times New Roman" w:cs="Times New Roman"/>
                <w:kern w:val="0"/>
                <w:lang w:eastAsia="ro-MD"/>
                <w14:ligatures w14:val="none"/>
              </w:rPr>
              <w:t>nr. 111/2018</w:t>
            </w:r>
            <w:r w:rsidRPr="008844AC">
              <w:rPr>
                <w:rFonts w:ascii="Times New Roman" w:eastAsia="Times New Roman" w:hAnsi="Times New Roman" w:cs="Times New Roman"/>
                <w:kern w:val="0"/>
                <w:lang w:eastAsia="ro-MD"/>
                <w14:ligatures w14:val="none"/>
              </w:rPr>
              <w:t>.</w:t>
            </w:r>
          </w:p>
          <w:p w14:paraId="3831DE06" w14:textId="13C574B5" w:rsidR="008844AC" w:rsidRPr="008844AC" w:rsidRDefault="008B0FF0" w:rsidP="00A84D2B">
            <w:pPr>
              <w:pStyle w:val="InstructionsText"/>
              <w:rPr>
                <w:lang w:eastAsia="ro-MD"/>
              </w:rPr>
            </w:pPr>
            <w:r w:rsidRPr="00052914">
              <w:t xml:space="preserve">Expunerile supuse riscului de credit al </w:t>
            </w:r>
            <w:proofErr w:type="spellStart"/>
            <w:r w:rsidRPr="00052914">
              <w:t>contrapărții</w:t>
            </w:r>
            <w:proofErr w:type="spellEnd"/>
            <w:r w:rsidRPr="00052914">
              <w:t xml:space="preserve"> se raportează pe rândurile 0090-0130</w:t>
            </w:r>
            <w:r w:rsidRPr="00AF6B97">
              <w:t xml:space="preserve"> și, prin urmare, nu se raportează pe acest rând.</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F4C77"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34D444BE"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3BBD4B29" w14:textId="6BCD3F2A" w:rsidR="008844AC" w:rsidRPr="008844AC" w:rsidRDefault="008844AC" w:rsidP="008844AC">
            <w:pPr>
              <w:spacing w:after="0" w:line="240" w:lineRule="auto"/>
              <w:jc w:val="center"/>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r w:rsidR="00E63527">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90-</w:t>
            </w:r>
            <w:r w:rsidR="00E63527">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130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0B1B1" w14:textId="238FA064" w:rsidR="008844AC" w:rsidRDefault="008844AC" w:rsidP="008844AC">
            <w:pPr>
              <w:spacing w:after="0" w:line="240" w:lineRule="auto"/>
              <w:rPr>
                <w:rFonts w:ascii="Times New Roman" w:eastAsia="Times New Roman" w:hAnsi="Times New Roman" w:cs="Times New Roman"/>
                <w:b/>
                <w:bCs/>
                <w:kern w:val="0"/>
                <w:lang w:eastAsia="ro-MD"/>
                <w14:ligatures w14:val="none"/>
              </w:rPr>
            </w:pPr>
            <w:r w:rsidRPr="008844AC">
              <w:rPr>
                <w:rFonts w:ascii="Times New Roman" w:eastAsia="Times New Roman" w:hAnsi="Times New Roman" w:cs="Times New Roman"/>
                <w:b/>
                <w:bCs/>
                <w:kern w:val="0"/>
                <w:lang w:eastAsia="ro-MD"/>
                <w14:ligatures w14:val="none"/>
              </w:rPr>
              <w:t>Expuneri/</w:t>
            </w:r>
            <w:proofErr w:type="spellStart"/>
            <w:r w:rsidRPr="008844AC">
              <w:rPr>
                <w:rFonts w:ascii="Times New Roman" w:eastAsia="Times New Roman" w:hAnsi="Times New Roman" w:cs="Times New Roman"/>
                <w:b/>
                <w:bCs/>
                <w:kern w:val="0"/>
                <w:lang w:eastAsia="ro-MD"/>
                <w14:ligatures w14:val="none"/>
              </w:rPr>
              <w:t>tranzacţii</w:t>
            </w:r>
            <w:proofErr w:type="spellEnd"/>
            <w:r w:rsidRPr="008844AC">
              <w:rPr>
                <w:rFonts w:ascii="Times New Roman" w:eastAsia="Times New Roman" w:hAnsi="Times New Roman" w:cs="Times New Roman"/>
                <w:b/>
                <w:bCs/>
                <w:kern w:val="0"/>
                <w:lang w:eastAsia="ro-MD"/>
                <w14:ligatures w14:val="none"/>
              </w:rPr>
              <w:t xml:space="preserve"> supuse riscului de credit al </w:t>
            </w:r>
            <w:proofErr w:type="spellStart"/>
            <w:r w:rsidRPr="008844AC">
              <w:rPr>
                <w:rFonts w:ascii="Times New Roman" w:eastAsia="Times New Roman" w:hAnsi="Times New Roman" w:cs="Times New Roman"/>
                <w:b/>
                <w:bCs/>
                <w:kern w:val="0"/>
                <w:lang w:eastAsia="ro-MD"/>
                <w14:ligatures w14:val="none"/>
              </w:rPr>
              <w:t>contrap</w:t>
            </w:r>
            <w:r w:rsidR="004A3D11">
              <w:rPr>
                <w:rFonts w:ascii="Times New Roman" w:eastAsia="Times New Roman" w:hAnsi="Times New Roman" w:cs="Times New Roman"/>
                <w:b/>
                <w:bCs/>
                <w:kern w:val="0"/>
                <w:lang w:eastAsia="ro-MD"/>
                <w14:ligatures w14:val="none"/>
              </w:rPr>
              <w:t>ărții</w:t>
            </w:r>
            <w:proofErr w:type="spellEnd"/>
          </w:p>
          <w:p w14:paraId="67F92C6C" w14:textId="2EDE9688" w:rsidR="00895E30" w:rsidRPr="008844AC" w:rsidRDefault="00895E30" w:rsidP="008844AC">
            <w:pPr>
              <w:spacing w:after="0" w:line="240" w:lineRule="auto"/>
              <w:rPr>
                <w:rFonts w:ascii="Times New Roman" w:eastAsia="Times New Roman" w:hAnsi="Times New Roman" w:cs="Times New Roman"/>
                <w:kern w:val="0"/>
                <w:lang w:eastAsia="ro-MD"/>
                <w14:ligatures w14:val="none"/>
              </w:rPr>
            </w:pPr>
            <w:r w:rsidRPr="00052914">
              <w:rPr>
                <w:rFonts w:ascii="Times New Roman" w:hAnsi="Times New Roman" w:cs="Times New Roman"/>
              </w:rPr>
              <w:t xml:space="preserve">Tranzacțiile supuse riscului de credit al </w:t>
            </w:r>
            <w:proofErr w:type="spellStart"/>
            <w:r w:rsidRPr="00052914">
              <w:rPr>
                <w:rFonts w:ascii="Times New Roman" w:hAnsi="Times New Roman" w:cs="Times New Roman"/>
              </w:rPr>
              <w:t>contrapărții</w:t>
            </w:r>
            <w:proofErr w:type="spellEnd"/>
            <w:r w:rsidRPr="00052914">
              <w:rPr>
                <w:rFonts w:ascii="Times New Roman" w:hAnsi="Times New Roman" w:cs="Times New Roman"/>
              </w:rPr>
              <w:t>, și anume instrumentele financiare derivate, tranzacțiile de răscumpărare, operațiunile de dare sau luare de titluri sau mărfuri cu împrumut, tranzacțiile cu termen lung de decontare și tranzacțiile de creditare în marjă.</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A24D7"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E91D07" w14:paraId="643797A7"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DF16F" w14:textId="45486450" w:rsidR="008844AC" w:rsidRPr="00E91D07" w:rsidRDefault="00E63527" w:rsidP="008844AC">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8844AC" w:rsidRPr="00E91D07">
              <w:rPr>
                <w:rFonts w:ascii="Times New Roman" w:eastAsia="Times New Roman" w:hAnsi="Times New Roman" w:cs="Times New Roman"/>
                <w:kern w:val="0"/>
                <w:lang w:eastAsia="ro-MD"/>
                <w14:ligatures w14:val="none"/>
              </w:rPr>
              <w:t>090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CCC0E" w14:textId="77777777" w:rsidR="00CB23EE" w:rsidRPr="00E91D07" w:rsidRDefault="00CB23EE" w:rsidP="00A84D2B">
            <w:pPr>
              <w:pStyle w:val="InstructionsText"/>
            </w:pPr>
            <w:r w:rsidRPr="00E91D07">
              <w:rPr>
                <w:rStyle w:val="InstructionsTabelleberschrift"/>
                <w:rFonts w:ascii="Times New Roman" w:hAnsi="Times New Roman"/>
                <w:sz w:val="22"/>
                <w:u w:val="none"/>
              </w:rPr>
              <w:t>Seturi de compensare pentru operațiunile de finanțare prin instrumente financiare</w:t>
            </w:r>
          </w:p>
          <w:p w14:paraId="748CF4D9" w14:textId="545B5CEA" w:rsidR="00CB23EE" w:rsidRPr="00E91D07" w:rsidRDefault="00CB23EE" w:rsidP="00A84D2B">
            <w:pPr>
              <w:pStyle w:val="InstructionsText"/>
            </w:pPr>
            <w:r w:rsidRPr="00E91D07">
              <w:t>Seturile de compensare care conțin doar operațiuni de finanțare prin instrumente financiare (</w:t>
            </w:r>
            <w:r w:rsidR="00813595">
              <w:t xml:space="preserve">în continuare </w:t>
            </w:r>
            <w:r w:rsidRPr="00E91D07">
              <w:t xml:space="preserve">SFT), astfel cum sunt definite la </w:t>
            </w:r>
            <w:r w:rsidR="00FD16D6" w:rsidRPr="00E91D07">
              <w:t>punctul 5.2.</w:t>
            </w:r>
            <w:r w:rsidRPr="00E91D07">
              <w:t xml:space="preserve"> din Regulamentul </w:t>
            </w:r>
            <w:r w:rsidR="00FD16D6" w:rsidRPr="00E91D07">
              <w:t>nr. 176/2025 privind efectul de levier</w:t>
            </w:r>
            <w:r w:rsidRPr="00E91D07">
              <w:t>.</w:t>
            </w:r>
          </w:p>
          <w:p w14:paraId="0A4A3898" w14:textId="5527A9A6" w:rsidR="008844AC" w:rsidRPr="00E91D07" w:rsidRDefault="00CB23EE" w:rsidP="008844AC">
            <w:pPr>
              <w:spacing w:after="0" w:line="240" w:lineRule="auto"/>
              <w:rPr>
                <w:rFonts w:ascii="Times New Roman" w:eastAsia="Times New Roman" w:hAnsi="Times New Roman" w:cs="Times New Roman"/>
                <w:kern w:val="0"/>
                <w:lang w:eastAsia="ro-MD"/>
                <w14:ligatures w14:val="none"/>
              </w:rPr>
            </w:pPr>
            <w:r w:rsidRPr="00E91D07">
              <w:rPr>
                <w:rFonts w:ascii="Times New Roman" w:hAnsi="Times New Roman" w:cs="Times New Roman"/>
              </w:rPr>
              <w:lastRenderedPageBreak/>
              <w:t>SFT-urile care sunt incluse într-un set de compensare contractuală între produse diferite și, prin urmare, raportate pe rândul 0130 nu trebuie raportate pe acest rând.</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9DC5C" w14:textId="77777777" w:rsidR="008844AC" w:rsidRPr="00E91D07"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01480F8F"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1C087" w14:textId="4724ED7B"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100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3D33B" w14:textId="1E2DDBCD" w:rsidR="008844AC" w:rsidRPr="008844AC" w:rsidRDefault="00C058A3"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b/>
                <w:bCs/>
                <w:kern w:val="0"/>
                <w:lang w:eastAsia="ro-MD"/>
                <w14:ligatures w14:val="none"/>
              </w:rPr>
              <w:t>d</w:t>
            </w:r>
            <w:r w:rsidR="008844AC" w:rsidRPr="008844AC">
              <w:rPr>
                <w:rFonts w:ascii="Times New Roman" w:eastAsia="Times New Roman" w:hAnsi="Times New Roman" w:cs="Times New Roman"/>
                <w:b/>
                <w:bCs/>
                <w:kern w:val="0"/>
                <w:lang w:eastAsia="ro-MD"/>
                <w14:ligatures w14:val="none"/>
              </w:rPr>
              <w:t>in care: compensate la nivel central printr-o CPCC</w:t>
            </w:r>
            <w:r w:rsidR="008844AC" w:rsidRPr="008844AC">
              <w:rPr>
                <w:rFonts w:ascii="Times New Roman" w:eastAsia="Times New Roman" w:hAnsi="Times New Roman" w:cs="Times New Roman"/>
                <w:kern w:val="0"/>
                <w:lang w:eastAsia="ro-MD"/>
                <w14:ligatures w14:val="none"/>
              </w:rPr>
              <w:t xml:space="preserve"> </w:t>
            </w:r>
          </w:p>
          <w:p w14:paraId="5CCB769E" w14:textId="0361756C" w:rsidR="008844AC" w:rsidRPr="00B973D9" w:rsidRDefault="000E2171" w:rsidP="008844AC">
            <w:pPr>
              <w:spacing w:after="0" w:line="240" w:lineRule="auto"/>
              <w:rPr>
                <w:rFonts w:ascii="Times New Roman" w:eastAsia="Times New Roman" w:hAnsi="Times New Roman" w:cs="Times New Roman"/>
                <w:kern w:val="0"/>
                <w:lang w:val="ro-RO" w:eastAsia="ro-MD"/>
                <w14:ligatures w14:val="none"/>
              </w:rPr>
            </w:pPr>
            <w:r w:rsidRPr="00052914">
              <w:rPr>
                <w:rFonts w:ascii="Times New Roman" w:eastAsia="Times New Roman" w:hAnsi="Times New Roman" w:cs="Times New Roman"/>
                <w:kern w:val="0"/>
                <w:lang w:val="ro-RO" w:eastAsia="de-DE"/>
                <w14:ligatures w14:val="none"/>
              </w:rPr>
              <w:t xml:space="preserve">Contractele și tranzacțiile enumerate la punctul 125 din Regulamentul nr. 220/2025 atât timp cât sunt în derulare cu o </w:t>
            </w:r>
            <w:proofErr w:type="spellStart"/>
            <w:r w:rsidRPr="00052914">
              <w:rPr>
                <w:rFonts w:ascii="Times New Roman" w:eastAsia="Times New Roman" w:hAnsi="Times New Roman" w:cs="Times New Roman"/>
                <w:kern w:val="0"/>
                <w:lang w:val="ro-RO" w:eastAsia="de-DE"/>
                <w14:ligatures w14:val="none"/>
              </w:rPr>
              <w:t>contraparte</w:t>
            </w:r>
            <w:proofErr w:type="spellEnd"/>
            <w:r w:rsidRPr="00052914">
              <w:rPr>
                <w:rFonts w:ascii="Times New Roman" w:eastAsia="Times New Roman" w:hAnsi="Times New Roman" w:cs="Times New Roman"/>
                <w:kern w:val="0"/>
                <w:lang w:val="ro-RO" w:eastAsia="de-DE"/>
                <w14:ligatures w14:val="none"/>
              </w:rPr>
              <w:t xml:space="preserve"> centrală calificată (</w:t>
            </w:r>
            <w:r w:rsidR="00582EDE">
              <w:rPr>
                <w:rFonts w:ascii="Times New Roman" w:eastAsia="Times New Roman" w:hAnsi="Times New Roman" w:cs="Times New Roman"/>
                <w:kern w:val="0"/>
                <w:lang w:val="ro-RO" w:eastAsia="de-DE"/>
                <w14:ligatures w14:val="none"/>
              </w:rPr>
              <w:t xml:space="preserve">în continuare </w:t>
            </w:r>
            <w:r w:rsidRPr="00052914">
              <w:rPr>
                <w:rFonts w:ascii="Times New Roman" w:eastAsia="Times New Roman" w:hAnsi="Times New Roman" w:cs="Times New Roman"/>
                <w:kern w:val="0"/>
                <w:lang w:val="ro-RO" w:eastAsia="de-DE"/>
                <w14:ligatures w14:val="none"/>
              </w:rPr>
              <w:t>CPCC), astfel cum este definită la punctul 3</w:t>
            </w:r>
            <w:r>
              <w:rPr>
                <w:rFonts w:ascii="Times New Roman" w:eastAsia="Times New Roman" w:hAnsi="Times New Roman" w:cs="Times New Roman"/>
                <w:kern w:val="0"/>
                <w:lang w:val="ro-RO" w:eastAsia="de-DE"/>
                <w14:ligatures w14:val="none"/>
              </w:rPr>
              <w:t xml:space="preserve"> al regulamentului </w:t>
            </w:r>
            <w:r w:rsidR="00CA7856">
              <w:rPr>
                <w:rFonts w:ascii="Times New Roman" w:eastAsia="Times New Roman" w:hAnsi="Times New Roman" w:cs="Times New Roman"/>
                <w:kern w:val="0"/>
                <w:lang w:val="ro-RO" w:eastAsia="de-DE"/>
                <w14:ligatures w14:val="none"/>
              </w:rPr>
              <w:t xml:space="preserve">respectiv, </w:t>
            </w:r>
            <w:r w:rsidR="00CA7856" w:rsidRPr="00052914">
              <w:rPr>
                <w:rFonts w:ascii="Times New Roman" w:eastAsia="Times New Roman" w:hAnsi="Times New Roman" w:cs="Times New Roman"/>
                <w:kern w:val="0"/>
                <w:lang w:val="ro-RO" w:eastAsia="de-DE"/>
                <w14:ligatures w14:val="none"/>
              </w:rPr>
              <w:t xml:space="preserve">inclusiv tranzacțiile legate de o CPCC, pentru care cuantumurile ponderate la risc ale expunerilor sunt calculate în conformitate cu capitolul </w:t>
            </w:r>
            <w:r w:rsidR="00CA7856">
              <w:rPr>
                <w:rFonts w:ascii="Times New Roman" w:eastAsia="Times New Roman" w:hAnsi="Times New Roman" w:cs="Times New Roman"/>
                <w:kern w:val="0"/>
                <w:lang w:val="ro-RO" w:eastAsia="de-DE"/>
                <w14:ligatures w14:val="none"/>
              </w:rPr>
              <w:t>VIII</w:t>
            </w:r>
            <w:r w:rsidR="00CA7856" w:rsidRPr="00052914">
              <w:rPr>
                <w:rFonts w:ascii="Times New Roman" w:eastAsia="Times New Roman" w:hAnsi="Times New Roman" w:cs="Times New Roman"/>
                <w:kern w:val="0"/>
                <w:lang w:val="ro-RO" w:eastAsia="de-DE"/>
                <w14:ligatures w14:val="none"/>
              </w:rPr>
              <w:t xml:space="preserve"> din același regulament. O tranzacție legată de o CPCC are același sens ca o tranzacție legată de o CPC, definită la </w:t>
            </w:r>
            <w:r w:rsidR="00CA7856">
              <w:rPr>
                <w:rFonts w:ascii="Times New Roman" w:eastAsia="Times New Roman" w:hAnsi="Times New Roman" w:cs="Times New Roman"/>
                <w:kern w:val="0"/>
                <w:lang w:val="ro-RO" w:eastAsia="de-DE"/>
                <w14:ligatures w14:val="none"/>
              </w:rPr>
              <w:t>punct</w:t>
            </w:r>
            <w:r w:rsidR="00CA7856" w:rsidRPr="00B973D9">
              <w:rPr>
                <w:rFonts w:ascii="Times New Roman" w:eastAsia="Times New Roman" w:hAnsi="Times New Roman" w:cs="Times New Roman"/>
                <w:kern w:val="0"/>
                <w:lang w:val="ro-RO" w:eastAsia="de-DE"/>
                <w14:ligatures w14:val="none"/>
              </w:rPr>
              <w:t>ul 3, atunci când CPC este o CPCC.</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272BA"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002F32DB"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98716" w14:textId="6A24C54F"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110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0424A" w14:textId="22D3D02F" w:rsidR="008844AC" w:rsidRPr="008844AC" w:rsidRDefault="00CA7856"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b/>
                <w:bCs/>
                <w:kern w:val="0"/>
                <w:lang w:eastAsia="ro-MD"/>
                <w14:ligatures w14:val="none"/>
              </w:rPr>
              <w:t>Seturi de compensare pentru i</w:t>
            </w:r>
            <w:r w:rsidR="008844AC" w:rsidRPr="008844AC">
              <w:rPr>
                <w:rFonts w:ascii="Times New Roman" w:eastAsia="Times New Roman" w:hAnsi="Times New Roman" w:cs="Times New Roman"/>
                <w:b/>
                <w:bCs/>
                <w:kern w:val="0"/>
                <w:lang w:eastAsia="ro-MD"/>
                <w14:ligatures w14:val="none"/>
              </w:rPr>
              <w:t xml:space="preserve">nstrumentele financiare derivate </w:t>
            </w:r>
            <w:proofErr w:type="spellStart"/>
            <w:r w:rsidR="008844AC" w:rsidRPr="008844AC">
              <w:rPr>
                <w:rFonts w:ascii="Times New Roman" w:eastAsia="Times New Roman" w:hAnsi="Times New Roman" w:cs="Times New Roman"/>
                <w:b/>
                <w:bCs/>
                <w:kern w:val="0"/>
                <w:lang w:eastAsia="ro-MD"/>
                <w14:ligatures w14:val="none"/>
              </w:rPr>
              <w:t>şi</w:t>
            </w:r>
            <w:proofErr w:type="spellEnd"/>
            <w:r w:rsidR="008844AC" w:rsidRPr="008844AC">
              <w:rPr>
                <w:rFonts w:ascii="Times New Roman" w:eastAsia="Times New Roman" w:hAnsi="Times New Roman" w:cs="Times New Roman"/>
                <w:b/>
                <w:bCs/>
                <w:kern w:val="0"/>
                <w:lang w:eastAsia="ro-MD"/>
                <w14:ligatures w14:val="none"/>
              </w:rPr>
              <w:t xml:space="preserve"> </w:t>
            </w:r>
            <w:proofErr w:type="spellStart"/>
            <w:r w:rsidR="008844AC" w:rsidRPr="008844AC">
              <w:rPr>
                <w:rFonts w:ascii="Times New Roman" w:eastAsia="Times New Roman" w:hAnsi="Times New Roman" w:cs="Times New Roman"/>
                <w:b/>
                <w:bCs/>
                <w:kern w:val="0"/>
                <w:lang w:eastAsia="ro-MD"/>
                <w14:ligatures w14:val="none"/>
              </w:rPr>
              <w:t>tranzacţiile</w:t>
            </w:r>
            <w:proofErr w:type="spellEnd"/>
            <w:r w:rsidR="008844AC" w:rsidRPr="008844AC">
              <w:rPr>
                <w:rFonts w:ascii="Times New Roman" w:eastAsia="Times New Roman" w:hAnsi="Times New Roman" w:cs="Times New Roman"/>
                <w:b/>
                <w:bCs/>
                <w:kern w:val="0"/>
                <w:lang w:eastAsia="ro-MD"/>
                <w14:ligatures w14:val="none"/>
              </w:rPr>
              <w:t xml:space="preserve"> cu termen lung de decontare</w:t>
            </w:r>
            <w:r w:rsidR="008844AC" w:rsidRPr="008844AC">
              <w:rPr>
                <w:rFonts w:ascii="Times New Roman" w:eastAsia="Times New Roman" w:hAnsi="Times New Roman" w:cs="Times New Roman"/>
                <w:kern w:val="0"/>
                <w:lang w:eastAsia="ro-MD"/>
                <w14:ligatures w14:val="none"/>
              </w:rPr>
              <w:t xml:space="preserve"> </w:t>
            </w:r>
          </w:p>
          <w:p w14:paraId="69CBFA61" w14:textId="5106EF99" w:rsidR="008844AC" w:rsidRPr="008844AC" w:rsidRDefault="00CA7856"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Seturi de compensare care conțin numai i</w:t>
            </w:r>
            <w:r w:rsidR="008844AC" w:rsidRPr="008844AC">
              <w:rPr>
                <w:rFonts w:ascii="Times New Roman" w:eastAsia="Times New Roman" w:hAnsi="Times New Roman" w:cs="Times New Roman"/>
                <w:kern w:val="0"/>
                <w:lang w:eastAsia="ro-MD"/>
                <w14:ligatures w14:val="none"/>
              </w:rPr>
              <w:t>nstrumente financiare derivate enumerate în anexa nr.1 la Regulamentul nr.114/2018.</w:t>
            </w:r>
          </w:p>
          <w:p w14:paraId="515151D9" w14:textId="1222A0B8"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roofErr w:type="spellStart"/>
            <w:r w:rsidRPr="008844AC">
              <w:rPr>
                <w:rFonts w:ascii="Times New Roman" w:eastAsia="Times New Roman" w:hAnsi="Times New Roman" w:cs="Times New Roman"/>
                <w:kern w:val="0"/>
                <w:lang w:eastAsia="ro-MD"/>
                <w14:ligatures w14:val="none"/>
              </w:rPr>
              <w:t>Tranzacţiile</w:t>
            </w:r>
            <w:proofErr w:type="spellEnd"/>
            <w:r w:rsidRPr="008844AC">
              <w:rPr>
                <w:rFonts w:ascii="Times New Roman" w:eastAsia="Times New Roman" w:hAnsi="Times New Roman" w:cs="Times New Roman"/>
                <w:kern w:val="0"/>
                <w:lang w:eastAsia="ro-MD"/>
                <w14:ligatures w14:val="none"/>
              </w:rPr>
              <w:t xml:space="preserve"> cu termen lung de decontare definite la punctul 3 din Regulamentul </w:t>
            </w:r>
            <w:r w:rsidR="00810EBA">
              <w:rPr>
                <w:rFonts w:ascii="Times New Roman" w:eastAsia="Times New Roman" w:hAnsi="Times New Roman" w:cs="Times New Roman"/>
                <w:kern w:val="0"/>
                <w:lang w:eastAsia="ro-MD"/>
                <w14:ligatures w14:val="none"/>
              </w:rPr>
              <w:t>nr. 220/2025</w:t>
            </w:r>
            <w:r w:rsidRPr="008844AC">
              <w:rPr>
                <w:rFonts w:ascii="Times New Roman" w:eastAsia="Times New Roman" w:hAnsi="Times New Roman" w:cs="Times New Roman"/>
                <w:kern w:val="0"/>
                <w:lang w:eastAsia="ro-MD"/>
                <w14:ligatures w14:val="none"/>
              </w:rPr>
              <w:t>.</w:t>
            </w:r>
          </w:p>
          <w:p w14:paraId="37BDE047" w14:textId="0F7ECFDD"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Instrumentele financiare derivate </w:t>
            </w:r>
            <w:proofErr w:type="spellStart"/>
            <w:r w:rsidRPr="008844AC">
              <w:rPr>
                <w:rFonts w:ascii="Times New Roman" w:eastAsia="Times New Roman" w:hAnsi="Times New Roman" w:cs="Times New Roman"/>
                <w:kern w:val="0"/>
                <w:lang w:eastAsia="ro-MD"/>
                <w14:ligatures w14:val="none"/>
              </w:rPr>
              <w:t>şi</w:t>
            </w:r>
            <w:proofErr w:type="spellEnd"/>
            <w:r w:rsidRPr="008844AC">
              <w:rPr>
                <w:rFonts w:ascii="Times New Roman" w:eastAsia="Times New Roman" w:hAnsi="Times New Roman" w:cs="Times New Roman"/>
                <w:kern w:val="0"/>
                <w:lang w:eastAsia="ro-MD"/>
                <w14:ligatures w14:val="none"/>
              </w:rPr>
              <w:t xml:space="preserve"> </w:t>
            </w:r>
            <w:proofErr w:type="spellStart"/>
            <w:r w:rsidRPr="008844AC">
              <w:rPr>
                <w:rFonts w:ascii="Times New Roman" w:eastAsia="Times New Roman" w:hAnsi="Times New Roman" w:cs="Times New Roman"/>
                <w:kern w:val="0"/>
                <w:lang w:eastAsia="ro-MD"/>
                <w14:ligatures w14:val="none"/>
              </w:rPr>
              <w:t>tranzacţiile</w:t>
            </w:r>
            <w:proofErr w:type="spellEnd"/>
            <w:r w:rsidRPr="008844AC">
              <w:rPr>
                <w:rFonts w:ascii="Times New Roman" w:eastAsia="Times New Roman" w:hAnsi="Times New Roman" w:cs="Times New Roman"/>
                <w:kern w:val="0"/>
                <w:lang w:eastAsia="ro-MD"/>
                <w14:ligatures w14:val="none"/>
              </w:rPr>
              <w:t xml:space="preserve"> cu termen lung de decontare care sunt incluse într-o compensare </w:t>
            </w:r>
            <w:r w:rsidR="00114C87">
              <w:rPr>
                <w:rFonts w:ascii="Times New Roman" w:eastAsia="Times New Roman" w:hAnsi="Times New Roman" w:cs="Times New Roman"/>
                <w:kern w:val="0"/>
                <w:lang w:eastAsia="ro-MD"/>
                <w14:ligatures w14:val="none"/>
              </w:rPr>
              <w:t xml:space="preserve">contractuală </w:t>
            </w:r>
            <w:r w:rsidRPr="008844AC">
              <w:rPr>
                <w:rFonts w:ascii="Times New Roman" w:eastAsia="Times New Roman" w:hAnsi="Times New Roman" w:cs="Times New Roman"/>
                <w:kern w:val="0"/>
                <w:lang w:eastAsia="ro-MD"/>
                <w14:ligatures w14:val="none"/>
              </w:rPr>
              <w:t xml:space="preserve">între produse diferite </w:t>
            </w:r>
            <w:proofErr w:type="spellStart"/>
            <w:r w:rsidRPr="008844AC">
              <w:rPr>
                <w:rFonts w:ascii="Times New Roman" w:eastAsia="Times New Roman" w:hAnsi="Times New Roman" w:cs="Times New Roman"/>
                <w:kern w:val="0"/>
                <w:lang w:eastAsia="ro-MD"/>
                <w14:ligatures w14:val="none"/>
              </w:rPr>
              <w:t>şi</w:t>
            </w:r>
            <w:proofErr w:type="spellEnd"/>
            <w:r w:rsidRPr="008844AC">
              <w:rPr>
                <w:rFonts w:ascii="Times New Roman" w:eastAsia="Times New Roman" w:hAnsi="Times New Roman" w:cs="Times New Roman"/>
                <w:kern w:val="0"/>
                <w:lang w:eastAsia="ro-MD"/>
                <w14:ligatures w14:val="none"/>
              </w:rPr>
              <w:t xml:space="preserve">, prin urmare, raportate în rândul </w:t>
            </w:r>
            <w:r w:rsidR="00114C87">
              <w:rPr>
                <w:rFonts w:ascii="Times New Roman" w:eastAsia="Times New Roman" w:hAnsi="Times New Roman" w:cs="Times New Roman"/>
                <w:kern w:val="0"/>
                <w:lang w:eastAsia="ro-MD"/>
                <w14:ligatures w14:val="none"/>
              </w:rPr>
              <w:t>0</w:t>
            </w:r>
            <w:r w:rsidRPr="008844AC">
              <w:rPr>
                <w:rFonts w:ascii="Times New Roman" w:eastAsia="Times New Roman" w:hAnsi="Times New Roman" w:cs="Times New Roman"/>
                <w:kern w:val="0"/>
                <w:lang w:eastAsia="ro-MD"/>
                <w14:ligatures w14:val="none"/>
              </w:rPr>
              <w:t>130, nu trebuie raportate în acest rând</w:t>
            </w:r>
            <w:r w:rsidR="00114C87">
              <w:rPr>
                <w:rFonts w:ascii="Times New Roman" w:eastAsia="Times New Roman" w:hAnsi="Times New Roman" w:cs="Times New Roman"/>
                <w:kern w:val="0"/>
                <w:lang w:eastAsia="ro-MD"/>
                <w14:ligatures w14:val="none"/>
              </w:rPr>
              <w:t>.</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1D398"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37022360"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EBDB9" w14:textId="06765626"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120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12499" w14:textId="16819B2F" w:rsidR="008844AC" w:rsidRPr="008844AC" w:rsidRDefault="00C058A3"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b/>
                <w:bCs/>
                <w:kern w:val="0"/>
                <w:lang w:eastAsia="ro-MD"/>
                <w14:ligatures w14:val="none"/>
              </w:rPr>
              <w:t>d</w:t>
            </w:r>
            <w:r w:rsidR="008844AC" w:rsidRPr="008844AC">
              <w:rPr>
                <w:rFonts w:ascii="Times New Roman" w:eastAsia="Times New Roman" w:hAnsi="Times New Roman" w:cs="Times New Roman"/>
                <w:b/>
                <w:bCs/>
                <w:kern w:val="0"/>
                <w:lang w:eastAsia="ro-MD"/>
                <w14:ligatures w14:val="none"/>
              </w:rPr>
              <w:t>in care: compensate la nivel central printr-o CPCC</w:t>
            </w:r>
            <w:r w:rsidR="008844AC" w:rsidRPr="008844AC">
              <w:rPr>
                <w:rFonts w:ascii="Times New Roman" w:eastAsia="Times New Roman" w:hAnsi="Times New Roman" w:cs="Times New Roman"/>
                <w:kern w:val="0"/>
                <w:lang w:eastAsia="ro-MD"/>
                <w14:ligatures w14:val="none"/>
              </w:rPr>
              <w:t xml:space="preserve"> </w:t>
            </w:r>
          </w:p>
          <w:p w14:paraId="3A65C0E6" w14:textId="557C680B" w:rsidR="008844AC" w:rsidRPr="008844AC" w:rsidRDefault="00114C87" w:rsidP="008844AC">
            <w:pPr>
              <w:spacing w:after="0" w:line="240" w:lineRule="auto"/>
              <w:rPr>
                <w:rFonts w:ascii="Times New Roman" w:eastAsia="Times New Roman" w:hAnsi="Times New Roman" w:cs="Times New Roman"/>
                <w:kern w:val="0"/>
                <w:lang w:eastAsia="ro-MD"/>
                <w14:ligatures w14:val="none"/>
              </w:rPr>
            </w:pPr>
            <w:r w:rsidRPr="00B973D9">
              <w:rPr>
                <w:rFonts w:ascii="Times New Roman" w:eastAsia="Times New Roman" w:hAnsi="Times New Roman" w:cs="Times New Roman"/>
                <w:kern w:val="0"/>
                <w:lang w:eastAsia="ro-MD"/>
                <w14:ligatures w14:val="none"/>
              </w:rPr>
              <w:t>A se vedea instrucțiunile pentru rândul 0100</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5FDAF"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4FF539DB"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3FD01" w14:textId="0384FA8B"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130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DF51D" w14:textId="5075DC48"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 xml:space="preserve">Din </w:t>
            </w:r>
            <w:r w:rsidR="00114C87">
              <w:rPr>
                <w:rFonts w:ascii="Times New Roman" w:eastAsia="Times New Roman" w:hAnsi="Times New Roman" w:cs="Times New Roman"/>
                <w:b/>
                <w:bCs/>
                <w:kern w:val="0"/>
                <w:lang w:eastAsia="ro-MD"/>
                <w14:ligatures w14:val="none"/>
              </w:rPr>
              <w:t xml:space="preserve">seturi de </w:t>
            </w:r>
            <w:r w:rsidRPr="008844AC">
              <w:rPr>
                <w:rFonts w:ascii="Times New Roman" w:eastAsia="Times New Roman" w:hAnsi="Times New Roman" w:cs="Times New Roman"/>
                <w:b/>
                <w:bCs/>
                <w:kern w:val="0"/>
                <w:lang w:eastAsia="ro-MD"/>
                <w14:ligatures w14:val="none"/>
              </w:rPr>
              <w:t>compensări contractuale între produse diferite</w:t>
            </w:r>
            <w:r w:rsidRPr="008844AC">
              <w:rPr>
                <w:rFonts w:ascii="Times New Roman" w:eastAsia="Times New Roman" w:hAnsi="Times New Roman" w:cs="Times New Roman"/>
                <w:kern w:val="0"/>
                <w:lang w:eastAsia="ro-MD"/>
                <w14:ligatures w14:val="none"/>
              </w:rPr>
              <w:t xml:space="preserve"> </w:t>
            </w:r>
          </w:p>
          <w:p w14:paraId="1B114D01" w14:textId="20B0467D" w:rsidR="008844AC" w:rsidRPr="008844AC" w:rsidRDefault="00114C87" w:rsidP="008844AC">
            <w:pPr>
              <w:spacing w:after="0" w:line="240" w:lineRule="auto"/>
              <w:rPr>
                <w:rFonts w:ascii="Times New Roman" w:eastAsia="Times New Roman" w:hAnsi="Times New Roman" w:cs="Times New Roman"/>
                <w:kern w:val="0"/>
                <w:lang w:eastAsia="ro-MD"/>
                <w14:ligatures w14:val="none"/>
              </w:rPr>
            </w:pPr>
            <w:r w:rsidRPr="00B973D9">
              <w:rPr>
                <w:rFonts w:ascii="Times New Roman" w:eastAsia="Times New Roman" w:hAnsi="Times New Roman" w:cs="Times New Roman"/>
                <w:kern w:val="0"/>
                <w:lang w:eastAsia="ro-MD"/>
                <w14:ligatures w14:val="none"/>
              </w:rPr>
              <w:t>Seturile de compensare care conțin tranzacții cu diferite categorii de produse, și anume instrumente financiare derivate și SFT-uri, pentru care există un acord de compensare contractuală între produse diferite, astfel cum este definit la punctul 3 din Regulamentul nr. 220/2025.</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3CF52"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2748BDE1"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961D4" w14:textId="7310B70C"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140-</w:t>
            </w: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280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AAF46"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Defalcarea expunerilor pe ponderi de risc</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2DF2F"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63F0D4CE"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9363C" w14:textId="7DF76E56"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140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258F0"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0%</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AD16A"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4345A194"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0C212" w14:textId="7349F3A4"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150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791F6" w14:textId="77777777" w:rsid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2%</w:t>
            </w:r>
          </w:p>
          <w:p w14:paraId="68C20135" w14:textId="02C37535" w:rsidR="00AB3616" w:rsidRPr="008844AC" w:rsidRDefault="00AB3616"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Punctul 145 din Regulamentul nr. 220/2025</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531D5" w14:textId="565E7C4A" w:rsidR="008844AC" w:rsidRPr="008844AC" w:rsidRDefault="008844AC" w:rsidP="008844AC">
            <w:pPr>
              <w:spacing w:after="0" w:line="240" w:lineRule="auto"/>
              <w:jc w:val="center"/>
              <w:rPr>
                <w:rFonts w:ascii="Times New Roman" w:eastAsia="Times New Roman" w:hAnsi="Times New Roman" w:cs="Times New Roman"/>
                <w:kern w:val="0"/>
                <w:lang w:eastAsia="ro-MD"/>
                <w14:ligatures w14:val="none"/>
              </w:rPr>
            </w:pPr>
          </w:p>
        </w:tc>
      </w:tr>
      <w:tr w:rsidR="008844AC" w:rsidRPr="008844AC" w14:paraId="7BC1AD0F"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48581" w14:textId="079AE58A"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160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2DB70" w14:textId="77777777" w:rsid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4%</w:t>
            </w:r>
          </w:p>
          <w:p w14:paraId="02927E6F" w14:textId="3CCCA64F" w:rsidR="00AB3616" w:rsidRPr="008844AC" w:rsidRDefault="00AB3616"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Punctul 144 din Regulamentul nr. 220/2025</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91043" w14:textId="568AD393" w:rsidR="008844AC" w:rsidRPr="008844AC" w:rsidRDefault="008844AC" w:rsidP="008844AC">
            <w:pPr>
              <w:spacing w:after="0" w:line="240" w:lineRule="auto"/>
              <w:jc w:val="center"/>
              <w:rPr>
                <w:rFonts w:ascii="Times New Roman" w:eastAsia="Times New Roman" w:hAnsi="Times New Roman" w:cs="Times New Roman"/>
                <w:kern w:val="0"/>
                <w:lang w:eastAsia="ro-MD"/>
                <w14:ligatures w14:val="none"/>
              </w:rPr>
            </w:pPr>
          </w:p>
        </w:tc>
      </w:tr>
      <w:tr w:rsidR="008844AC" w:rsidRPr="008844AC" w14:paraId="61180060"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91DAC" w14:textId="06696D4D"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170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427D3"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10%</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8A969"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65A30CF2"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35DE8" w14:textId="0EB19AFD"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180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670DC"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20%</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49133"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CB23EE" w:rsidRPr="008844AC" w14:paraId="2F3BFE53"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E10C1D" w14:textId="424FE357" w:rsidR="00CB23EE" w:rsidRPr="008844AC" w:rsidRDefault="00E63527" w:rsidP="00CB23EE">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CB23EE">
              <w:rPr>
                <w:rFonts w:ascii="Times New Roman" w:eastAsia="Times New Roman" w:hAnsi="Times New Roman" w:cs="Times New Roman"/>
                <w:kern w:val="0"/>
                <w:lang w:eastAsia="ro-MD"/>
                <w14:ligatures w14:val="none"/>
              </w:rPr>
              <w:t>185</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B9AA441" w14:textId="53F99380" w:rsidR="00CB23EE" w:rsidRPr="008844AC" w:rsidRDefault="00CB23EE"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30%</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69C24CA" w14:textId="77777777" w:rsidR="00CB23EE" w:rsidRPr="008844AC" w:rsidRDefault="00CB23EE"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28A7F8A1"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47B54" w14:textId="0EFAE16F"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190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C1011"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35%</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1521D" w14:textId="20FC5D44" w:rsidR="008844AC" w:rsidRPr="008844AC" w:rsidRDefault="008844AC" w:rsidP="008844AC">
            <w:pPr>
              <w:spacing w:after="0" w:line="240" w:lineRule="auto"/>
              <w:jc w:val="center"/>
              <w:rPr>
                <w:rFonts w:ascii="Times New Roman" w:eastAsia="Times New Roman" w:hAnsi="Times New Roman" w:cs="Times New Roman"/>
                <w:kern w:val="0"/>
                <w:lang w:eastAsia="ro-MD"/>
                <w14:ligatures w14:val="none"/>
              </w:rPr>
            </w:pPr>
          </w:p>
        </w:tc>
      </w:tr>
      <w:tr w:rsidR="00CB23EE" w:rsidRPr="008844AC" w14:paraId="6818BE7E"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8AD293" w14:textId="08CCAF38" w:rsidR="00CB23EE"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CB23EE">
              <w:rPr>
                <w:rFonts w:ascii="Times New Roman" w:eastAsia="Times New Roman" w:hAnsi="Times New Roman" w:cs="Times New Roman"/>
                <w:kern w:val="0"/>
                <w:lang w:eastAsia="ro-MD"/>
                <w14:ligatures w14:val="none"/>
              </w:rPr>
              <w:t>195</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DBD113E" w14:textId="11B73088" w:rsidR="00CB23EE" w:rsidRPr="008844AC" w:rsidRDefault="00CB23EE"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40%</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94B4812" w14:textId="77777777" w:rsidR="00CB23EE" w:rsidRPr="008844AC" w:rsidRDefault="00CB23EE" w:rsidP="008844AC">
            <w:pPr>
              <w:spacing w:after="0" w:line="240" w:lineRule="auto"/>
              <w:jc w:val="center"/>
              <w:rPr>
                <w:rFonts w:ascii="Times New Roman" w:eastAsia="Times New Roman" w:hAnsi="Times New Roman" w:cs="Times New Roman"/>
                <w:kern w:val="0"/>
                <w:lang w:eastAsia="ro-MD"/>
                <w14:ligatures w14:val="none"/>
              </w:rPr>
            </w:pPr>
          </w:p>
        </w:tc>
      </w:tr>
      <w:tr w:rsidR="00CB23EE" w:rsidRPr="008844AC" w14:paraId="06946FE5"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BB8B1F" w14:textId="0C6E0AF1" w:rsidR="00CB23EE"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CB23EE">
              <w:rPr>
                <w:rFonts w:ascii="Times New Roman" w:eastAsia="Times New Roman" w:hAnsi="Times New Roman" w:cs="Times New Roman"/>
                <w:kern w:val="0"/>
                <w:lang w:eastAsia="ro-MD"/>
                <w14:ligatures w14:val="none"/>
              </w:rPr>
              <w:t>196</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D51A92" w14:textId="0142F421" w:rsidR="00CB23EE" w:rsidRDefault="00CB23EE"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45%</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694BF8" w14:textId="77777777" w:rsidR="00CB23EE" w:rsidRPr="008844AC" w:rsidRDefault="00CB23EE" w:rsidP="008844AC">
            <w:pPr>
              <w:spacing w:after="0" w:line="240" w:lineRule="auto"/>
              <w:jc w:val="center"/>
              <w:rPr>
                <w:rFonts w:ascii="Times New Roman" w:eastAsia="Times New Roman" w:hAnsi="Times New Roman" w:cs="Times New Roman"/>
                <w:kern w:val="0"/>
                <w:lang w:eastAsia="ro-MD"/>
                <w14:ligatures w14:val="none"/>
              </w:rPr>
            </w:pPr>
          </w:p>
        </w:tc>
      </w:tr>
      <w:tr w:rsidR="008844AC" w:rsidRPr="008844AC" w14:paraId="5899E89F"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A0703" w14:textId="18D48CFD"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200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BE5B7"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50%</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87F56"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CB23EE" w:rsidRPr="008844AC" w14:paraId="3581F8B1"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FDBE506" w14:textId="6F5F7649" w:rsidR="00CB23EE"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CB23EE">
              <w:rPr>
                <w:rFonts w:ascii="Times New Roman" w:eastAsia="Times New Roman" w:hAnsi="Times New Roman" w:cs="Times New Roman"/>
                <w:kern w:val="0"/>
                <w:lang w:eastAsia="ro-MD"/>
                <w14:ligatures w14:val="none"/>
              </w:rPr>
              <w:t>205</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1EDDCA3" w14:textId="023BFD4D" w:rsidR="00CB23EE" w:rsidRPr="008844AC" w:rsidRDefault="00CB23EE"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60%</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3641AA" w14:textId="77777777" w:rsidR="00CB23EE" w:rsidRPr="008844AC" w:rsidRDefault="00CB23EE"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57DC9AE8"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E088F" w14:textId="731BBA88"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210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3C817" w14:textId="77777777" w:rsid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70%</w:t>
            </w:r>
          </w:p>
          <w:p w14:paraId="351B25E6" w14:textId="1E0A7B15" w:rsidR="00AB3616" w:rsidRPr="008844AC" w:rsidRDefault="004068CE"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Punctul 108</w:t>
            </w:r>
            <w:r w:rsidRPr="00B973D9">
              <w:rPr>
                <w:rFonts w:ascii="Times New Roman" w:eastAsia="Times New Roman" w:hAnsi="Times New Roman" w:cs="Times New Roman"/>
                <w:kern w:val="0"/>
                <w:vertAlign w:val="superscript"/>
                <w:lang w:eastAsia="ro-MD"/>
                <w14:ligatures w14:val="none"/>
              </w:rPr>
              <w:t>2</w:t>
            </w:r>
            <w:r>
              <w:rPr>
                <w:rFonts w:ascii="Times New Roman" w:eastAsia="Times New Roman" w:hAnsi="Times New Roman" w:cs="Times New Roman"/>
                <w:kern w:val="0"/>
                <w:lang w:eastAsia="ro-MD"/>
                <w14:ligatures w14:val="none"/>
              </w:rPr>
              <w:t xml:space="preserve"> subpunctul 4) din Regulamentul nr. 112/2018</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9BB20" w14:textId="258CF0BE" w:rsidR="008844AC" w:rsidRPr="008844AC" w:rsidRDefault="008844AC" w:rsidP="008844AC">
            <w:pPr>
              <w:spacing w:after="0" w:line="240" w:lineRule="auto"/>
              <w:jc w:val="center"/>
              <w:rPr>
                <w:rFonts w:ascii="Times New Roman" w:eastAsia="Times New Roman" w:hAnsi="Times New Roman" w:cs="Times New Roman"/>
                <w:kern w:val="0"/>
                <w:lang w:eastAsia="ro-MD"/>
                <w14:ligatures w14:val="none"/>
              </w:rPr>
            </w:pPr>
          </w:p>
        </w:tc>
      </w:tr>
      <w:tr w:rsidR="008844AC" w:rsidRPr="008844AC" w14:paraId="4ADA0EC9"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F9FDB" w14:textId="579AB146"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220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46BC6"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75%</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77540"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CB23EE" w:rsidRPr="008844AC" w14:paraId="1E690813"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BC1FEA4" w14:textId="4EF344CB" w:rsidR="00CB23EE"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CB23EE">
              <w:rPr>
                <w:rFonts w:ascii="Times New Roman" w:eastAsia="Times New Roman" w:hAnsi="Times New Roman" w:cs="Times New Roman"/>
                <w:kern w:val="0"/>
                <w:lang w:eastAsia="ro-MD"/>
                <w14:ligatures w14:val="none"/>
              </w:rPr>
              <w:t>225</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C5295D2" w14:textId="544A5A81" w:rsidR="00CB23EE" w:rsidRPr="008844AC" w:rsidRDefault="00CB23EE"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80%</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4A74A1" w14:textId="77777777" w:rsidR="00CB23EE" w:rsidRPr="008844AC" w:rsidRDefault="00CB23EE" w:rsidP="008844AC">
            <w:pPr>
              <w:spacing w:after="0" w:line="240" w:lineRule="auto"/>
              <w:rPr>
                <w:rFonts w:ascii="Times New Roman" w:eastAsia="Times New Roman" w:hAnsi="Times New Roman" w:cs="Times New Roman"/>
                <w:kern w:val="0"/>
                <w:lang w:eastAsia="ro-MD"/>
                <w14:ligatures w14:val="none"/>
              </w:rPr>
            </w:pPr>
          </w:p>
        </w:tc>
      </w:tr>
      <w:tr w:rsidR="00CB23EE" w:rsidRPr="008844AC" w14:paraId="2BC80A21"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ADCF20" w14:textId="369AD63E" w:rsidR="00CB23EE"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CB23EE">
              <w:rPr>
                <w:rFonts w:ascii="Times New Roman" w:eastAsia="Times New Roman" w:hAnsi="Times New Roman" w:cs="Times New Roman"/>
                <w:kern w:val="0"/>
                <w:lang w:eastAsia="ro-MD"/>
                <w14:ligatures w14:val="none"/>
              </w:rPr>
              <w:t>226</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AEFD133" w14:textId="080438D4" w:rsidR="00CB23EE" w:rsidRDefault="00CB23EE"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90%</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D3956E9" w14:textId="77777777" w:rsidR="00CB23EE" w:rsidRPr="008844AC" w:rsidRDefault="00CB23EE"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4DAC6ACD"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61C7F" w14:textId="6D76626F"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230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0080F"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100%</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1EBB6"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CB23EE" w:rsidRPr="008844AC" w14:paraId="2EA5B836"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B1FA70" w14:textId="2D625C17" w:rsidR="00CB23EE"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CB23EE">
              <w:rPr>
                <w:rFonts w:ascii="Times New Roman" w:eastAsia="Times New Roman" w:hAnsi="Times New Roman" w:cs="Times New Roman"/>
                <w:kern w:val="0"/>
                <w:lang w:eastAsia="ro-MD"/>
                <w14:ligatures w14:val="none"/>
              </w:rPr>
              <w:t>231</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5E1702E" w14:textId="3E97C9B0" w:rsidR="00CB23EE" w:rsidRPr="008844AC" w:rsidRDefault="00CB23EE"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105%</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997838" w14:textId="77777777" w:rsidR="00CB23EE" w:rsidRPr="008844AC" w:rsidRDefault="00CB23EE" w:rsidP="008844AC">
            <w:pPr>
              <w:spacing w:after="0" w:line="240" w:lineRule="auto"/>
              <w:rPr>
                <w:rFonts w:ascii="Times New Roman" w:eastAsia="Times New Roman" w:hAnsi="Times New Roman" w:cs="Times New Roman"/>
                <w:kern w:val="0"/>
                <w:lang w:eastAsia="ro-MD"/>
                <w14:ligatures w14:val="none"/>
              </w:rPr>
            </w:pPr>
          </w:p>
        </w:tc>
      </w:tr>
      <w:tr w:rsidR="00CB23EE" w:rsidRPr="008844AC" w14:paraId="66920663"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4FEDE0F" w14:textId="70984E4B" w:rsidR="00CB23EE"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CB23EE">
              <w:rPr>
                <w:rFonts w:ascii="Times New Roman" w:eastAsia="Times New Roman" w:hAnsi="Times New Roman" w:cs="Times New Roman"/>
                <w:kern w:val="0"/>
                <w:lang w:eastAsia="ro-MD"/>
                <w14:ligatures w14:val="none"/>
              </w:rPr>
              <w:t>232</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99D23E" w14:textId="460F7A25" w:rsidR="00CB23EE" w:rsidRPr="007A073B" w:rsidRDefault="00CB23EE" w:rsidP="008844AC">
            <w:pPr>
              <w:spacing w:after="0" w:line="240" w:lineRule="auto"/>
              <w:rPr>
                <w:rFonts w:ascii="Times New Roman" w:eastAsia="Times New Roman" w:hAnsi="Times New Roman" w:cs="Times New Roman"/>
                <w:kern w:val="0"/>
                <w:lang w:val="en-US" w:eastAsia="ro-MD"/>
                <w14:ligatures w14:val="none"/>
              </w:rPr>
            </w:pPr>
            <w:r>
              <w:rPr>
                <w:rFonts w:ascii="Times New Roman" w:eastAsia="Times New Roman" w:hAnsi="Times New Roman" w:cs="Times New Roman"/>
                <w:kern w:val="0"/>
                <w:lang w:eastAsia="ro-MD"/>
                <w14:ligatures w14:val="none"/>
              </w:rPr>
              <w:t>110%</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8238AD6" w14:textId="77777777" w:rsidR="00CB23EE" w:rsidRPr="008844AC" w:rsidRDefault="00CB23EE" w:rsidP="008844AC">
            <w:pPr>
              <w:spacing w:after="0" w:line="240" w:lineRule="auto"/>
              <w:rPr>
                <w:rFonts w:ascii="Times New Roman" w:eastAsia="Times New Roman" w:hAnsi="Times New Roman" w:cs="Times New Roman"/>
                <w:kern w:val="0"/>
                <w:lang w:eastAsia="ro-MD"/>
                <w14:ligatures w14:val="none"/>
              </w:rPr>
            </w:pPr>
          </w:p>
        </w:tc>
      </w:tr>
      <w:tr w:rsidR="00CB23EE" w:rsidRPr="008844AC" w14:paraId="530CD4A3"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00A4B25" w14:textId="71A1E46B" w:rsidR="00CB23EE"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CB23EE">
              <w:rPr>
                <w:rFonts w:ascii="Times New Roman" w:eastAsia="Times New Roman" w:hAnsi="Times New Roman" w:cs="Times New Roman"/>
                <w:kern w:val="0"/>
                <w:lang w:eastAsia="ro-MD"/>
                <w14:ligatures w14:val="none"/>
              </w:rPr>
              <w:t>235</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5F1CB18" w14:textId="026F8AC9" w:rsidR="00CB23EE" w:rsidRPr="008844AC" w:rsidRDefault="00CB23EE"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130%</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092CEA" w14:textId="77777777" w:rsidR="00CB23EE" w:rsidRPr="008844AC" w:rsidRDefault="00CB23EE"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4B5A3975"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A1176" w14:textId="3CE9F127"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lastRenderedPageBreak/>
              <w:t>0</w:t>
            </w:r>
            <w:r w:rsidR="008844AC" w:rsidRPr="008844AC">
              <w:rPr>
                <w:rFonts w:ascii="Times New Roman" w:eastAsia="Times New Roman" w:hAnsi="Times New Roman" w:cs="Times New Roman"/>
                <w:kern w:val="0"/>
                <w:lang w:eastAsia="ro-MD"/>
                <w14:ligatures w14:val="none"/>
              </w:rPr>
              <w:t>240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CD7A6"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150%</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9D7D7"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120AEE6C"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B1BFD" w14:textId="1DA86993"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250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D949F"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250% </w:t>
            </w:r>
          </w:p>
          <w:p w14:paraId="4C4B7E30" w14:textId="33C22F22"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Punctul 8</w:t>
            </w:r>
            <w:r w:rsidR="008058F1">
              <w:rPr>
                <w:rFonts w:ascii="Times New Roman" w:eastAsia="Times New Roman" w:hAnsi="Times New Roman" w:cs="Times New Roman"/>
                <w:kern w:val="0"/>
                <w:lang w:eastAsia="ro-MD"/>
                <w14:ligatures w14:val="none"/>
              </w:rPr>
              <w:t>4</w:t>
            </w:r>
            <w:r w:rsidR="008058F1" w:rsidRPr="00B973D9">
              <w:rPr>
                <w:rFonts w:ascii="Times New Roman" w:eastAsia="Times New Roman" w:hAnsi="Times New Roman" w:cs="Times New Roman"/>
                <w:kern w:val="0"/>
                <w:vertAlign w:val="superscript"/>
                <w:lang w:eastAsia="ro-MD"/>
                <w14:ligatures w14:val="none"/>
              </w:rPr>
              <w:t>3</w:t>
            </w:r>
            <w:r w:rsidRPr="008844AC">
              <w:rPr>
                <w:rFonts w:ascii="Times New Roman" w:eastAsia="Times New Roman" w:hAnsi="Times New Roman" w:cs="Times New Roman"/>
                <w:kern w:val="0"/>
                <w:lang w:eastAsia="ro-MD"/>
                <w14:ligatures w14:val="none"/>
              </w:rPr>
              <w:t xml:space="preserve"> din Regulamentul </w:t>
            </w:r>
            <w:r w:rsidR="008058F1">
              <w:rPr>
                <w:rFonts w:ascii="Times New Roman" w:eastAsia="Times New Roman" w:hAnsi="Times New Roman" w:cs="Times New Roman"/>
                <w:kern w:val="0"/>
                <w:lang w:eastAsia="ro-MD"/>
                <w14:ligatures w14:val="none"/>
              </w:rPr>
              <w:t>nr. 111/2018 și punctul 67 din Regulamentul 109/2018</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4DCE5"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6E1E5A3B"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965AC" w14:textId="31AC30A3"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260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E596B" w14:textId="15063F9B" w:rsidR="008058F1"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370%</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920DC" w14:textId="3B96E9C4" w:rsidR="008844AC" w:rsidRPr="008844AC" w:rsidRDefault="007A073B" w:rsidP="008844AC">
            <w:pPr>
              <w:spacing w:after="0" w:line="240" w:lineRule="auto"/>
              <w:jc w:val="center"/>
              <w:rPr>
                <w:rFonts w:ascii="Times New Roman" w:eastAsia="Times New Roman" w:hAnsi="Times New Roman" w:cs="Times New Roman"/>
                <w:kern w:val="0"/>
                <w:lang w:eastAsia="ro-MD"/>
                <w14:ligatures w14:val="none"/>
              </w:rPr>
            </w:pPr>
            <w:r w:rsidRPr="007A073B">
              <w:rPr>
                <w:rFonts w:ascii="Times New Roman" w:eastAsia="Times New Roman" w:hAnsi="Times New Roman" w:cs="Times New Roman"/>
                <w:kern w:val="0"/>
                <w:lang w:eastAsia="ro-MD"/>
                <w14:ligatures w14:val="none"/>
              </w:rPr>
              <w:t>b</w:t>
            </w:r>
            <w:r w:rsidRPr="00B973D9">
              <w:rPr>
                <w:rFonts w:ascii="Times New Roman" w:eastAsia="Times New Roman" w:hAnsi="Times New Roman" w:cs="Times New Roman"/>
                <w:kern w:val="0"/>
                <w:lang w:eastAsia="ro-MD"/>
                <w14:ligatures w14:val="none"/>
              </w:rPr>
              <w:t>locat</w:t>
            </w:r>
          </w:p>
        </w:tc>
      </w:tr>
      <w:tr w:rsidR="00605E34" w:rsidRPr="008844AC" w14:paraId="67AA4257"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E8EA9A" w14:textId="6EBBE191" w:rsidR="00605E34"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605E34">
              <w:rPr>
                <w:rFonts w:ascii="Times New Roman" w:eastAsia="Times New Roman" w:hAnsi="Times New Roman" w:cs="Times New Roman"/>
                <w:kern w:val="0"/>
                <w:lang w:eastAsia="ro-MD"/>
                <w14:ligatures w14:val="none"/>
              </w:rPr>
              <w:t>265</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67CEA8B" w14:textId="4E32190D" w:rsidR="00605E34" w:rsidRPr="008844AC" w:rsidRDefault="00605E34"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400%</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13E8CBE" w14:textId="77777777" w:rsidR="00605E34" w:rsidRPr="008844AC" w:rsidRDefault="00605E34" w:rsidP="008844AC">
            <w:pPr>
              <w:spacing w:after="0" w:line="240" w:lineRule="auto"/>
              <w:jc w:val="center"/>
              <w:rPr>
                <w:rFonts w:ascii="Times New Roman" w:eastAsia="Times New Roman" w:hAnsi="Times New Roman" w:cs="Times New Roman"/>
                <w:kern w:val="0"/>
                <w:lang w:eastAsia="ro-MD"/>
                <w14:ligatures w14:val="none"/>
              </w:rPr>
            </w:pPr>
          </w:p>
        </w:tc>
      </w:tr>
      <w:tr w:rsidR="008844AC" w:rsidRPr="008844AC" w14:paraId="078C7A09"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8801F" w14:textId="27374C1A"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270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0ED4C" w14:textId="77777777" w:rsidR="008844AC" w:rsidRPr="0073075B" w:rsidRDefault="008844AC" w:rsidP="008844AC">
            <w:pPr>
              <w:spacing w:after="0" w:line="240" w:lineRule="auto"/>
              <w:rPr>
                <w:rFonts w:ascii="Times New Roman" w:eastAsia="Times New Roman" w:hAnsi="Times New Roman" w:cs="Times New Roman"/>
                <w:kern w:val="0"/>
                <w:lang w:eastAsia="ro-MD"/>
                <w14:ligatures w14:val="none"/>
              </w:rPr>
            </w:pPr>
            <w:r w:rsidRPr="0073075B">
              <w:rPr>
                <w:rFonts w:ascii="Times New Roman" w:eastAsia="Times New Roman" w:hAnsi="Times New Roman" w:cs="Times New Roman"/>
                <w:kern w:val="0"/>
                <w:lang w:eastAsia="ro-MD"/>
                <w14:ligatures w14:val="none"/>
              </w:rPr>
              <w:t>1000%</w:t>
            </w:r>
          </w:p>
          <w:p w14:paraId="32D7F450" w14:textId="211DDFE4" w:rsidR="00847E66" w:rsidRPr="00F5278C" w:rsidRDefault="00847E66" w:rsidP="008844AC">
            <w:pPr>
              <w:spacing w:after="0" w:line="240" w:lineRule="auto"/>
              <w:rPr>
                <w:rFonts w:ascii="Times New Roman" w:eastAsia="Times New Roman" w:hAnsi="Times New Roman" w:cs="Times New Roman"/>
                <w:kern w:val="0"/>
                <w:highlight w:val="yellow"/>
                <w:lang w:eastAsia="ro-MD"/>
                <w14:ligatures w14:val="none"/>
              </w:rPr>
            </w:pPr>
            <w:r w:rsidRPr="0073075B">
              <w:rPr>
                <w:rFonts w:ascii="Times New Roman" w:eastAsia="Times New Roman" w:hAnsi="Times New Roman" w:cs="Times New Roman"/>
                <w:kern w:val="0"/>
                <w:lang w:eastAsia="ro-MD"/>
                <w14:ligatures w14:val="none"/>
              </w:rPr>
              <w:t>Capitolul III din Regulamentul nr. 115/2018</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46CBE"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48E8E0E3"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269E9" w14:textId="3A08E128"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280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5E3CA"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Alte ponderi de risc</w:t>
            </w:r>
            <w:r w:rsidRPr="008844AC">
              <w:rPr>
                <w:rFonts w:ascii="Times New Roman" w:eastAsia="Times New Roman" w:hAnsi="Times New Roman" w:cs="Times New Roman"/>
                <w:kern w:val="0"/>
                <w:lang w:eastAsia="ro-MD"/>
                <w14:ligatures w14:val="none"/>
              </w:rPr>
              <w:t xml:space="preserve"> </w:t>
            </w:r>
          </w:p>
          <w:p w14:paraId="52D0958C"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Acest rând nu este disponibil pentru clasele de expuneri </w:t>
            </w:r>
            <w:proofErr w:type="spellStart"/>
            <w:r w:rsidRPr="008844AC">
              <w:rPr>
                <w:rFonts w:ascii="Times New Roman" w:eastAsia="Times New Roman" w:hAnsi="Times New Roman" w:cs="Times New Roman"/>
                <w:kern w:val="0"/>
                <w:lang w:eastAsia="ro-MD"/>
                <w14:ligatures w14:val="none"/>
              </w:rPr>
              <w:t>faţă</w:t>
            </w:r>
            <w:proofErr w:type="spellEnd"/>
            <w:r w:rsidRPr="008844AC">
              <w:rPr>
                <w:rFonts w:ascii="Times New Roman" w:eastAsia="Times New Roman" w:hAnsi="Times New Roman" w:cs="Times New Roman"/>
                <w:kern w:val="0"/>
                <w:lang w:eastAsia="ro-MD"/>
                <w14:ligatures w14:val="none"/>
              </w:rPr>
              <w:t xml:space="preserve"> de </w:t>
            </w:r>
            <w:proofErr w:type="spellStart"/>
            <w:r w:rsidRPr="008844AC">
              <w:rPr>
                <w:rFonts w:ascii="Times New Roman" w:eastAsia="Times New Roman" w:hAnsi="Times New Roman" w:cs="Times New Roman"/>
                <w:kern w:val="0"/>
                <w:lang w:eastAsia="ro-MD"/>
                <w14:ligatures w14:val="none"/>
              </w:rPr>
              <w:t>administraţii</w:t>
            </w:r>
            <w:proofErr w:type="spellEnd"/>
            <w:r w:rsidRPr="008844AC">
              <w:rPr>
                <w:rFonts w:ascii="Times New Roman" w:eastAsia="Times New Roman" w:hAnsi="Times New Roman" w:cs="Times New Roman"/>
                <w:kern w:val="0"/>
                <w:lang w:eastAsia="ro-MD"/>
                <w14:ligatures w14:val="none"/>
              </w:rPr>
              <w:t xml:space="preserve"> centrale, </w:t>
            </w:r>
            <w:proofErr w:type="spellStart"/>
            <w:r w:rsidRPr="008844AC">
              <w:rPr>
                <w:rFonts w:ascii="Times New Roman" w:eastAsia="Times New Roman" w:hAnsi="Times New Roman" w:cs="Times New Roman"/>
                <w:kern w:val="0"/>
                <w:lang w:eastAsia="ro-MD"/>
                <w14:ligatures w14:val="none"/>
              </w:rPr>
              <w:t>faţă</w:t>
            </w:r>
            <w:proofErr w:type="spellEnd"/>
            <w:r w:rsidRPr="008844AC">
              <w:rPr>
                <w:rFonts w:ascii="Times New Roman" w:eastAsia="Times New Roman" w:hAnsi="Times New Roman" w:cs="Times New Roman"/>
                <w:kern w:val="0"/>
                <w:lang w:eastAsia="ro-MD"/>
                <w14:ligatures w14:val="none"/>
              </w:rPr>
              <w:t xml:space="preserve"> de </w:t>
            </w:r>
            <w:proofErr w:type="spellStart"/>
            <w:r w:rsidRPr="008844AC">
              <w:rPr>
                <w:rFonts w:ascii="Times New Roman" w:eastAsia="Times New Roman" w:hAnsi="Times New Roman" w:cs="Times New Roman"/>
                <w:kern w:val="0"/>
                <w:lang w:eastAsia="ro-MD"/>
                <w14:ligatures w14:val="none"/>
              </w:rPr>
              <w:t>societăţi</w:t>
            </w:r>
            <w:proofErr w:type="spellEnd"/>
            <w:r w:rsidRPr="008844AC">
              <w:rPr>
                <w:rFonts w:ascii="Times New Roman" w:eastAsia="Times New Roman" w:hAnsi="Times New Roman" w:cs="Times New Roman"/>
                <w:kern w:val="0"/>
                <w:lang w:eastAsia="ro-MD"/>
                <w14:ligatures w14:val="none"/>
              </w:rPr>
              <w:t xml:space="preserve">, </w:t>
            </w:r>
            <w:proofErr w:type="spellStart"/>
            <w:r w:rsidRPr="008844AC">
              <w:rPr>
                <w:rFonts w:ascii="Times New Roman" w:eastAsia="Times New Roman" w:hAnsi="Times New Roman" w:cs="Times New Roman"/>
                <w:kern w:val="0"/>
                <w:lang w:eastAsia="ro-MD"/>
                <w14:ligatures w14:val="none"/>
              </w:rPr>
              <w:t>faţă</w:t>
            </w:r>
            <w:proofErr w:type="spellEnd"/>
            <w:r w:rsidRPr="008844AC">
              <w:rPr>
                <w:rFonts w:ascii="Times New Roman" w:eastAsia="Times New Roman" w:hAnsi="Times New Roman" w:cs="Times New Roman"/>
                <w:kern w:val="0"/>
                <w:lang w:eastAsia="ro-MD"/>
                <w14:ligatures w14:val="none"/>
              </w:rPr>
              <w:t xml:space="preserve"> de bănci </w:t>
            </w:r>
            <w:proofErr w:type="spellStart"/>
            <w:r w:rsidRPr="008844AC">
              <w:rPr>
                <w:rFonts w:ascii="Times New Roman" w:eastAsia="Times New Roman" w:hAnsi="Times New Roman" w:cs="Times New Roman"/>
                <w:kern w:val="0"/>
                <w:lang w:eastAsia="ro-MD"/>
                <w14:ligatures w14:val="none"/>
              </w:rPr>
              <w:t>şi</w:t>
            </w:r>
            <w:proofErr w:type="spellEnd"/>
            <w:r w:rsidRPr="008844AC">
              <w:rPr>
                <w:rFonts w:ascii="Times New Roman" w:eastAsia="Times New Roman" w:hAnsi="Times New Roman" w:cs="Times New Roman"/>
                <w:kern w:val="0"/>
                <w:lang w:eastAsia="ro-MD"/>
                <w14:ligatures w14:val="none"/>
              </w:rPr>
              <w:t xml:space="preserve"> de tip retail.</w:t>
            </w:r>
          </w:p>
          <w:p w14:paraId="5F527D32" w14:textId="77777777" w:rsidR="00847E66"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Pentru raportarea expunerilor care nu sunt supuse ponderilor de risc enumerate în formular. </w:t>
            </w:r>
          </w:p>
          <w:p w14:paraId="682A2C3E" w14:textId="405A05B0" w:rsidR="00847E66" w:rsidRDefault="00847E66" w:rsidP="008844AC">
            <w:pPr>
              <w:spacing w:after="0" w:line="240" w:lineRule="auto"/>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Punctele 12-17 din Regulamentul nr. 111/2018</w:t>
            </w:r>
          </w:p>
          <w:p w14:paraId="2705FB8B" w14:textId="34935F6B"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Instrumentele financiare derivate de credit de tipul </w:t>
            </w:r>
            <w:r w:rsidR="00B973D9">
              <w:rPr>
                <w:rFonts w:ascii="Times New Roman" w:eastAsia="Times New Roman" w:hAnsi="Times New Roman" w:cs="Times New Roman"/>
                <w:kern w:val="0"/>
                <w:lang w:eastAsia="ro-MD"/>
                <w14:ligatures w14:val="none"/>
              </w:rPr>
              <w:t>„</w:t>
            </w:r>
            <w:r w:rsidRPr="008844AC">
              <w:rPr>
                <w:rFonts w:ascii="Times New Roman" w:eastAsia="Times New Roman" w:hAnsi="Times New Roman" w:cs="Times New Roman"/>
                <w:kern w:val="0"/>
                <w:lang w:eastAsia="ro-MD"/>
                <w14:ligatures w14:val="none"/>
              </w:rPr>
              <w:t>n-</w:t>
            </w:r>
            <w:proofErr w:type="spellStart"/>
            <w:r w:rsidRPr="008844AC">
              <w:rPr>
                <w:rFonts w:ascii="Times New Roman" w:eastAsia="Times New Roman" w:hAnsi="Times New Roman" w:cs="Times New Roman"/>
                <w:kern w:val="0"/>
                <w:lang w:eastAsia="ro-MD"/>
                <w14:ligatures w14:val="none"/>
              </w:rPr>
              <w:t>th</w:t>
            </w:r>
            <w:proofErr w:type="spellEnd"/>
            <w:r w:rsidRPr="008844AC">
              <w:rPr>
                <w:rFonts w:ascii="Times New Roman" w:eastAsia="Times New Roman" w:hAnsi="Times New Roman" w:cs="Times New Roman"/>
                <w:kern w:val="0"/>
                <w:lang w:eastAsia="ro-MD"/>
                <w14:ligatures w14:val="none"/>
              </w:rPr>
              <w:t>-</w:t>
            </w:r>
            <w:proofErr w:type="spellStart"/>
            <w:r w:rsidRPr="008844AC">
              <w:rPr>
                <w:rFonts w:ascii="Times New Roman" w:eastAsia="Times New Roman" w:hAnsi="Times New Roman" w:cs="Times New Roman"/>
                <w:kern w:val="0"/>
                <w:lang w:eastAsia="ro-MD"/>
                <w14:ligatures w14:val="none"/>
              </w:rPr>
              <w:t>to-default</w:t>
            </w:r>
            <w:proofErr w:type="spellEnd"/>
            <w:r w:rsidR="00B973D9">
              <w:rPr>
                <w:rFonts w:ascii="Times New Roman" w:eastAsia="Times New Roman" w:hAnsi="Times New Roman" w:cs="Times New Roman"/>
                <w:kern w:val="0"/>
                <w:lang w:eastAsia="ro-MD"/>
                <w14:ligatures w14:val="none"/>
              </w:rPr>
              <w:t>”</w:t>
            </w:r>
            <w:r w:rsidRPr="008844AC">
              <w:rPr>
                <w:rFonts w:ascii="Times New Roman" w:eastAsia="Times New Roman" w:hAnsi="Times New Roman" w:cs="Times New Roman"/>
                <w:kern w:val="0"/>
                <w:lang w:eastAsia="ro-MD"/>
                <w14:ligatures w14:val="none"/>
              </w:rPr>
              <w:t xml:space="preserve"> care nu beneficiază de rating din cadrul abordării standardizate (punctul 93 din Regulamentul </w:t>
            </w:r>
            <w:r w:rsidR="00847E66">
              <w:rPr>
                <w:rFonts w:ascii="Times New Roman" w:eastAsia="Times New Roman" w:hAnsi="Times New Roman" w:cs="Times New Roman"/>
                <w:kern w:val="0"/>
                <w:lang w:eastAsia="ro-MD"/>
                <w14:ligatures w14:val="none"/>
              </w:rPr>
              <w:t>nr. 111/2018</w:t>
            </w:r>
            <w:r w:rsidRPr="008844AC">
              <w:rPr>
                <w:rFonts w:ascii="Times New Roman" w:eastAsia="Times New Roman" w:hAnsi="Times New Roman" w:cs="Times New Roman"/>
                <w:kern w:val="0"/>
                <w:lang w:eastAsia="ro-MD"/>
                <w14:ligatures w14:val="none"/>
              </w:rPr>
              <w:t xml:space="preserve">) se raportează la acest rând în clasa de expuneri </w:t>
            </w:r>
            <w:r w:rsidR="00B973D9">
              <w:rPr>
                <w:rFonts w:ascii="Times New Roman" w:eastAsia="Times New Roman" w:hAnsi="Times New Roman" w:cs="Times New Roman"/>
                <w:kern w:val="0"/>
                <w:lang w:eastAsia="ro-MD"/>
                <w14:ligatures w14:val="none"/>
              </w:rPr>
              <w:t>„</w:t>
            </w:r>
            <w:r w:rsidRPr="008844AC">
              <w:rPr>
                <w:rFonts w:ascii="Times New Roman" w:eastAsia="Times New Roman" w:hAnsi="Times New Roman" w:cs="Times New Roman"/>
                <w:kern w:val="0"/>
                <w:lang w:eastAsia="ro-MD"/>
                <w14:ligatures w14:val="none"/>
              </w:rPr>
              <w:t>Alte elemente</w:t>
            </w:r>
            <w:r w:rsidR="00B973D9">
              <w:rPr>
                <w:rFonts w:ascii="Times New Roman" w:eastAsia="Times New Roman" w:hAnsi="Times New Roman" w:cs="Times New Roman"/>
                <w:kern w:val="0"/>
                <w:lang w:eastAsia="ro-MD"/>
                <w14:ligatures w14:val="none"/>
              </w:rPr>
              <w:t>”</w:t>
            </w:r>
            <w:r w:rsidRPr="008844AC">
              <w:rPr>
                <w:rFonts w:ascii="Times New Roman" w:eastAsia="Times New Roman" w:hAnsi="Times New Roman" w:cs="Times New Roman"/>
                <w:kern w:val="0"/>
                <w:lang w:eastAsia="ro-MD"/>
                <w14:ligatures w14:val="none"/>
              </w:rPr>
              <w:t>.</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FDB9D"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605E34" w:rsidRPr="00E91D07" w14:paraId="26BCC1FF"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713E9D" w14:textId="597F2FB0" w:rsidR="00605E34" w:rsidRPr="00E91D07" w:rsidRDefault="00E63527" w:rsidP="00605E34">
            <w:pPr>
              <w:spacing w:after="0" w:line="240" w:lineRule="auto"/>
              <w:jc w:val="center"/>
              <w:rPr>
                <w:rFonts w:ascii="Times New Roman" w:eastAsia="Times New Roman" w:hAnsi="Times New Roman" w:cs="Times New Roman"/>
                <w:kern w:val="0"/>
                <w:lang w:eastAsia="ro-MD"/>
                <w14:ligatures w14:val="none"/>
              </w:rPr>
            </w:pPr>
            <w:bookmarkStart w:id="62" w:name="_Hlk220600313"/>
            <w:r w:rsidRPr="00E91D07">
              <w:rPr>
                <w:rFonts w:ascii="Times New Roman" w:eastAsia="Times New Roman" w:hAnsi="Times New Roman" w:cs="Times New Roman"/>
                <w:kern w:val="0"/>
                <w:lang w:eastAsia="ro-MD"/>
                <w14:ligatures w14:val="none"/>
              </w:rPr>
              <w:t>0</w:t>
            </w:r>
            <w:r w:rsidR="00605E34" w:rsidRPr="00E91D07">
              <w:rPr>
                <w:rFonts w:ascii="Times New Roman" w:eastAsia="Times New Roman" w:hAnsi="Times New Roman" w:cs="Times New Roman"/>
                <w:kern w:val="0"/>
                <w:lang w:eastAsia="ro-MD"/>
                <w14:ligatures w14:val="none"/>
              </w:rPr>
              <w:t>281-</w:t>
            </w:r>
            <w:r w:rsidRPr="00E91D07">
              <w:rPr>
                <w:rFonts w:ascii="Times New Roman" w:eastAsia="Times New Roman" w:hAnsi="Times New Roman" w:cs="Times New Roman"/>
                <w:kern w:val="0"/>
                <w:lang w:eastAsia="ro-MD"/>
                <w14:ligatures w14:val="none"/>
              </w:rPr>
              <w:t>0</w:t>
            </w:r>
            <w:r w:rsidR="00605E34" w:rsidRPr="00E91D07">
              <w:rPr>
                <w:rFonts w:ascii="Times New Roman" w:eastAsia="Times New Roman" w:hAnsi="Times New Roman" w:cs="Times New Roman"/>
                <w:kern w:val="0"/>
                <w:lang w:eastAsia="ro-MD"/>
                <w14:ligatures w14:val="none"/>
              </w:rPr>
              <w:t>284</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3C1ADF" w14:textId="77777777" w:rsidR="00605E34" w:rsidRPr="00E91D07" w:rsidRDefault="00605E34" w:rsidP="00A84D2B">
            <w:pPr>
              <w:pStyle w:val="InstructionsText"/>
              <w:rPr>
                <w:rStyle w:val="InstructionsTabelleberschrift"/>
                <w:rFonts w:ascii="Times New Roman" w:hAnsi="Times New Roman"/>
                <w:sz w:val="22"/>
                <w:u w:val="none"/>
              </w:rPr>
            </w:pPr>
            <w:r w:rsidRPr="00E91D07">
              <w:rPr>
                <w:rStyle w:val="InstructionsTabelleberschrift"/>
                <w:rFonts w:ascii="Times New Roman" w:hAnsi="Times New Roman"/>
                <w:sz w:val="22"/>
                <w:u w:val="none"/>
              </w:rPr>
              <w:t>DEFALCAREA EXPUNERILOR TOTALE ÎN FUNCȚIE DE ABORDARE (OPC-uri)</w:t>
            </w:r>
          </w:p>
          <w:p w14:paraId="357BC263" w14:textId="27D34D7F" w:rsidR="00605E34" w:rsidRPr="00E91D07" w:rsidRDefault="00605E34" w:rsidP="00605E34">
            <w:pPr>
              <w:spacing w:after="0" w:line="240" w:lineRule="auto"/>
              <w:rPr>
                <w:rFonts w:ascii="Times New Roman" w:eastAsia="Times New Roman" w:hAnsi="Times New Roman" w:cs="Times New Roman"/>
                <w:b/>
                <w:bCs/>
                <w:kern w:val="0"/>
                <w:lang w:eastAsia="ro-MD"/>
                <w14:ligatures w14:val="none"/>
              </w:rPr>
            </w:pPr>
            <w:r w:rsidRPr="00E91D07">
              <w:rPr>
                <w:rStyle w:val="InstructionsTabelleberschrift"/>
                <w:rFonts w:ascii="Times New Roman" w:hAnsi="Times New Roman"/>
                <w:b w:val="0"/>
                <w:bCs w:val="0"/>
                <w:sz w:val="22"/>
                <w:u w:val="none"/>
              </w:rPr>
              <w:t xml:space="preserve">Aceste rânduri se raportează numai pentru clasa de expuneri </w:t>
            </w:r>
            <w:r w:rsidR="00847E66" w:rsidRPr="00E91D07">
              <w:rPr>
                <w:rStyle w:val="InstructionsTabelleberschrift"/>
                <w:rFonts w:ascii="Times New Roman" w:hAnsi="Times New Roman"/>
                <w:b w:val="0"/>
                <w:bCs w:val="0"/>
                <w:sz w:val="22"/>
                <w:u w:val="none"/>
              </w:rPr>
              <w:t>„</w:t>
            </w:r>
            <w:r w:rsidRPr="00E91D07">
              <w:rPr>
                <w:rStyle w:val="InstructionsTabelleberschrift"/>
                <w:rFonts w:ascii="Times New Roman" w:hAnsi="Times New Roman"/>
                <w:b w:val="0"/>
                <w:bCs w:val="0"/>
                <w:sz w:val="22"/>
                <w:u w:val="none"/>
              </w:rPr>
              <w:t>Organisme de plasament colectiv (OPC)</w:t>
            </w:r>
            <w:r w:rsidR="00847E66" w:rsidRPr="00E91D07">
              <w:rPr>
                <w:rStyle w:val="InstructionsTabelleberschrift"/>
                <w:rFonts w:ascii="Times New Roman" w:hAnsi="Times New Roman"/>
                <w:b w:val="0"/>
                <w:bCs w:val="0"/>
                <w:sz w:val="22"/>
                <w:u w:val="none"/>
              </w:rPr>
              <w:t>”</w:t>
            </w:r>
            <w:r w:rsidRPr="00E91D07">
              <w:rPr>
                <w:rStyle w:val="InstructionsTabelleberschrift"/>
                <w:rFonts w:ascii="Times New Roman" w:hAnsi="Times New Roman"/>
                <w:b w:val="0"/>
                <w:bCs w:val="0"/>
                <w:sz w:val="22"/>
                <w:u w:val="none"/>
              </w:rPr>
              <w:t xml:space="preserve">, în conformitate cu </w:t>
            </w:r>
            <w:r w:rsidR="009F7B36" w:rsidRPr="00E91D07">
              <w:rPr>
                <w:rStyle w:val="InstructionsTabelleberschrift"/>
                <w:rFonts w:ascii="Times New Roman" w:hAnsi="Times New Roman"/>
                <w:b w:val="0"/>
                <w:bCs w:val="0"/>
                <w:sz w:val="22"/>
                <w:u w:val="none"/>
              </w:rPr>
              <w:t>Capitolul IV</w:t>
            </w:r>
            <w:r w:rsidR="00C058A3">
              <w:rPr>
                <w:rStyle w:val="InstructionsTabelleberschrift"/>
                <w:rFonts w:ascii="Times New Roman" w:hAnsi="Times New Roman"/>
                <w:b w:val="0"/>
                <w:bCs w:val="0"/>
                <w:sz w:val="22"/>
                <w:u w:val="none"/>
              </w:rPr>
              <w:t>,</w:t>
            </w:r>
            <w:r w:rsidR="009F7B36" w:rsidRPr="00E91D07">
              <w:rPr>
                <w:rStyle w:val="InstructionsTabelleberschrift"/>
                <w:rFonts w:ascii="Times New Roman" w:hAnsi="Times New Roman"/>
                <w:b w:val="0"/>
                <w:bCs w:val="0"/>
                <w:sz w:val="22"/>
                <w:u w:val="none"/>
              </w:rPr>
              <w:t xml:space="preserve"> Secțiunile 18, 18</w:t>
            </w:r>
            <w:r w:rsidR="009F7B36" w:rsidRPr="00E91D07">
              <w:rPr>
                <w:rStyle w:val="InstructionsTabelleberschrift"/>
                <w:rFonts w:ascii="Times New Roman" w:hAnsi="Times New Roman"/>
                <w:b w:val="0"/>
                <w:bCs w:val="0"/>
                <w:sz w:val="22"/>
                <w:u w:val="none"/>
                <w:vertAlign w:val="superscript"/>
              </w:rPr>
              <w:t>1</w:t>
            </w:r>
            <w:r w:rsidR="009F7B36" w:rsidRPr="00E91D07">
              <w:rPr>
                <w:rStyle w:val="InstructionsTabelleberschrift"/>
                <w:rFonts w:ascii="Times New Roman" w:hAnsi="Times New Roman"/>
                <w:b w:val="0"/>
                <w:bCs w:val="0"/>
                <w:sz w:val="22"/>
                <w:u w:val="none"/>
              </w:rPr>
              <w:t>, 18</w:t>
            </w:r>
            <w:r w:rsidR="009F7B36" w:rsidRPr="00E91D07">
              <w:rPr>
                <w:rStyle w:val="InstructionsTabelleberschrift"/>
                <w:rFonts w:ascii="Times New Roman" w:hAnsi="Times New Roman"/>
                <w:b w:val="0"/>
                <w:bCs w:val="0"/>
                <w:sz w:val="22"/>
                <w:u w:val="none"/>
                <w:vertAlign w:val="superscript"/>
              </w:rPr>
              <w:t>2</w:t>
            </w:r>
            <w:r w:rsidR="009F7B36" w:rsidRPr="00E91D07">
              <w:rPr>
                <w:rStyle w:val="InstructionsTabelleberschrift"/>
                <w:rFonts w:ascii="Times New Roman" w:hAnsi="Times New Roman"/>
                <w:b w:val="0"/>
                <w:bCs w:val="0"/>
                <w:sz w:val="22"/>
                <w:u w:val="none"/>
              </w:rPr>
              <w:t>, 18</w:t>
            </w:r>
            <w:r w:rsidR="009F7B36" w:rsidRPr="00E91D07">
              <w:rPr>
                <w:rStyle w:val="InstructionsTabelleberschrift"/>
                <w:rFonts w:ascii="Times New Roman" w:hAnsi="Times New Roman"/>
                <w:b w:val="0"/>
                <w:bCs w:val="0"/>
                <w:sz w:val="22"/>
                <w:u w:val="none"/>
                <w:vertAlign w:val="superscript"/>
              </w:rPr>
              <w:t>3</w:t>
            </w:r>
            <w:r w:rsidR="009F7B36" w:rsidRPr="00E91D07">
              <w:rPr>
                <w:rStyle w:val="InstructionsTabelleberschrift"/>
                <w:rFonts w:ascii="Times New Roman" w:hAnsi="Times New Roman"/>
                <w:b w:val="0"/>
                <w:bCs w:val="0"/>
                <w:sz w:val="22"/>
                <w:u w:val="none"/>
              </w:rPr>
              <w:t xml:space="preserve"> </w:t>
            </w:r>
            <w:r w:rsidRPr="00E91D07">
              <w:rPr>
                <w:rFonts w:ascii="Times New Roman" w:hAnsi="Times New Roman" w:cs="Times New Roman"/>
              </w:rPr>
              <w:t xml:space="preserve">din </w:t>
            </w:r>
            <w:r w:rsidRPr="00E91D07">
              <w:rPr>
                <w:rStyle w:val="InstructionsTabelleberschrift"/>
                <w:rFonts w:ascii="Times New Roman" w:hAnsi="Times New Roman"/>
                <w:b w:val="0"/>
                <w:bCs w:val="0"/>
                <w:sz w:val="22"/>
                <w:u w:val="none"/>
              </w:rPr>
              <w:t>Regulamentul nr. </w:t>
            </w:r>
            <w:r w:rsidR="009F7B36" w:rsidRPr="00E91D07">
              <w:rPr>
                <w:rStyle w:val="InstructionsTabelleberschrift"/>
                <w:rFonts w:ascii="Times New Roman" w:hAnsi="Times New Roman"/>
                <w:b w:val="0"/>
                <w:bCs w:val="0"/>
                <w:sz w:val="22"/>
                <w:u w:val="none"/>
              </w:rPr>
              <w:t>111</w:t>
            </w:r>
            <w:r w:rsidRPr="00E91D07">
              <w:rPr>
                <w:rStyle w:val="InstructionsTabelleberschrift"/>
                <w:rFonts w:ascii="Times New Roman" w:hAnsi="Times New Roman"/>
                <w:b w:val="0"/>
                <w:bCs w:val="0"/>
                <w:sz w:val="22"/>
                <w:u w:val="none"/>
              </w:rPr>
              <w:t>/20</w:t>
            </w:r>
            <w:r w:rsidR="009F7B36" w:rsidRPr="00E91D07">
              <w:rPr>
                <w:rStyle w:val="InstructionsTabelleberschrift"/>
                <w:rFonts w:ascii="Times New Roman" w:hAnsi="Times New Roman"/>
                <w:b w:val="0"/>
                <w:bCs w:val="0"/>
                <w:sz w:val="22"/>
                <w:u w:val="none"/>
              </w:rPr>
              <w:t>18</w:t>
            </w:r>
            <w:r w:rsidRPr="00E91D07">
              <w:rPr>
                <w:rStyle w:val="InstructionsTabelleberschrift"/>
                <w:rFonts w:ascii="Times New Roman" w:hAnsi="Times New Roman"/>
                <w:b w:val="0"/>
                <w:bCs w:val="0"/>
                <w:sz w:val="22"/>
                <w:u w:val="none"/>
              </w:rPr>
              <w:t>.</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7DD1007" w14:textId="77777777" w:rsidR="00605E34" w:rsidRPr="00E91D07" w:rsidRDefault="00605E34" w:rsidP="00605E34">
            <w:pPr>
              <w:spacing w:after="0" w:line="240" w:lineRule="auto"/>
              <w:rPr>
                <w:rFonts w:ascii="Times New Roman" w:eastAsia="Times New Roman" w:hAnsi="Times New Roman" w:cs="Times New Roman"/>
                <w:kern w:val="0"/>
                <w:lang w:eastAsia="ro-MD"/>
                <w14:ligatures w14:val="none"/>
              </w:rPr>
            </w:pPr>
          </w:p>
        </w:tc>
      </w:tr>
      <w:tr w:rsidR="00605E34" w:rsidRPr="00E91D07" w14:paraId="0C1114DD"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8D9706D" w14:textId="6170A3D8" w:rsidR="00605E34" w:rsidRPr="00E91D07" w:rsidRDefault="00E63527" w:rsidP="00605E3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605E34" w:rsidRPr="00E91D07">
              <w:rPr>
                <w:rFonts w:ascii="Times New Roman" w:eastAsia="Times New Roman" w:hAnsi="Times New Roman" w:cs="Times New Roman"/>
                <w:kern w:val="0"/>
                <w:lang w:eastAsia="ro-MD"/>
                <w14:ligatures w14:val="none"/>
              </w:rPr>
              <w:t>281</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4DEC441" w14:textId="77777777" w:rsidR="00605E34" w:rsidRPr="0068245D" w:rsidRDefault="00605E34" w:rsidP="00A84D2B">
            <w:pPr>
              <w:pStyle w:val="InstructionsText"/>
              <w:rPr>
                <w:rStyle w:val="InstructionsTabelleberschrift"/>
                <w:rFonts w:ascii="Times New Roman" w:hAnsi="Times New Roman"/>
                <w:sz w:val="22"/>
                <w:u w:val="none"/>
              </w:rPr>
            </w:pPr>
            <w:r w:rsidRPr="0068245D">
              <w:rPr>
                <w:rStyle w:val="InstructionsTabelleberschrift"/>
                <w:rFonts w:ascii="Times New Roman" w:hAnsi="Times New Roman"/>
                <w:sz w:val="22"/>
                <w:u w:val="none"/>
              </w:rPr>
              <w:t>Abordarea de tip look-</w:t>
            </w:r>
            <w:proofErr w:type="spellStart"/>
            <w:r w:rsidRPr="0068245D">
              <w:rPr>
                <w:rStyle w:val="InstructionsTabelleberschrift"/>
                <w:rFonts w:ascii="Times New Roman" w:hAnsi="Times New Roman"/>
                <w:sz w:val="22"/>
                <w:u w:val="none"/>
              </w:rPr>
              <w:t>through</w:t>
            </w:r>
            <w:proofErr w:type="spellEnd"/>
          </w:p>
          <w:p w14:paraId="48BB07BF" w14:textId="455A5A6D" w:rsidR="00605E34" w:rsidRPr="0068245D" w:rsidRDefault="009F7B36" w:rsidP="00605E34">
            <w:pPr>
              <w:spacing w:after="0" w:line="240" w:lineRule="auto"/>
              <w:rPr>
                <w:rFonts w:ascii="Times New Roman" w:eastAsia="Times New Roman" w:hAnsi="Times New Roman" w:cs="Times New Roman"/>
                <w:b/>
                <w:bCs/>
                <w:kern w:val="0"/>
                <w:lang w:eastAsia="ro-MD"/>
                <w14:ligatures w14:val="none"/>
              </w:rPr>
            </w:pPr>
            <w:r w:rsidRPr="0068245D">
              <w:rPr>
                <w:rStyle w:val="InstructionsTabelleberschrift"/>
                <w:rFonts w:ascii="Times New Roman" w:hAnsi="Times New Roman"/>
                <w:b w:val="0"/>
                <w:bCs w:val="0"/>
                <w:sz w:val="22"/>
                <w:u w:val="none"/>
              </w:rPr>
              <w:t>Punctul 82</w:t>
            </w:r>
            <w:r w:rsidRPr="0068245D">
              <w:rPr>
                <w:rStyle w:val="InstructionsTabelleberschrift"/>
                <w:rFonts w:ascii="Times New Roman" w:hAnsi="Times New Roman"/>
                <w:b w:val="0"/>
                <w:bCs w:val="0"/>
                <w:sz w:val="22"/>
                <w:u w:val="none"/>
                <w:vertAlign w:val="superscript"/>
              </w:rPr>
              <w:t>14</w:t>
            </w:r>
            <w:r w:rsidRPr="0068245D">
              <w:rPr>
                <w:rStyle w:val="InstructionsTabelleberschrift"/>
                <w:rFonts w:ascii="Times New Roman" w:hAnsi="Times New Roman"/>
                <w:b w:val="0"/>
                <w:bCs w:val="0"/>
                <w:sz w:val="22"/>
                <w:u w:val="none"/>
              </w:rPr>
              <w:t xml:space="preserve"> </w:t>
            </w:r>
            <w:r w:rsidRPr="0068245D">
              <w:rPr>
                <w:rFonts w:ascii="Times New Roman" w:hAnsi="Times New Roman" w:cs="Times New Roman"/>
              </w:rPr>
              <w:t xml:space="preserve">din </w:t>
            </w:r>
            <w:r w:rsidRPr="0068245D">
              <w:rPr>
                <w:rStyle w:val="InstructionsTabelleberschrift"/>
                <w:rFonts w:ascii="Times New Roman" w:hAnsi="Times New Roman"/>
                <w:b w:val="0"/>
                <w:bCs w:val="0"/>
                <w:sz w:val="22"/>
                <w:u w:val="none"/>
              </w:rPr>
              <w:t>Regulamentul nr. 111/2018.</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A2517DB" w14:textId="77777777" w:rsidR="00605E34" w:rsidRPr="00E91D07" w:rsidRDefault="00605E34" w:rsidP="00605E34">
            <w:pPr>
              <w:spacing w:after="0" w:line="240" w:lineRule="auto"/>
              <w:rPr>
                <w:rFonts w:ascii="Times New Roman" w:eastAsia="Times New Roman" w:hAnsi="Times New Roman" w:cs="Times New Roman"/>
                <w:kern w:val="0"/>
                <w:lang w:eastAsia="ro-MD"/>
                <w14:ligatures w14:val="none"/>
              </w:rPr>
            </w:pPr>
          </w:p>
        </w:tc>
      </w:tr>
      <w:tr w:rsidR="00605E34" w:rsidRPr="00E91D07" w14:paraId="7BE16D08"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4FC21C" w14:textId="3CFE94CF" w:rsidR="00605E34" w:rsidRPr="00E91D07" w:rsidRDefault="00E63527" w:rsidP="00605E3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605E34" w:rsidRPr="00E91D07">
              <w:rPr>
                <w:rFonts w:ascii="Times New Roman" w:eastAsia="Times New Roman" w:hAnsi="Times New Roman" w:cs="Times New Roman"/>
                <w:kern w:val="0"/>
                <w:lang w:eastAsia="ro-MD"/>
                <w14:ligatures w14:val="none"/>
              </w:rPr>
              <w:t>282</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AFDCF8" w14:textId="77777777" w:rsidR="00605E34" w:rsidRPr="0068245D" w:rsidRDefault="00605E34" w:rsidP="00A84D2B">
            <w:pPr>
              <w:pStyle w:val="InstructionsText"/>
              <w:rPr>
                <w:rStyle w:val="InstructionsTabelleberschrift"/>
                <w:rFonts w:ascii="Times New Roman" w:hAnsi="Times New Roman"/>
                <w:sz w:val="22"/>
                <w:u w:val="none"/>
              </w:rPr>
            </w:pPr>
            <w:r w:rsidRPr="0068245D">
              <w:rPr>
                <w:rStyle w:val="InstructionsTabelleberschrift"/>
                <w:rFonts w:ascii="Times New Roman" w:hAnsi="Times New Roman"/>
                <w:sz w:val="22"/>
                <w:u w:val="none"/>
              </w:rPr>
              <w:t>Abordarea pe bază de mandat</w:t>
            </w:r>
          </w:p>
          <w:p w14:paraId="1ED69A05" w14:textId="73EA88B0" w:rsidR="00605E34" w:rsidRPr="0068245D" w:rsidRDefault="009F7B36" w:rsidP="00605E34">
            <w:pPr>
              <w:spacing w:after="0" w:line="240" w:lineRule="auto"/>
              <w:rPr>
                <w:rFonts w:ascii="Times New Roman" w:eastAsia="Times New Roman" w:hAnsi="Times New Roman" w:cs="Times New Roman"/>
                <w:b/>
                <w:bCs/>
                <w:kern w:val="0"/>
                <w:lang w:eastAsia="ro-MD"/>
                <w14:ligatures w14:val="none"/>
              </w:rPr>
            </w:pPr>
            <w:r w:rsidRPr="0068245D">
              <w:rPr>
                <w:rStyle w:val="InstructionsTabelleberschrift"/>
                <w:rFonts w:ascii="Times New Roman" w:hAnsi="Times New Roman"/>
                <w:b w:val="0"/>
                <w:bCs w:val="0"/>
                <w:sz w:val="22"/>
                <w:u w:val="none"/>
              </w:rPr>
              <w:t>Punctele 82</w:t>
            </w:r>
            <w:r w:rsidRPr="0068245D">
              <w:rPr>
                <w:rStyle w:val="InstructionsTabelleberschrift"/>
                <w:rFonts w:ascii="Times New Roman" w:hAnsi="Times New Roman"/>
                <w:b w:val="0"/>
                <w:bCs w:val="0"/>
                <w:sz w:val="22"/>
                <w:u w:val="none"/>
                <w:vertAlign w:val="superscript"/>
              </w:rPr>
              <w:t>15</w:t>
            </w:r>
            <w:r w:rsidRPr="0068245D">
              <w:rPr>
                <w:rStyle w:val="InstructionsTabelleberschrift"/>
                <w:rFonts w:ascii="Times New Roman" w:hAnsi="Times New Roman"/>
                <w:b w:val="0"/>
                <w:bCs w:val="0"/>
                <w:sz w:val="22"/>
                <w:u w:val="none"/>
              </w:rPr>
              <w:t xml:space="preserve"> – 82</w:t>
            </w:r>
            <w:r w:rsidRPr="0068245D">
              <w:rPr>
                <w:rStyle w:val="InstructionsTabelleberschrift"/>
                <w:rFonts w:ascii="Times New Roman" w:hAnsi="Times New Roman"/>
                <w:b w:val="0"/>
                <w:bCs w:val="0"/>
                <w:sz w:val="22"/>
                <w:u w:val="none"/>
                <w:vertAlign w:val="superscript"/>
              </w:rPr>
              <w:t>17</w:t>
            </w:r>
            <w:r w:rsidRPr="0068245D">
              <w:rPr>
                <w:rStyle w:val="InstructionsTabelleberschrift"/>
                <w:rFonts w:ascii="Times New Roman" w:hAnsi="Times New Roman"/>
                <w:b w:val="0"/>
                <w:bCs w:val="0"/>
                <w:sz w:val="22"/>
                <w:u w:val="none"/>
              </w:rPr>
              <w:t xml:space="preserve"> </w:t>
            </w:r>
            <w:r w:rsidRPr="0068245D">
              <w:rPr>
                <w:rFonts w:ascii="Times New Roman" w:hAnsi="Times New Roman" w:cs="Times New Roman"/>
              </w:rPr>
              <w:t xml:space="preserve">din </w:t>
            </w:r>
            <w:r w:rsidRPr="0068245D">
              <w:rPr>
                <w:rStyle w:val="InstructionsTabelleberschrift"/>
                <w:rFonts w:ascii="Times New Roman" w:hAnsi="Times New Roman"/>
                <w:b w:val="0"/>
                <w:bCs w:val="0"/>
                <w:sz w:val="22"/>
                <w:u w:val="none"/>
              </w:rPr>
              <w:t>Regulamentul nr. 111/2018.</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DF703C" w14:textId="77777777" w:rsidR="00605E34" w:rsidRPr="00E91D07" w:rsidRDefault="00605E34" w:rsidP="00605E34">
            <w:pPr>
              <w:spacing w:after="0" w:line="240" w:lineRule="auto"/>
              <w:rPr>
                <w:rFonts w:ascii="Times New Roman" w:eastAsia="Times New Roman" w:hAnsi="Times New Roman" w:cs="Times New Roman"/>
                <w:kern w:val="0"/>
                <w:lang w:eastAsia="ro-MD"/>
                <w14:ligatures w14:val="none"/>
              </w:rPr>
            </w:pPr>
          </w:p>
        </w:tc>
      </w:tr>
      <w:tr w:rsidR="00605E34" w:rsidRPr="00E91D07" w14:paraId="19B86D20"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0725F18" w14:textId="6B66CDB4" w:rsidR="00605E34" w:rsidRPr="00E91D07" w:rsidRDefault="00E63527" w:rsidP="00605E34">
            <w:pPr>
              <w:spacing w:after="0" w:line="240" w:lineRule="auto"/>
              <w:jc w:val="center"/>
              <w:rPr>
                <w:rFonts w:ascii="Times New Roman" w:eastAsia="Times New Roman" w:hAnsi="Times New Roman" w:cs="Times New Roman"/>
                <w:kern w:val="0"/>
                <w:lang w:eastAsia="ro-MD"/>
                <w14:ligatures w14:val="none"/>
              </w:rPr>
            </w:pPr>
            <w:r w:rsidRPr="00E91D07">
              <w:rPr>
                <w:rFonts w:ascii="Times New Roman" w:eastAsia="Times New Roman" w:hAnsi="Times New Roman" w:cs="Times New Roman"/>
                <w:kern w:val="0"/>
                <w:lang w:eastAsia="ro-MD"/>
                <w14:ligatures w14:val="none"/>
              </w:rPr>
              <w:t>0</w:t>
            </w:r>
            <w:r w:rsidR="00605E34" w:rsidRPr="00E91D07">
              <w:rPr>
                <w:rFonts w:ascii="Times New Roman" w:eastAsia="Times New Roman" w:hAnsi="Times New Roman" w:cs="Times New Roman"/>
                <w:kern w:val="0"/>
                <w:lang w:eastAsia="ro-MD"/>
                <w14:ligatures w14:val="none"/>
              </w:rPr>
              <w:t>283</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18B2D6" w14:textId="77777777" w:rsidR="00605E34" w:rsidRPr="0068245D" w:rsidRDefault="00605E34" w:rsidP="00A84D2B">
            <w:pPr>
              <w:pStyle w:val="InstructionsText"/>
              <w:rPr>
                <w:rStyle w:val="InstructionsTabelleberschrift"/>
                <w:rFonts w:ascii="Times New Roman" w:hAnsi="Times New Roman"/>
                <w:sz w:val="22"/>
                <w:u w:val="none"/>
              </w:rPr>
            </w:pPr>
            <w:r w:rsidRPr="0068245D">
              <w:rPr>
                <w:rStyle w:val="InstructionsTabelleberschrift"/>
                <w:rFonts w:ascii="Times New Roman" w:hAnsi="Times New Roman"/>
                <w:sz w:val="22"/>
                <w:u w:val="none"/>
              </w:rPr>
              <w:t>Abordarea de rezervă (</w:t>
            </w:r>
            <w:proofErr w:type="spellStart"/>
            <w:r w:rsidRPr="0068245D">
              <w:rPr>
                <w:rStyle w:val="InstructionsTabelleberschrift"/>
                <w:rFonts w:ascii="Times New Roman" w:hAnsi="Times New Roman"/>
                <w:sz w:val="22"/>
                <w:u w:val="none"/>
              </w:rPr>
              <w:t>fall</w:t>
            </w:r>
            <w:proofErr w:type="spellEnd"/>
            <w:r w:rsidRPr="0068245D">
              <w:rPr>
                <w:rStyle w:val="InstructionsTabelleberschrift"/>
                <w:rFonts w:ascii="Times New Roman" w:hAnsi="Times New Roman"/>
                <w:sz w:val="22"/>
                <w:u w:val="none"/>
              </w:rPr>
              <w:t>-back)</w:t>
            </w:r>
          </w:p>
          <w:p w14:paraId="4EB6FDCD" w14:textId="11B061D9" w:rsidR="00605E34" w:rsidRPr="0068245D" w:rsidRDefault="009F7B36" w:rsidP="00605E34">
            <w:pPr>
              <w:spacing w:after="0" w:line="240" w:lineRule="auto"/>
              <w:rPr>
                <w:rFonts w:ascii="Times New Roman" w:eastAsia="Times New Roman" w:hAnsi="Times New Roman" w:cs="Times New Roman"/>
                <w:b/>
                <w:bCs/>
                <w:kern w:val="0"/>
                <w:lang w:eastAsia="ro-MD"/>
                <w14:ligatures w14:val="none"/>
              </w:rPr>
            </w:pPr>
            <w:r w:rsidRPr="0068245D">
              <w:rPr>
                <w:rStyle w:val="InstructionsTabelleberschrift"/>
                <w:rFonts w:ascii="Times New Roman" w:hAnsi="Times New Roman"/>
                <w:b w:val="0"/>
                <w:bCs w:val="0"/>
                <w:sz w:val="22"/>
                <w:u w:val="none"/>
              </w:rPr>
              <w:t>Punctele 82</w:t>
            </w:r>
            <w:r w:rsidRPr="0068245D">
              <w:rPr>
                <w:rStyle w:val="InstructionsTabelleberschrift"/>
                <w:rFonts w:ascii="Times New Roman" w:hAnsi="Times New Roman"/>
                <w:b w:val="0"/>
                <w:bCs w:val="0"/>
                <w:sz w:val="22"/>
                <w:u w:val="none"/>
                <w:vertAlign w:val="superscript"/>
              </w:rPr>
              <w:t>1</w:t>
            </w:r>
            <w:r w:rsidRPr="0068245D">
              <w:rPr>
                <w:rStyle w:val="InstructionsTabelleberschrift"/>
                <w:rFonts w:ascii="Times New Roman" w:hAnsi="Times New Roman"/>
                <w:b w:val="0"/>
                <w:bCs w:val="0"/>
                <w:sz w:val="22"/>
                <w:u w:val="none"/>
              </w:rPr>
              <w:t xml:space="preserve"> – 82</w:t>
            </w:r>
            <w:r w:rsidR="001A48CC" w:rsidRPr="0068245D">
              <w:rPr>
                <w:rStyle w:val="InstructionsTabelleberschrift"/>
                <w:rFonts w:ascii="Times New Roman" w:hAnsi="Times New Roman"/>
                <w:b w:val="0"/>
                <w:bCs w:val="0"/>
                <w:sz w:val="22"/>
                <w:u w:val="none"/>
                <w:vertAlign w:val="superscript"/>
              </w:rPr>
              <w:t>3</w:t>
            </w:r>
            <w:r w:rsidRPr="0068245D">
              <w:rPr>
                <w:rStyle w:val="InstructionsTabelleberschrift"/>
                <w:rFonts w:ascii="Times New Roman" w:hAnsi="Times New Roman"/>
                <w:b w:val="0"/>
                <w:bCs w:val="0"/>
                <w:sz w:val="22"/>
                <w:u w:val="none"/>
              </w:rPr>
              <w:t xml:space="preserve"> </w:t>
            </w:r>
            <w:r w:rsidRPr="0068245D">
              <w:rPr>
                <w:rFonts w:ascii="Times New Roman" w:hAnsi="Times New Roman" w:cs="Times New Roman"/>
              </w:rPr>
              <w:t xml:space="preserve">din </w:t>
            </w:r>
            <w:r w:rsidRPr="0068245D">
              <w:rPr>
                <w:rStyle w:val="InstructionsTabelleberschrift"/>
                <w:rFonts w:ascii="Times New Roman" w:hAnsi="Times New Roman"/>
                <w:b w:val="0"/>
                <w:bCs w:val="0"/>
                <w:sz w:val="22"/>
                <w:u w:val="none"/>
              </w:rPr>
              <w:t>Regulamentul nr. 111/2018.</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337265" w14:textId="77777777" w:rsidR="00605E34" w:rsidRPr="00E91D07" w:rsidRDefault="00605E34" w:rsidP="00605E34">
            <w:pPr>
              <w:spacing w:after="0" w:line="240" w:lineRule="auto"/>
              <w:rPr>
                <w:rFonts w:ascii="Times New Roman" w:eastAsia="Times New Roman" w:hAnsi="Times New Roman" w:cs="Times New Roman"/>
                <w:kern w:val="0"/>
                <w:lang w:eastAsia="ro-MD"/>
                <w14:ligatures w14:val="none"/>
              </w:rPr>
            </w:pPr>
          </w:p>
        </w:tc>
      </w:tr>
      <w:bookmarkEnd w:id="62"/>
      <w:tr w:rsidR="008844AC" w:rsidRPr="008844AC" w14:paraId="47864217"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84FEA" w14:textId="14C06257"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290-</w:t>
            </w: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3</w:t>
            </w:r>
            <w:r w:rsidR="00605E34">
              <w:rPr>
                <w:rFonts w:ascii="Times New Roman" w:eastAsia="Times New Roman" w:hAnsi="Times New Roman" w:cs="Times New Roman"/>
                <w:kern w:val="0"/>
                <w:lang w:eastAsia="ro-MD"/>
                <w14:ligatures w14:val="none"/>
              </w:rPr>
              <w:t>3</w:t>
            </w:r>
            <w:r w:rsidR="008844AC" w:rsidRPr="008844AC">
              <w:rPr>
                <w:rFonts w:ascii="Times New Roman" w:eastAsia="Times New Roman" w:hAnsi="Times New Roman" w:cs="Times New Roman"/>
                <w:kern w:val="0"/>
                <w:lang w:eastAsia="ro-MD"/>
                <w14:ligatures w14:val="none"/>
              </w:rPr>
              <w:t>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E899E"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Elemente memorandum</w:t>
            </w:r>
            <w:r w:rsidRPr="008844AC">
              <w:rPr>
                <w:rFonts w:ascii="Times New Roman" w:eastAsia="Times New Roman" w:hAnsi="Times New Roman" w:cs="Times New Roman"/>
                <w:kern w:val="0"/>
                <w:lang w:eastAsia="ro-MD"/>
                <w14:ligatures w14:val="none"/>
              </w:rPr>
              <w:t xml:space="preserve"> </w:t>
            </w:r>
          </w:p>
          <w:p w14:paraId="6022426C"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A se vedea, de asemenea, </w:t>
            </w:r>
            <w:proofErr w:type="spellStart"/>
            <w:r w:rsidRPr="008844AC">
              <w:rPr>
                <w:rFonts w:ascii="Times New Roman" w:eastAsia="Times New Roman" w:hAnsi="Times New Roman" w:cs="Times New Roman"/>
                <w:kern w:val="0"/>
                <w:lang w:eastAsia="ro-MD"/>
                <w14:ligatures w14:val="none"/>
              </w:rPr>
              <w:t>explicaţia</w:t>
            </w:r>
            <w:proofErr w:type="spellEnd"/>
            <w:r w:rsidRPr="008844AC">
              <w:rPr>
                <w:rFonts w:ascii="Times New Roman" w:eastAsia="Times New Roman" w:hAnsi="Times New Roman" w:cs="Times New Roman"/>
                <w:kern w:val="0"/>
                <w:lang w:eastAsia="ro-MD"/>
                <w14:ligatures w14:val="none"/>
              </w:rPr>
              <w:t xml:space="preserve"> scopului elementelor memorandum în </w:t>
            </w:r>
            <w:proofErr w:type="spellStart"/>
            <w:r w:rsidRPr="008844AC">
              <w:rPr>
                <w:rFonts w:ascii="Times New Roman" w:eastAsia="Times New Roman" w:hAnsi="Times New Roman" w:cs="Times New Roman"/>
                <w:kern w:val="0"/>
                <w:lang w:eastAsia="ro-MD"/>
                <w14:ligatures w14:val="none"/>
              </w:rPr>
              <w:t>secţiunea</w:t>
            </w:r>
            <w:proofErr w:type="spellEnd"/>
            <w:r w:rsidRPr="008844AC">
              <w:rPr>
                <w:rFonts w:ascii="Times New Roman" w:eastAsia="Times New Roman" w:hAnsi="Times New Roman" w:cs="Times New Roman"/>
                <w:kern w:val="0"/>
                <w:lang w:eastAsia="ro-MD"/>
                <w14:ligatures w14:val="none"/>
              </w:rPr>
              <w:t xml:space="preserve"> generală a CR SA.</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B02C7"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409B9746"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2563C" w14:textId="69A345DD"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290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2E229"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Expuneri garantate cu ipoteci asupra bunurilor imobile comerciale</w:t>
            </w:r>
            <w:r w:rsidRPr="008844AC">
              <w:rPr>
                <w:rFonts w:ascii="Times New Roman" w:eastAsia="Times New Roman" w:hAnsi="Times New Roman" w:cs="Times New Roman"/>
                <w:kern w:val="0"/>
                <w:lang w:eastAsia="ro-MD"/>
                <w14:ligatures w14:val="none"/>
              </w:rPr>
              <w:t xml:space="preserve"> </w:t>
            </w:r>
          </w:p>
          <w:p w14:paraId="7BE603B4" w14:textId="77777777" w:rsidR="00B973D9"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Punctul 11 subpunctul 9) din Regulamentul </w:t>
            </w:r>
            <w:r w:rsidR="00203729">
              <w:rPr>
                <w:rFonts w:ascii="Times New Roman" w:eastAsia="Times New Roman" w:hAnsi="Times New Roman" w:cs="Times New Roman"/>
                <w:kern w:val="0"/>
                <w:lang w:eastAsia="ro-MD"/>
                <w14:ligatures w14:val="none"/>
              </w:rPr>
              <w:t>nr. 111/2018</w:t>
            </w:r>
            <w:r w:rsidR="00203729" w:rsidRPr="008844AC">
              <w:rPr>
                <w:rFonts w:ascii="Times New Roman" w:eastAsia="Times New Roman" w:hAnsi="Times New Roman" w:cs="Times New Roman"/>
                <w:kern w:val="0"/>
                <w:lang w:eastAsia="ro-MD"/>
                <w14:ligatures w14:val="none"/>
              </w:rPr>
              <w:t xml:space="preserve"> </w:t>
            </w:r>
          </w:p>
          <w:p w14:paraId="2930B5F8" w14:textId="42291025"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Acesta este numai un element memorandum. Independent de calculul cuantumurilor expunerilor la risc ale expunerilor garantate cu bunuri imobile comerciale în conformitate cu capitolul IV </w:t>
            </w:r>
            <w:proofErr w:type="spellStart"/>
            <w:r w:rsidRPr="008844AC">
              <w:rPr>
                <w:rFonts w:ascii="Times New Roman" w:eastAsia="Times New Roman" w:hAnsi="Times New Roman" w:cs="Times New Roman"/>
                <w:kern w:val="0"/>
                <w:lang w:eastAsia="ro-MD"/>
                <w14:ligatures w14:val="none"/>
              </w:rPr>
              <w:t>secţiunile</w:t>
            </w:r>
            <w:proofErr w:type="spellEnd"/>
            <w:r w:rsidRPr="008844AC">
              <w:rPr>
                <w:rFonts w:ascii="Times New Roman" w:eastAsia="Times New Roman" w:hAnsi="Times New Roman" w:cs="Times New Roman"/>
                <w:kern w:val="0"/>
                <w:lang w:eastAsia="ro-MD"/>
                <w14:ligatures w14:val="none"/>
              </w:rPr>
              <w:t xml:space="preserve"> a 11-a </w:t>
            </w:r>
            <w:proofErr w:type="spellStart"/>
            <w:r w:rsidRPr="008844AC">
              <w:rPr>
                <w:rFonts w:ascii="Times New Roman" w:eastAsia="Times New Roman" w:hAnsi="Times New Roman" w:cs="Times New Roman"/>
                <w:kern w:val="0"/>
                <w:lang w:eastAsia="ro-MD"/>
                <w14:ligatures w14:val="none"/>
              </w:rPr>
              <w:t>şi</w:t>
            </w:r>
            <w:proofErr w:type="spellEnd"/>
            <w:r w:rsidRPr="008844AC">
              <w:rPr>
                <w:rFonts w:ascii="Times New Roman" w:eastAsia="Times New Roman" w:hAnsi="Times New Roman" w:cs="Times New Roman"/>
                <w:kern w:val="0"/>
                <w:lang w:eastAsia="ro-MD"/>
                <w14:ligatures w14:val="none"/>
              </w:rPr>
              <w:t xml:space="preserve"> a 13-a din Regulamentul </w:t>
            </w:r>
            <w:r w:rsidR="00203729">
              <w:rPr>
                <w:rFonts w:ascii="Times New Roman" w:eastAsia="Times New Roman" w:hAnsi="Times New Roman" w:cs="Times New Roman"/>
                <w:kern w:val="0"/>
                <w:lang w:eastAsia="ro-MD"/>
                <w14:ligatures w14:val="none"/>
              </w:rPr>
              <w:t>nr. 111/2018</w:t>
            </w:r>
            <w:r w:rsidRPr="008844AC">
              <w:rPr>
                <w:rFonts w:ascii="Times New Roman" w:eastAsia="Times New Roman" w:hAnsi="Times New Roman" w:cs="Times New Roman"/>
                <w:kern w:val="0"/>
                <w:lang w:eastAsia="ro-MD"/>
                <w14:ligatures w14:val="none"/>
              </w:rPr>
              <w:t xml:space="preserve">, expunerile trebuie defalcate </w:t>
            </w:r>
            <w:proofErr w:type="spellStart"/>
            <w:r w:rsidRPr="008844AC">
              <w:rPr>
                <w:rFonts w:ascii="Times New Roman" w:eastAsia="Times New Roman" w:hAnsi="Times New Roman" w:cs="Times New Roman"/>
                <w:kern w:val="0"/>
                <w:lang w:eastAsia="ro-MD"/>
                <w14:ligatures w14:val="none"/>
              </w:rPr>
              <w:t>şi</w:t>
            </w:r>
            <w:proofErr w:type="spellEnd"/>
            <w:r w:rsidRPr="008844AC">
              <w:rPr>
                <w:rFonts w:ascii="Times New Roman" w:eastAsia="Times New Roman" w:hAnsi="Times New Roman" w:cs="Times New Roman"/>
                <w:kern w:val="0"/>
                <w:lang w:eastAsia="ro-MD"/>
                <w14:ligatures w14:val="none"/>
              </w:rPr>
              <w:t xml:space="preserve"> raportate la acest rând, dacă sunt garantate cu bunuri imobile comerciale.</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1C47C"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6DBD0878"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7242F" w14:textId="1F50D3EF"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300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3EB0E"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Expuneri în stare de nerambursare supuse unei ponderi de risc de 100%</w:t>
            </w:r>
            <w:r w:rsidRPr="008844AC">
              <w:rPr>
                <w:rFonts w:ascii="Times New Roman" w:eastAsia="Times New Roman" w:hAnsi="Times New Roman" w:cs="Times New Roman"/>
                <w:kern w:val="0"/>
                <w:lang w:eastAsia="ro-MD"/>
                <w14:ligatures w14:val="none"/>
              </w:rPr>
              <w:t xml:space="preserve"> </w:t>
            </w:r>
          </w:p>
          <w:p w14:paraId="165D329C" w14:textId="3C5D29BE"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Punctul 11 subpunctul 10) din Regulamentul </w:t>
            </w:r>
            <w:r w:rsidR="00203729">
              <w:rPr>
                <w:rFonts w:ascii="Times New Roman" w:eastAsia="Times New Roman" w:hAnsi="Times New Roman" w:cs="Times New Roman"/>
                <w:kern w:val="0"/>
                <w:lang w:eastAsia="ro-MD"/>
                <w14:ligatures w14:val="none"/>
              </w:rPr>
              <w:t>nr. 111/2018</w:t>
            </w:r>
            <w:r w:rsidRPr="008844AC">
              <w:rPr>
                <w:rFonts w:ascii="Times New Roman" w:eastAsia="Times New Roman" w:hAnsi="Times New Roman" w:cs="Times New Roman"/>
                <w:kern w:val="0"/>
                <w:lang w:eastAsia="ro-MD"/>
                <w14:ligatures w14:val="none"/>
              </w:rPr>
              <w:t>.</w:t>
            </w:r>
          </w:p>
          <w:p w14:paraId="106B38D5"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Expunerile incluse în clasa "expuneri în stare de nerambursare" care trebuie incluse în această clasă de expuneri dacă nu ar fi în stare de nerambursare.</w:t>
            </w:r>
          </w:p>
        </w:tc>
        <w:tc>
          <w:tcPr>
            <w:tcW w:w="5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FF2A8"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48CF6BBB"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AE419" w14:textId="7A2888B5"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310</w:t>
            </w:r>
          </w:p>
        </w:tc>
        <w:tc>
          <w:tcPr>
            <w:tcW w:w="387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D5A57"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Expuneri garantate cu ipoteci asupra bunurilor imobile locative</w:t>
            </w:r>
            <w:r w:rsidRPr="008844AC">
              <w:rPr>
                <w:rFonts w:ascii="Times New Roman" w:eastAsia="Times New Roman" w:hAnsi="Times New Roman" w:cs="Times New Roman"/>
                <w:kern w:val="0"/>
                <w:lang w:eastAsia="ro-MD"/>
                <w14:ligatures w14:val="none"/>
              </w:rPr>
              <w:t xml:space="preserve"> </w:t>
            </w:r>
          </w:p>
          <w:p w14:paraId="7E4F8B7A" w14:textId="5D1730BE"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Punctul 11 subpunctul 9) din Regulamentul </w:t>
            </w:r>
            <w:r w:rsidR="00203729">
              <w:rPr>
                <w:rFonts w:ascii="Times New Roman" w:eastAsia="Times New Roman" w:hAnsi="Times New Roman" w:cs="Times New Roman"/>
                <w:kern w:val="0"/>
                <w:lang w:eastAsia="ro-MD"/>
                <w14:ligatures w14:val="none"/>
              </w:rPr>
              <w:t>nr. 111/2018</w:t>
            </w:r>
            <w:r w:rsidRPr="008844AC">
              <w:rPr>
                <w:rFonts w:ascii="Times New Roman" w:eastAsia="Times New Roman" w:hAnsi="Times New Roman" w:cs="Times New Roman"/>
                <w:kern w:val="0"/>
                <w:lang w:eastAsia="ro-MD"/>
                <w14:ligatures w14:val="none"/>
              </w:rPr>
              <w:t>.</w:t>
            </w:r>
          </w:p>
          <w:p w14:paraId="4CA6B949" w14:textId="5DB5D73E"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Acesta este numai un element memorandum. Independent de calculul cuantumurilor expunerilor la risc ale expunerilor garantate cu ipoteci asupra bunurilor imobile locative în conformitate cu capitolul IV </w:t>
            </w:r>
            <w:proofErr w:type="spellStart"/>
            <w:r w:rsidRPr="008844AC">
              <w:rPr>
                <w:rFonts w:ascii="Times New Roman" w:eastAsia="Times New Roman" w:hAnsi="Times New Roman" w:cs="Times New Roman"/>
                <w:kern w:val="0"/>
                <w:lang w:eastAsia="ro-MD"/>
                <w14:ligatures w14:val="none"/>
              </w:rPr>
              <w:t>secţiunile</w:t>
            </w:r>
            <w:proofErr w:type="spellEnd"/>
            <w:r w:rsidRPr="008844AC">
              <w:rPr>
                <w:rFonts w:ascii="Times New Roman" w:eastAsia="Times New Roman" w:hAnsi="Times New Roman" w:cs="Times New Roman"/>
                <w:kern w:val="0"/>
                <w:lang w:eastAsia="ro-MD"/>
                <w14:ligatures w14:val="none"/>
              </w:rPr>
              <w:t xml:space="preserve"> a 11-a </w:t>
            </w:r>
            <w:proofErr w:type="spellStart"/>
            <w:r w:rsidRPr="008844AC">
              <w:rPr>
                <w:rFonts w:ascii="Times New Roman" w:eastAsia="Times New Roman" w:hAnsi="Times New Roman" w:cs="Times New Roman"/>
                <w:kern w:val="0"/>
                <w:lang w:eastAsia="ro-MD"/>
                <w14:ligatures w14:val="none"/>
              </w:rPr>
              <w:t>şi</w:t>
            </w:r>
            <w:proofErr w:type="spellEnd"/>
            <w:r w:rsidRPr="008844AC">
              <w:rPr>
                <w:rFonts w:ascii="Times New Roman" w:eastAsia="Times New Roman" w:hAnsi="Times New Roman" w:cs="Times New Roman"/>
                <w:kern w:val="0"/>
                <w:lang w:eastAsia="ro-MD"/>
                <w14:ligatures w14:val="none"/>
              </w:rPr>
              <w:t xml:space="preserve"> a 12-a din Regulamentul </w:t>
            </w:r>
            <w:r w:rsidR="00203729">
              <w:rPr>
                <w:rFonts w:ascii="Times New Roman" w:eastAsia="Times New Roman" w:hAnsi="Times New Roman" w:cs="Times New Roman"/>
                <w:kern w:val="0"/>
                <w:lang w:eastAsia="ro-MD"/>
                <w14:ligatures w14:val="none"/>
              </w:rPr>
              <w:t>nr. 111/2018</w:t>
            </w:r>
            <w:r w:rsidRPr="008844AC">
              <w:rPr>
                <w:rFonts w:ascii="Times New Roman" w:eastAsia="Times New Roman" w:hAnsi="Times New Roman" w:cs="Times New Roman"/>
                <w:kern w:val="0"/>
                <w:lang w:eastAsia="ro-MD"/>
                <w14:ligatures w14:val="none"/>
              </w:rPr>
              <w:t xml:space="preserve">, expunerile trebuie defalcate </w:t>
            </w:r>
            <w:proofErr w:type="spellStart"/>
            <w:r w:rsidRPr="008844AC">
              <w:rPr>
                <w:rFonts w:ascii="Times New Roman" w:eastAsia="Times New Roman" w:hAnsi="Times New Roman" w:cs="Times New Roman"/>
                <w:kern w:val="0"/>
                <w:lang w:eastAsia="ro-MD"/>
                <w14:ligatures w14:val="none"/>
              </w:rPr>
              <w:t>şi</w:t>
            </w:r>
            <w:proofErr w:type="spellEnd"/>
            <w:r w:rsidRPr="008844AC">
              <w:rPr>
                <w:rFonts w:ascii="Times New Roman" w:eastAsia="Times New Roman" w:hAnsi="Times New Roman" w:cs="Times New Roman"/>
                <w:kern w:val="0"/>
                <w:lang w:eastAsia="ro-MD"/>
                <w14:ligatures w14:val="none"/>
              </w:rPr>
              <w:t xml:space="preserve"> raportate la acest rând dacă sunt garantate cu bunuri imobile</w:t>
            </w:r>
            <w:r w:rsidR="006A3EAF">
              <w:rPr>
                <w:rFonts w:ascii="Times New Roman" w:eastAsia="Times New Roman" w:hAnsi="Times New Roman" w:cs="Times New Roman"/>
                <w:kern w:val="0"/>
                <w:lang w:eastAsia="ro-MD"/>
                <w14:ligatures w14:val="none"/>
              </w:rPr>
              <w:t xml:space="preserve"> locative</w:t>
            </w:r>
            <w:r w:rsidRPr="008844AC">
              <w:rPr>
                <w:rFonts w:ascii="Times New Roman" w:eastAsia="Times New Roman" w:hAnsi="Times New Roman" w:cs="Times New Roman"/>
                <w:kern w:val="0"/>
                <w:lang w:eastAsia="ro-MD"/>
                <w14:ligatures w14:val="none"/>
              </w:rPr>
              <w:t>.</w:t>
            </w:r>
          </w:p>
        </w:tc>
        <w:tc>
          <w:tcPr>
            <w:tcW w:w="562" w:type="pct"/>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331F0A00"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p>
        </w:tc>
      </w:tr>
      <w:tr w:rsidR="008844AC" w:rsidRPr="008844AC" w14:paraId="28FA6F09"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4B495" w14:textId="4410D478" w:rsidR="008844AC" w:rsidRPr="008844AC" w:rsidRDefault="00E63527"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w:t>
            </w:r>
            <w:r w:rsidR="008844AC" w:rsidRPr="008844AC">
              <w:rPr>
                <w:rFonts w:ascii="Times New Roman" w:eastAsia="Times New Roman" w:hAnsi="Times New Roman" w:cs="Times New Roman"/>
                <w:kern w:val="0"/>
                <w:lang w:eastAsia="ro-MD"/>
                <w14:ligatures w14:val="none"/>
              </w:rPr>
              <w:t>320</w:t>
            </w:r>
          </w:p>
        </w:tc>
        <w:tc>
          <w:tcPr>
            <w:tcW w:w="3877"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2A709531" w14:textId="77777777"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b/>
                <w:bCs/>
                <w:kern w:val="0"/>
                <w:lang w:eastAsia="ro-MD"/>
                <w14:ligatures w14:val="none"/>
              </w:rPr>
              <w:t>Expuneri în stare de nerambursare supuse unei ponderi de risc de 150%</w:t>
            </w:r>
            <w:r w:rsidRPr="008844AC">
              <w:rPr>
                <w:rFonts w:ascii="Times New Roman" w:eastAsia="Times New Roman" w:hAnsi="Times New Roman" w:cs="Times New Roman"/>
                <w:kern w:val="0"/>
                <w:lang w:eastAsia="ro-MD"/>
                <w14:ligatures w14:val="none"/>
              </w:rPr>
              <w:t xml:space="preserve"> </w:t>
            </w:r>
          </w:p>
          <w:p w14:paraId="3C184335" w14:textId="240F46C8"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t xml:space="preserve">Punctul 11 subpunctul 10) din Regulamentul </w:t>
            </w:r>
            <w:r w:rsidR="00203729">
              <w:rPr>
                <w:rFonts w:ascii="Times New Roman" w:eastAsia="Times New Roman" w:hAnsi="Times New Roman" w:cs="Times New Roman"/>
                <w:kern w:val="0"/>
                <w:lang w:eastAsia="ro-MD"/>
                <w14:ligatures w14:val="none"/>
              </w:rPr>
              <w:t>nr. 111/2018</w:t>
            </w:r>
            <w:r w:rsidRPr="008844AC">
              <w:rPr>
                <w:rFonts w:ascii="Times New Roman" w:eastAsia="Times New Roman" w:hAnsi="Times New Roman" w:cs="Times New Roman"/>
                <w:kern w:val="0"/>
                <w:lang w:eastAsia="ro-MD"/>
                <w14:ligatures w14:val="none"/>
              </w:rPr>
              <w:t>.</w:t>
            </w:r>
          </w:p>
          <w:p w14:paraId="09D709E5" w14:textId="2432E912" w:rsidR="008844AC" w:rsidRPr="008844AC" w:rsidRDefault="008844AC" w:rsidP="008844AC">
            <w:pPr>
              <w:spacing w:after="0" w:line="240" w:lineRule="auto"/>
              <w:rPr>
                <w:rFonts w:ascii="Times New Roman" w:eastAsia="Times New Roman" w:hAnsi="Times New Roman" w:cs="Times New Roman"/>
                <w:kern w:val="0"/>
                <w:lang w:eastAsia="ro-MD"/>
                <w14:ligatures w14:val="none"/>
              </w:rPr>
            </w:pPr>
            <w:r w:rsidRPr="008844AC">
              <w:rPr>
                <w:rFonts w:ascii="Times New Roman" w:eastAsia="Times New Roman" w:hAnsi="Times New Roman" w:cs="Times New Roman"/>
                <w:kern w:val="0"/>
                <w:lang w:eastAsia="ro-MD"/>
                <w14:ligatures w14:val="none"/>
              </w:rPr>
              <w:lastRenderedPageBreak/>
              <w:t xml:space="preserve">Expunerile incluse în clasa </w:t>
            </w:r>
            <w:r w:rsidR="006A3EAF">
              <w:rPr>
                <w:rFonts w:ascii="Times New Roman" w:eastAsia="Times New Roman" w:hAnsi="Times New Roman" w:cs="Times New Roman"/>
                <w:kern w:val="0"/>
                <w:lang w:eastAsia="ro-MD"/>
                <w14:ligatures w14:val="none"/>
              </w:rPr>
              <w:t>„</w:t>
            </w:r>
            <w:r w:rsidRPr="008844AC">
              <w:rPr>
                <w:rFonts w:ascii="Times New Roman" w:eastAsia="Times New Roman" w:hAnsi="Times New Roman" w:cs="Times New Roman"/>
                <w:kern w:val="0"/>
                <w:lang w:eastAsia="ro-MD"/>
                <w14:ligatures w14:val="none"/>
              </w:rPr>
              <w:t>expuneri în stare de nerambursare</w:t>
            </w:r>
            <w:r w:rsidR="006A3EAF">
              <w:rPr>
                <w:rFonts w:ascii="Times New Roman" w:eastAsia="Times New Roman" w:hAnsi="Times New Roman" w:cs="Times New Roman"/>
                <w:kern w:val="0"/>
                <w:lang w:eastAsia="ro-MD"/>
                <w14:ligatures w14:val="none"/>
              </w:rPr>
              <w:t>”</w:t>
            </w:r>
            <w:r w:rsidRPr="008844AC">
              <w:rPr>
                <w:rFonts w:ascii="Times New Roman" w:eastAsia="Times New Roman" w:hAnsi="Times New Roman" w:cs="Times New Roman"/>
                <w:kern w:val="0"/>
                <w:lang w:eastAsia="ro-MD"/>
                <w14:ligatures w14:val="none"/>
              </w:rPr>
              <w:t xml:space="preserve"> care trebuie incluse în această clasă de expuneri dacă nu ar fi în stare de nerambursare.</w:t>
            </w:r>
          </w:p>
        </w:tc>
        <w:tc>
          <w:tcPr>
            <w:tcW w:w="562" w:type="pct"/>
            <w:tcBorders>
              <w:top w:val="single" w:sz="4" w:space="0" w:color="auto"/>
              <w:left w:val="single" w:sz="4" w:space="0" w:color="auto"/>
              <w:bottom w:val="single" w:sz="4" w:space="0" w:color="auto"/>
              <w:right w:val="single" w:sz="4" w:space="0" w:color="auto"/>
            </w:tcBorders>
            <w:vAlign w:val="center"/>
            <w:hideMark/>
          </w:tcPr>
          <w:p w14:paraId="19A34E2A" w14:textId="77777777" w:rsidR="008844AC" w:rsidRPr="008844AC" w:rsidRDefault="008844AC" w:rsidP="008844AC">
            <w:pPr>
              <w:spacing w:after="0" w:line="240" w:lineRule="auto"/>
              <w:rPr>
                <w:rFonts w:ascii="Times New Roman" w:eastAsia="Times New Roman" w:hAnsi="Times New Roman" w:cs="Times New Roman"/>
                <w:kern w:val="0"/>
                <w:sz w:val="20"/>
                <w:szCs w:val="20"/>
                <w:lang w:eastAsia="ro-MD"/>
                <w14:ligatures w14:val="none"/>
              </w:rPr>
            </w:pPr>
          </w:p>
        </w:tc>
      </w:tr>
      <w:tr w:rsidR="006A3EAF" w:rsidRPr="008844AC" w14:paraId="2173C013" w14:textId="77777777" w:rsidTr="00B973D9">
        <w:trPr>
          <w:jc w:val="center"/>
        </w:trPr>
        <w:tc>
          <w:tcPr>
            <w:tcW w:w="56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268ECB3" w14:textId="78F194FE" w:rsidR="006A3EAF" w:rsidRDefault="006A3EAF" w:rsidP="008844AC">
            <w:pPr>
              <w:spacing w:after="0" w:line="240" w:lineRule="auto"/>
              <w:jc w:val="center"/>
              <w:rPr>
                <w:rFonts w:ascii="Times New Roman" w:eastAsia="Times New Roman" w:hAnsi="Times New Roman" w:cs="Times New Roman"/>
                <w:kern w:val="0"/>
                <w:lang w:eastAsia="ro-MD"/>
                <w14:ligatures w14:val="none"/>
              </w:rPr>
            </w:pPr>
            <w:r>
              <w:rPr>
                <w:rFonts w:ascii="Times New Roman" w:eastAsia="Times New Roman" w:hAnsi="Times New Roman" w:cs="Times New Roman"/>
                <w:kern w:val="0"/>
                <w:lang w:eastAsia="ro-MD"/>
                <w14:ligatures w14:val="none"/>
              </w:rPr>
              <w:t>0330</w:t>
            </w:r>
          </w:p>
        </w:tc>
        <w:tc>
          <w:tcPr>
            <w:tcW w:w="3877" w:type="pct"/>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tcPr>
          <w:p w14:paraId="01FEBEDF" w14:textId="77777777" w:rsidR="006A3EAF" w:rsidRPr="00B973D9" w:rsidRDefault="006A3EAF" w:rsidP="00A84D2B">
            <w:pPr>
              <w:pStyle w:val="InstructionsText"/>
            </w:pPr>
            <w:r w:rsidRPr="00B973D9">
              <w:t>Achiziții, dezvoltare și construcții (ADC)</w:t>
            </w:r>
          </w:p>
          <w:p w14:paraId="1CA924D8" w14:textId="77777777" w:rsidR="006A3EAF" w:rsidRDefault="006A3EAF" w:rsidP="00A84D2B">
            <w:pPr>
              <w:pStyle w:val="InstructionsText"/>
              <w:rPr>
                <w:lang w:val="ro-MD"/>
              </w:rPr>
            </w:pPr>
            <w:r w:rsidRPr="008844AC">
              <w:t xml:space="preserve">Punctul 11 subpunctul 9) din Regulamentul </w:t>
            </w:r>
            <w:r>
              <w:t>nr. 111/2018</w:t>
            </w:r>
            <w:r w:rsidRPr="00B973D9">
              <w:rPr>
                <w:lang w:val="ro-MD"/>
              </w:rPr>
              <w:t xml:space="preserve">. </w:t>
            </w:r>
          </w:p>
          <w:p w14:paraId="7E4D5947" w14:textId="6B5E3F62" w:rsidR="006A3EAF" w:rsidRPr="008844AC" w:rsidRDefault="006A3EAF" w:rsidP="00A84D2B">
            <w:pPr>
              <w:pStyle w:val="InstructionsText"/>
            </w:pPr>
            <w:r w:rsidRPr="00AF6B97">
              <w:t xml:space="preserve">Acesta este numai un element memorandum. Independent de calculul cuantumurilor expunerii la risc a expunerilor ADC în conformitate cu </w:t>
            </w:r>
            <w:r>
              <w:t>secțiunea a 13</w:t>
            </w:r>
            <w:r w:rsidRPr="00B973D9">
              <w:rPr>
                <w:vertAlign w:val="superscript"/>
              </w:rPr>
              <w:t>1</w:t>
            </w:r>
            <w:r>
              <w:t>-a</w:t>
            </w:r>
            <w:r w:rsidRPr="00AF6B97">
              <w:t xml:space="preserve"> din Regulamentul nr. </w:t>
            </w:r>
            <w:r>
              <w:t>111/2018</w:t>
            </w:r>
            <w:r w:rsidRPr="00AF6B97">
              <w:t>, expunerile trebuie defalcate și raportate pe acest rând dacă sunt expuneri ADC.”</w:t>
            </w:r>
          </w:p>
        </w:tc>
        <w:tc>
          <w:tcPr>
            <w:tcW w:w="562" w:type="pct"/>
            <w:tcBorders>
              <w:top w:val="single" w:sz="4" w:space="0" w:color="auto"/>
              <w:left w:val="single" w:sz="4" w:space="0" w:color="auto"/>
              <w:bottom w:val="single" w:sz="4" w:space="0" w:color="auto"/>
              <w:right w:val="single" w:sz="4" w:space="0" w:color="auto"/>
            </w:tcBorders>
            <w:vAlign w:val="center"/>
          </w:tcPr>
          <w:p w14:paraId="7866F938" w14:textId="77777777" w:rsidR="006A3EAF" w:rsidRPr="008844AC" w:rsidRDefault="006A3EAF" w:rsidP="008844AC">
            <w:pPr>
              <w:spacing w:after="0" w:line="240" w:lineRule="auto"/>
              <w:rPr>
                <w:rFonts w:ascii="Times New Roman" w:eastAsia="Times New Roman" w:hAnsi="Times New Roman" w:cs="Times New Roman"/>
                <w:kern w:val="0"/>
                <w:sz w:val="20"/>
                <w:szCs w:val="20"/>
                <w:lang w:eastAsia="ro-MD"/>
                <w14:ligatures w14:val="none"/>
              </w:rPr>
            </w:pPr>
          </w:p>
        </w:tc>
      </w:tr>
    </w:tbl>
    <w:p w14:paraId="2ED5645F" w14:textId="75C6F645" w:rsidR="008844AC" w:rsidRDefault="008844AC">
      <w:r w:rsidRPr="008844AC">
        <w:rPr>
          <w:rFonts w:ascii="Arial" w:eastAsia="Times New Roman" w:hAnsi="Arial" w:cs="Arial"/>
          <w:kern w:val="0"/>
          <w:sz w:val="24"/>
          <w:szCs w:val="24"/>
          <w:lang w:eastAsia="ro-MD"/>
          <w14:ligatures w14:val="none"/>
        </w:rPr>
        <w:br/>
      </w:r>
    </w:p>
    <w:p w14:paraId="1996CF88" w14:textId="23BCEFE1" w:rsidR="00F66575" w:rsidRDefault="00040A1A" w:rsidP="00040A1A">
      <w:pPr>
        <w:tabs>
          <w:tab w:val="left" w:pos="720"/>
        </w:tabs>
        <w:rPr>
          <w:rFonts w:ascii="Times New Roman" w:eastAsia="Calibri" w:hAnsi="Times New Roman" w:cs="Times New Roman"/>
          <w:sz w:val="24"/>
          <w:szCs w:val="24"/>
          <w:lang w:val="ro-RO"/>
        </w:rPr>
      </w:pPr>
      <w:r>
        <w:rPr>
          <w:rFonts w:ascii="Times New Roman" w:eastAsia="Calibri" w:hAnsi="Times New Roman" w:cs="Times New Roman"/>
          <w:sz w:val="24"/>
          <w:szCs w:val="24"/>
        </w:rPr>
        <w:t>1.</w:t>
      </w:r>
      <w:r w:rsidR="00A961B7">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00F66575" w:rsidRPr="00040A1A">
        <w:rPr>
          <w:rFonts w:ascii="Times New Roman" w:eastAsia="Calibri" w:hAnsi="Times New Roman" w:cs="Times New Roman"/>
          <w:sz w:val="24"/>
          <w:szCs w:val="24"/>
        </w:rPr>
        <w:t xml:space="preserve"> La pct.7 din anexa nr.3</w:t>
      </w:r>
      <w:r w:rsidR="00F66575" w:rsidRPr="00040A1A">
        <w:rPr>
          <w:rFonts w:ascii="Times New Roman" w:eastAsia="Times New Roman" w:hAnsi="Times New Roman" w:cs="Times New Roman"/>
          <w:sz w:val="24"/>
          <w:szCs w:val="24"/>
          <w:lang w:eastAsia="ro-MD"/>
        </w:rPr>
        <w:t xml:space="preserve"> sintagma „CR SA”  se </w:t>
      </w:r>
      <w:r w:rsidR="00C058A3">
        <w:rPr>
          <w:rFonts w:ascii="Times New Roman" w:eastAsia="Times New Roman" w:hAnsi="Times New Roman" w:cs="Times New Roman"/>
          <w:sz w:val="24"/>
          <w:szCs w:val="24"/>
          <w:lang w:eastAsia="ro-MD"/>
        </w:rPr>
        <w:t xml:space="preserve">substituie </w:t>
      </w:r>
      <w:r w:rsidR="00F66575" w:rsidRPr="00040A1A">
        <w:rPr>
          <w:rFonts w:ascii="Times New Roman" w:eastAsia="Times New Roman" w:hAnsi="Times New Roman" w:cs="Times New Roman"/>
          <w:sz w:val="24"/>
          <w:szCs w:val="24"/>
          <w:lang w:eastAsia="ro-MD"/>
        </w:rPr>
        <w:t>cu</w:t>
      </w:r>
      <w:r w:rsidR="00F66575" w:rsidRPr="00040A1A">
        <w:rPr>
          <w:rFonts w:ascii="Times New Roman" w:eastAsia="Calibri" w:hAnsi="Times New Roman" w:cs="Times New Roman"/>
          <w:sz w:val="24"/>
          <w:szCs w:val="24"/>
        </w:rPr>
        <w:t xml:space="preserve">: </w:t>
      </w:r>
      <w:r w:rsidR="00F66575" w:rsidRPr="00040A1A">
        <w:rPr>
          <w:rFonts w:ascii="Times New Roman" w:eastAsia="Calibri" w:hAnsi="Times New Roman" w:cs="Times New Roman"/>
          <w:sz w:val="24"/>
          <w:szCs w:val="24"/>
          <w:lang w:val="ro-RO"/>
        </w:rPr>
        <w:t>„CR IRB”</w:t>
      </w:r>
      <w:r w:rsidR="00345CDD" w:rsidRPr="00040A1A">
        <w:rPr>
          <w:rFonts w:ascii="Times New Roman" w:eastAsia="Calibri" w:hAnsi="Times New Roman" w:cs="Times New Roman"/>
          <w:sz w:val="24"/>
          <w:szCs w:val="24"/>
          <w:lang w:val="ro-RO"/>
        </w:rPr>
        <w:t>;</w:t>
      </w:r>
    </w:p>
    <w:p w14:paraId="71C01E4C" w14:textId="6CD408A2" w:rsidR="00040A1A" w:rsidRDefault="00040A1A" w:rsidP="00040A1A">
      <w:pPr>
        <w:tabs>
          <w:tab w:val="left" w:pos="720"/>
        </w:tabs>
        <w:rPr>
          <w:rFonts w:ascii="Times New Roman" w:eastAsia="Calibri" w:hAnsi="Times New Roman" w:cs="Times New Roman"/>
          <w:sz w:val="24"/>
          <w:szCs w:val="24"/>
          <w:lang w:eastAsia="ru-RU"/>
        </w:rPr>
      </w:pPr>
      <w:r w:rsidRPr="00040A1A">
        <w:rPr>
          <w:rFonts w:ascii="Times New Roman" w:eastAsia="Calibri" w:hAnsi="Times New Roman" w:cs="Times New Roman"/>
          <w:sz w:val="24"/>
          <w:szCs w:val="24"/>
          <w:lang w:eastAsia="ru-RU"/>
        </w:rPr>
        <w:t>2. Prima raportare conform formular</w:t>
      </w:r>
      <w:r>
        <w:rPr>
          <w:rFonts w:ascii="Times New Roman" w:eastAsia="Calibri" w:hAnsi="Times New Roman" w:cs="Times New Roman"/>
          <w:sz w:val="24"/>
          <w:szCs w:val="24"/>
          <w:lang w:eastAsia="ru-RU"/>
        </w:rPr>
        <w:t>elor</w:t>
      </w:r>
      <w:r w:rsidRPr="00040A1A">
        <w:rPr>
          <w:rFonts w:ascii="Times New Roman" w:eastAsia="Calibri" w:hAnsi="Times New Roman" w:cs="Times New Roman"/>
          <w:sz w:val="24"/>
          <w:szCs w:val="24"/>
          <w:lang w:eastAsia="ru-RU"/>
        </w:rPr>
        <w:t xml:space="preserve"> rapo</w:t>
      </w:r>
      <w:r>
        <w:rPr>
          <w:rFonts w:ascii="Times New Roman" w:eastAsia="Calibri" w:hAnsi="Times New Roman" w:cs="Times New Roman"/>
          <w:sz w:val="24"/>
          <w:szCs w:val="24"/>
          <w:lang w:eastAsia="ru-RU"/>
        </w:rPr>
        <w:t xml:space="preserve">artelor </w:t>
      </w:r>
      <w:r w:rsidRPr="00040A1A">
        <w:rPr>
          <w:rFonts w:ascii="Times New Roman" w:eastAsia="Calibri" w:hAnsi="Times New Roman" w:cs="Times New Roman"/>
          <w:sz w:val="24"/>
          <w:szCs w:val="24"/>
          <w:lang w:eastAsia="ru-RU"/>
        </w:rPr>
        <w:t xml:space="preserve">din punctul 1 se va efectua pentru </w:t>
      </w:r>
      <w:proofErr w:type="spellStart"/>
      <w:r w:rsidRPr="00040A1A">
        <w:rPr>
          <w:rFonts w:ascii="Times New Roman" w:eastAsia="Calibri" w:hAnsi="Times New Roman" w:cs="Times New Roman"/>
          <w:sz w:val="24"/>
          <w:szCs w:val="24"/>
          <w:lang w:eastAsia="ru-RU"/>
        </w:rPr>
        <w:t>situaţia</w:t>
      </w:r>
      <w:proofErr w:type="spellEnd"/>
      <w:r w:rsidRPr="00040A1A">
        <w:rPr>
          <w:rFonts w:ascii="Times New Roman" w:eastAsia="Calibri" w:hAnsi="Times New Roman" w:cs="Times New Roman"/>
          <w:sz w:val="24"/>
          <w:szCs w:val="24"/>
          <w:lang w:eastAsia="ru-RU"/>
        </w:rPr>
        <w:t xml:space="preserve"> din </w:t>
      </w:r>
      <w:r w:rsidR="00BC46FC">
        <w:rPr>
          <w:rFonts w:ascii="Times New Roman" w:eastAsia="Calibri" w:hAnsi="Times New Roman" w:cs="Times New Roman"/>
          <w:sz w:val="24"/>
          <w:szCs w:val="24"/>
          <w:lang w:eastAsia="ru-RU"/>
        </w:rPr>
        <w:t>3</w:t>
      </w:r>
      <w:r w:rsidRPr="00040A1A">
        <w:rPr>
          <w:rFonts w:ascii="Times New Roman" w:eastAsia="Calibri" w:hAnsi="Times New Roman" w:cs="Times New Roman"/>
          <w:sz w:val="24"/>
          <w:szCs w:val="24"/>
          <w:lang w:eastAsia="ru-RU"/>
        </w:rPr>
        <w:t xml:space="preserve">1 </w:t>
      </w:r>
      <w:r w:rsidR="00BC46FC">
        <w:rPr>
          <w:rFonts w:ascii="Times New Roman" w:eastAsia="Calibri" w:hAnsi="Times New Roman" w:cs="Times New Roman"/>
          <w:sz w:val="24"/>
          <w:szCs w:val="24"/>
          <w:lang w:eastAsia="ru-RU"/>
        </w:rPr>
        <w:t>iulie</w:t>
      </w:r>
      <w:r w:rsidRPr="00040A1A">
        <w:rPr>
          <w:rFonts w:ascii="Times New Roman" w:eastAsia="Calibri" w:hAnsi="Times New Roman" w:cs="Times New Roman"/>
          <w:sz w:val="24"/>
          <w:szCs w:val="24"/>
          <w:lang w:eastAsia="ru-RU"/>
        </w:rPr>
        <w:t xml:space="preserve"> 2027, în cazul raportării la nivel individual și, respectiv, pentru situația din 31 decembrie 2027, în cazul raportării pe bază consolidată. </w:t>
      </w:r>
    </w:p>
    <w:p w14:paraId="5A938FDA" w14:textId="13D63B4F" w:rsidR="00040A1A" w:rsidRPr="00040A1A" w:rsidRDefault="00040A1A" w:rsidP="00040A1A">
      <w:pPr>
        <w:tabs>
          <w:tab w:val="left" w:pos="720"/>
        </w:tabs>
        <w:rPr>
          <w:rFonts w:ascii="Times New Roman" w:eastAsia="Calibri" w:hAnsi="Times New Roman" w:cs="Times New Roman"/>
          <w:sz w:val="24"/>
          <w:szCs w:val="24"/>
          <w:lang w:val="ro-RO" w:eastAsia="ru-RU"/>
        </w:rPr>
      </w:pPr>
      <w:r w:rsidRPr="00040A1A">
        <w:rPr>
          <w:rFonts w:ascii="Times New Roman" w:eastAsia="Calibri" w:hAnsi="Times New Roman" w:cs="Times New Roman"/>
          <w:sz w:val="24"/>
          <w:szCs w:val="24"/>
          <w:lang w:eastAsia="ru-RU"/>
        </w:rPr>
        <w:t>3. Prezenta hotărâre intră în vigoare la data de 1 i</w:t>
      </w:r>
      <w:r w:rsidR="00BC46FC">
        <w:rPr>
          <w:rFonts w:ascii="Times New Roman" w:eastAsia="Calibri" w:hAnsi="Times New Roman" w:cs="Times New Roman"/>
          <w:sz w:val="24"/>
          <w:szCs w:val="24"/>
          <w:lang w:eastAsia="ru-RU"/>
        </w:rPr>
        <w:t>ulie</w:t>
      </w:r>
      <w:r w:rsidRPr="00040A1A">
        <w:rPr>
          <w:rFonts w:ascii="Times New Roman" w:eastAsia="Calibri" w:hAnsi="Times New Roman" w:cs="Times New Roman"/>
          <w:sz w:val="24"/>
          <w:szCs w:val="24"/>
          <w:lang w:eastAsia="ru-RU"/>
        </w:rPr>
        <w:t xml:space="preserve"> 2027</w:t>
      </w:r>
      <w:r w:rsidR="00E91D07">
        <w:rPr>
          <w:rFonts w:ascii="Times New Roman" w:eastAsia="Calibri" w:hAnsi="Times New Roman" w:cs="Times New Roman"/>
          <w:sz w:val="24"/>
          <w:szCs w:val="24"/>
          <w:lang w:eastAsia="ru-RU"/>
        </w:rPr>
        <w:t>.</w:t>
      </w:r>
    </w:p>
    <w:p w14:paraId="752EB15A" w14:textId="77777777" w:rsidR="00345CDD" w:rsidRPr="00790201" w:rsidRDefault="00345CDD" w:rsidP="00B973D9">
      <w:pPr>
        <w:pStyle w:val="ListParagraph"/>
        <w:tabs>
          <w:tab w:val="left" w:pos="720"/>
        </w:tabs>
        <w:ind w:left="2073"/>
        <w:rPr>
          <w:rFonts w:ascii="Times New Roman" w:eastAsia="Calibri" w:hAnsi="Times New Roman" w:cs="Times New Roman"/>
          <w:sz w:val="24"/>
          <w:szCs w:val="24"/>
          <w:lang w:val="ro-RO" w:eastAsia="ru-RU"/>
        </w:rPr>
      </w:pPr>
    </w:p>
    <w:p w14:paraId="44800AD4" w14:textId="77777777" w:rsidR="00B968BF" w:rsidRPr="00F66575" w:rsidRDefault="00B968BF">
      <w:pPr>
        <w:rPr>
          <w:lang w:val="ro-RO"/>
        </w:rPr>
      </w:pPr>
    </w:p>
    <w:sectPr w:rsidR="00B968BF" w:rsidRPr="00F66575" w:rsidSect="00061B39">
      <w:type w:val="continuous"/>
      <w:pgSz w:w="11906" w:h="16838"/>
      <w:pgMar w:top="1134" w:right="85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8F79C" w14:textId="77777777" w:rsidR="00101C0E" w:rsidRDefault="00101C0E" w:rsidP="006126C1">
      <w:pPr>
        <w:spacing w:after="0" w:line="240" w:lineRule="auto"/>
      </w:pPr>
      <w:r>
        <w:separator/>
      </w:r>
    </w:p>
  </w:endnote>
  <w:endnote w:type="continuationSeparator" w:id="0">
    <w:p w14:paraId="2B8511B1" w14:textId="77777777" w:rsidR="00101C0E" w:rsidRDefault="00101C0E" w:rsidP="0061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254852"/>
      <w:docPartObj>
        <w:docPartGallery w:val="Page Numbers (Bottom of Page)"/>
        <w:docPartUnique/>
      </w:docPartObj>
    </w:sdtPr>
    <w:sdtEndPr>
      <w:rPr>
        <w:noProof/>
      </w:rPr>
    </w:sdtEndPr>
    <w:sdtContent>
      <w:p w14:paraId="0D4395AE" w14:textId="10FBCB23" w:rsidR="009B7AE5" w:rsidRDefault="009B7A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A0A659" w14:textId="77777777" w:rsidR="009B7AE5" w:rsidRDefault="009B7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BA5A" w14:textId="77777777" w:rsidR="00101C0E" w:rsidRDefault="00101C0E" w:rsidP="006126C1">
      <w:pPr>
        <w:spacing w:after="0" w:line="240" w:lineRule="auto"/>
      </w:pPr>
      <w:r>
        <w:separator/>
      </w:r>
    </w:p>
  </w:footnote>
  <w:footnote w:type="continuationSeparator" w:id="0">
    <w:p w14:paraId="6AED0F8A" w14:textId="77777777" w:rsidR="00101C0E" w:rsidRDefault="00101C0E" w:rsidP="006126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70B9"/>
    <w:multiLevelType w:val="hybridMultilevel"/>
    <w:tmpl w:val="62BE80FA"/>
    <w:lvl w:ilvl="0" w:tplc="0818000F">
      <w:start w:val="1"/>
      <w:numFmt w:val="decimal"/>
      <w:lvlText w:val="%1."/>
      <w:lvlJc w:val="left"/>
      <w:pPr>
        <w:ind w:left="1146" w:hanging="360"/>
      </w:pPr>
    </w:lvl>
    <w:lvl w:ilvl="1" w:tplc="08180019" w:tentative="1">
      <w:start w:val="1"/>
      <w:numFmt w:val="lowerLetter"/>
      <w:lvlText w:val="%2."/>
      <w:lvlJc w:val="left"/>
      <w:pPr>
        <w:ind w:left="1866" w:hanging="360"/>
      </w:pPr>
    </w:lvl>
    <w:lvl w:ilvl="2" w:tplc="0818001B" w:tentative="1">
      <w:start w:val="1"/>
      <w:numFmt w:val="lowerRoman"/>
      <w:lvlText w:val="%3."/>
      <w:lvlJc w:val="right"/>
      <w:pPr>
        <w:ind w:left="2586" w:hanging="180"/>
      </w:pPr>
    </w:lvl>
    <w:lvl w:ilvl="3" w:tplc="0818000F" w:tentative="1">
      <w:start w:val="1"/>
      <w:numFmt w:val="decimal"/>
      <w:lvlText w:val="%4."/>
      <w:lvlJc w:val="left"/>
      <w:pPr>
        <w:ind w:left="3306" w:hanging="360"/>
      </w:pPr>
    </w:lvl>
    <w:lvl w:ilvl="4" w:tplc="08180019" w:tentative="1">
      <w:start w:val="1"/>
      <w:numFmt w:val="lowerLetter"/>
      <w:lvlText w:val="%5."/>
      <w:lvlJc w:val="left"/>
      <w:pPr>
        <w:ind w:left="4026" w:hanging="360"/>
      </w:pPr>
    </w:lvl>
    <w:lvl w:ilvl="5" w:tplc="0818001B" w:tentative="1">
      <w:start w:val="1"/>
      <w:numFmt w:val="lowerRoman"/>
      <w:lvlText w:val="%6."/>
      <w:lvlJc w:val="right"/>
      <w:pPr>
        <w:ind w:left="4746" w:hanging="180"/>
      </w:pPr>
    </w:lvl>
    <w:lvl w:ilvl="6" w:tplc="0818000F" w:tentative="1">
      <w:start w:val="1"/>
      <w:numFmt w:val="decimal"/>
      <w:lvlText w:val="%7."/>
      <w:lvlJc w:val="left"/>
      <w:pPr>
        <w:ind w:left="5466" w:hanging="360"/>
      </w:pPr>
    </w:lvl>
    <w:lvl w:ilvl="7" w:tplc="08180019" w:tentative="1">
      <w:start w:val="1"/>
      <w:numFmt w:val="lowerLetter"/>
      <w:lvlText w:val="%8."/>
      <w:lvlJc w:val="left"/>
      <w:pPr>
        <w:ind w:left="6186" w:hanging="360"/>
      </w:pPr>
    </w:lvl>
    <w:lvl w:ilvl="8" w:tplc="0818001B" w:tentative="1">
      <w:start w:val="1"/>
      <w:numFmt w:val="lowerRoman"/>
      <w:lvlText w:val="%9."/>
      <w:lvlJc w:val="right"/>
      <w:pPr>
        <w:ind w:left="6906" w:hanging="180"/>
      </w:pPr>
    </w:lvl>
  </w:abstractNum>
  <w:abstractNum w:abstractNumId="1" w15:restartNumberingAfterBreak="0">
    <w:nsid w:val="118A0755"/>
    <w:multiLevelType w:val="hybridMultilevel"/>
    <w:tmpl w:val="EB1066C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 w15:restartNumberingAfterBreak="0">
    <w:nsid w:val="14ED0CA4"/>
    <w:multiLevelType w:val="multilevel"/>
    <w:tmpl w:val="37D697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53C09"/>
    <w:multiLevelType w:val="hybridMultilevel"/>
    <w:tmpl w:val="45D421EA"/>
    <w:lvl w:ilvl="0" w:tplc="CDAE243A">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EF06F57"/>
    <w:multiLevelType w:val="hybridMultilevel"/>
    <w:tmpl w:val="448897E2"/>
    <w:lvl w:ilvl="0" w:tplc="01CADF20">
      <w:start w:val="1"/>
      <w:numFmt w:val="decimal"/>
      <w:lvlText w:val="%1."/>
      <w:lvlJc w:val="left"/>
      <w:pPr>
        <w:ind w:left="1353" w:hanging="360"/>
      </w:pPr>
      <w:rPr>
        <w:rFonts w:hint="default"/>
      </w:rPr>
    </w:lvl>
    <w:lvl w:ilvl="1" w:tplc="1F4CEC1A">
      <w:start w:val="1"/>
      <w:numFmt w:val="lowerLetter"/>
      <w:lvlText w:val="%2."/>
      <w:lvlJc w:val="left"/>
      <w:pPr>
        <w:ind w:left="2073" w:hanging="360"/>
      </w:pPr>
      <w:rPr>
        <w:lang w:val="ro-MD"/>
      </w:rPr>
    </w:lvl>
    <w:lvl w:ilvl="2" w:tplc="0818001B" w:tentative="1">
      <w:start w:val="1"/>
      <w:numFmt w:val="lowerRoman"/>
      <w:lvlText w:val="%3."/>
      <w:lvlJc w:val="right"/>
      <w:pPr>
        <w:ind w:left="2793" w:hanging="180"/>
      </w:pPr>
    </w:lvl>
    <w:lvl w:ilvl="3" w:tplc="0818000F" w:tentative="1">
      <w:start w:val="1"/>
      <w:numFmt w:val="decimal"/>
      <w:lvlText w:val="%4."/>
      <w:lvlJc w:val="left"/>
      <w:pPr>
        <w:ind w:left="3513" w:hanging="360"/>
      </w:pPr>
    </w:lvl>
    <w:lvl w:ilvl="4" w:tplc="08180019" w:tentative="1">
      <w:start w:val="1"/>
      <w:numFmt w:val="lowerLetter"/>
      <w:lvlText w:val="%5."/>
      <w:lvlJc w:val="left"/>
      <w:pPr>
        <w:ind w:left="4233" w:hanging="360"/>
      </w:pPr>
    </w:lvl>
    <w:lvl w:ilvl="5" w:tplc="0818001B" w:tentative="1">
      <w:start w:val="1"/>
      <w:numFmt w:val="lowerRoman"/>
      <w:lvlText w:val="%6."/>
      <w:lvlJc w:val="right"/>
      <w:pPr>
        <w:ind w:left="4953" w:hanging="180"/>
      </w:pPr>
    </w:lvl>
    <w:lvl w:ilvl="6" w:tplc="0818000F" w:tentative="1">
      <w:start w:val="1"/>
      <w:numFmt w:val="decimal"/>
      <w:lvlText w:val="%7."/>
      <w:lvlJc w:val="left"/>
      <w:pPr>
        <w:ind w:left="5673" w:hanging="360"/>
      </w:pPr>
    </w:lvl>
    <w:lvl w:ilvl="7" w:tplc="08180019" w:tentative="1">
      <w:start w:val="1"/>
      <w:numFmt w:val="lowerLetter"/>
      <w:lvlText w:val="%8."/>
      <w:lvlJc w:val="left"/>
      <w:pPr>
        <w:ind w:left="6393" w:hanging="360"/>
      </w:pPr>
    </w:lvl>
    <w:lvl w:ilvl="8" w:tplc="0818001B" w:tentative="1">
      <w:start w:val="1"/>
      <w:numFmt w:val="lowerRoman"/>
      <w:lvlText w:val="%9."/>
      <w:lvlJc w:val="right"/>
      <w:pPr>
        <w:ind w:left="7113" w:hanging="180"/>
      </w:pPr>
    </w:lvl>
  </w:abstractNum>
  <w:abstractNum w:abstractNumId="5"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6" w15:restartNumberingAfterBreak="0">
    <w:nsid w:val="33464447"/>
    <w:multiLevelType w:val="multilevel"/>
    <w:tmpl w:val="081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0D2131"/>
    <w:multiLevelType w:val="multilevel"/>
    <w:tmpl w:val="212E4C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C3E6487"/>
    <w:multiLevelType w:val="multilevel"/>
    <w:tmpl w:val="354034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46744E"/>
    <w:multiLevelType w:val="hybridMultilevel"/>
    <w:tmpl w:val="6D4A1740"/>
    <w:lvl w:ilvl="0" w:tplc="676C0B24">
      <w:start w:val="1"/>
      <w:numFmt w:val="decimal"/>
      <w:lvlText w:val="%1.1."/>
      <w:lvlJc w:val="left"/>
      <w:pPr>
        <w:ind w:left="786"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40F5485C"/>
    <w:multiLevelType w:val="multilevel"/>
    <w:tmpl w:val="37D697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9C2873"/>
    <w:multiLevelType w:val="multilevel"/>
    <w:tmpl w:val="37D697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ED2232"/>
    <w:multiLevelType w:val="hybridMultilevel"/>
    <w:tmpl w:val="FE6C1DD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4D767154"/>
    <w:multiLevelType w:val="multilevel"/>
    <w:tmpl w:val="081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1083E69"/>
    <w:multiLevelType w:val="multilevel"/>
    <w:tmpl w:val="354034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16" w15:restartNumberingAfterBreak="0">
    <w:nsid w:val="68956B04"/>
    <w:multiLevelType w:val="multilevel"/>
    <w:tmpl w:val="A7BED77A"/>
    <w:lvl w:ilvl="0">
      <w:start w:val="1"/>
      <w:numFmt w:val="decimal"/>
      <w:lvlText w:val="%1."/>
      <w:lvlJc w:val="left"/>
      <w:pPr>
        <w:ind w:left="465" w:hanging="465"/>
      </w:pPr>
      <w:rPr>
        <w:rFonts w:hint="default"/>
      </w:rPr>
    </w:lvl>
    <w:lvl w:ilvl="1">
      <w:start w:val="1"/>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73706AD0"/>
    <w:multiLevelType w:val="multilevel"/>
    <w:tmpl w:val="D4EE381A"/>
    <w:lvl w:ilvl="0">
      <w:start w:val="1"/>
      <w:numFmt w:val="decimal"/>
      <w:lvlText w:val="%1."/>
      <w:lvlJc w:val="left"/>
      <w:pPr>
        <w:ind w:left="360" w:hanging="360"/>
      </w:pPr>
      <w:rPr>
        <w:rFonts w:hint="default"/>
      </w:rPr>
    </w:lvl>
    <w:lvl w:ilvl="1">
      <w:start w:val="2"/>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num w:numId="1" w16cid:durableId="1923681300">
    <w:abstractNumId w:val="5"/>
  </w:num>
  <w:num w:numId="2" w16cid:durableId="975642202">
    <w:abstractNumId w:val="0"/>
  </w:num>
  <w:num w:numId="3" w16cid:durableId="1829126924">
    <w:abstractNumId w:val="16"/>
  </w:num>
  <w:num w:numId="4" w16cid:durableId="1727138811">
    <w:abstractNumId w:val="13"/>
  </w:num>
  <w:num w:numId="5" w16cid:durableId="1135634677">
    <w:abstractNumId w:val="17"/>
  </w:num>
  <w:num w:numId="6" w16cid:durableId="682561293">
    <w:abstractNumId w:val="6"/>
  </w:num>
  <w:num w:numId="7" w16cid:durableId="2043557582">
    <w:abstractNumId w:val="7"/>
  </w:num>
  <w:num w:numId="8" w16cid:durableId="533075965">
    <w:abstractNumId w:val="8"/>
  </w:num>
  <w:num w:numId="9" w16cid:durableId="1471828415">
    <w:abstractNumId w:val="9"/>
  </w:num>
  <w:num w:numId="10" w16cid:durableId="209851096">
    <w:abstractNumId w:val="2"/>
  </w:num>
  <w:num w:numId="11" w16cid:durableId="1174223838">
    <w:abstractNumId w:val="10"/>
  </w:num>
  <w:num w:numId="12" w16cid:durableId="1319459647">
    <w:abstractNumId w:val="11"/>
  </w:num>
  <w:num w:numId="13" w16cid:durableId="1458832813">
    <w:abstractNumId w:val="14"/>
  </w:num>
  <w:num w:numId="14" w16cid:durableId="1485394352">
    <w:abstractNumId w:val="15"/>
  </w:num>
  <w:num w:numId="15" w16cid:durableId="1626156895">
    <w:abstractNumId w:val="1"/>
  </w:num>
  <w:num w:numId="16" w16cid:durableId="954292358">
    <w:abstractNumId w:val="12"/>
  </w:num>
  <w:num w:numId="17" w16cid:durableId="1088649116">
    <w:abstractNumId w:val="4"/>
  </w:num>
  <w:num w:numId="18" w16cid:durableId="875432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708"/>
    <w:rsid w:val="000006E9"/>
    <w:rsid w:val="00000D09"/>
    <w:rsid w:val="0000131D"/>
    <w:rsid w:val="0000171F"/>
    <w:rsid w:val="00001A29"/>
    <w:rsid w:val="00002797"/>
    <w:rsid w:val="0000455D"/>
    <w:rsid w:val="00007BA8"/>
    <w:rsid w:val="000152AE"/>
    <w:rsid w:val="0001728D"/>
    <w:rsid w:val="000173B0"/>
    <w:rsid w:val="00017F10"/>
    <w:rsid w:val="000220D8"/>
    <w:rsid w:val="00025201"/>
    <w:rsid w:val="00025230"/>
    <w:rsid w:val="00025F74"/>
    <w:rsid w:val="0002654C"/>
    <w:rsid w:val="000274C8"/>
    <w:rsid w:val="00030347"/>
    <w:rsid w:val="000320F3"/>
    <w:rsid w:val="0003241A"/>
    <w:rsid w:val="00032B9B"/>
    <w:rsid w:val="00033FF6"/>
    <w:rsid w:val="00040759"/>
    <w:rsid w:val="00040A1A"/>
    <w:rsid w:val="00043102"/>
    <w:rsid w:val="00044934"/>
    <w:rsid w:val="00051D89"/>
    <w:rsid w:val="00052914"/>
    <w:rsid w:val="00057E2D"/>
    <w:rsid w:val="000615F4"/>
    <w:rsid w:val="00061B39"/>
    <w:rsid w:val="000647BB"/>
    <w:rsid w:val="00065889"/>
    <w:rsid w:val="0006773C"/>
    <w:rsid w:val="00077622"/>
    <w:rsid w:val="00077E78"/>
    <w:rsid w:val="00080370"/>
    <w:rsid w:val="0008145C"/>
    <w:rsid w:val="0008546F"/>
    <w:rsid w:val="00087A14"/>
    <w:rsid w:val="000910AA"/>
    <w:rsid w:val="00091552"/>
    <w:rsid w:val="0009422B"/>
    <w:rsid w:val="00094BB5"/>
    <w:rsid w:val="00094EAF"/>
    <w:rsid w:val="0009512E"/>
    <w:rsid w:val="00096747"/>
    <w:rsid w:val="00097268"/>
    <w:rsid w:val="000A0548"/>
    <w:rsid w:val="000A1086"/>
    <w:rsid w:val="000A2E79"/>
    <w:rsid w:val="000A48B6"/>
    <w:rsid w:val="000B3D14"/>
    <w:rsid w:val="000B48E3"/>
    <w:rsid w:val="000B5797"/>
    <w:rsid w:val="000B701E"/>
    <w:rsid w:val="000B7B5F"/>
    <w:rsid w:val="000D1051"/>
    <w:rsid w:val="000D128C"/>
    <w:rsid w:val="000D2DEC"/>
    <w:rsid w:val="000D4356"/>
    <w:rsid w:val="000E1749"/>
    <w:rsid w:val="000E1B91"/>
    <w:rsid w:val="000E1E91"/>
    <w:rsid w:val="000E2171"/>
    <w:rsid w:val="000E2FB4"/>
    <w:rsid w:val="000E4A13"/>
    <w:rsid w:val="000E4AEB"/>
    <w:rsid w:val="000E5740"/>
    <w:rsid w:val="000E76EA"/>
    <w:rsid w:val="000F0411"/>
    <w:rsid w:val="000F673E"/>
    <w:rsid w:val="00100FC9"/>
    <w:rsid w:val="00101C0E"/>
    <w:rsid w:val="00101F5E"/>
    <w:rsid w:val="00103BC0"/>
    <w:rsid w:val="00103BD3"/>
    <w:rsid w:val="00114C87"/>
    <w:rsid w:val="00115C61"/>
    <w:rsid w:val="00115EBC"/>
    <w:rsid w:val="001167B2"/>
    <w:rsid w:val="00122EC7"/>
    <w:rsid w:val="00131CFD"/>
    <w:rsid w:val="001345C6"/>
    <w:rsid w:val="00136970"/>
    <w:rsid w:val="0014142A"/>
    <w:rsid w:val="001416DB"/>
    <w:rsid w:val="0014384C"/>
    <w:rsid w:val="00145FD8"/>
    <w:rsid w:val="00151027"/>
    <w:rsid w:val="001514CB"/>
    <w:rsid w:val="0015486B"/>
    <w:rsid w:val="00154E03"/>
    <w:rsid w:val="001651E8"/>
    <w:rsid w:val="00165660"/>
    <w:rsid w:val="00170726"/>
    <w:rsid w:val="00173390"/>
    <w:rsid w:val="001742F9"/>
    <w:rsid w:val="001753BB"/>
    <w:rsid w:val="00175BE6"/>
    <w:rsid w:val="001806EA"/>
    <w:rsid w:val="00180916"/>
    <w:rsid w:val="0018345B"/>
    <w:rsid w:val="00183777"/>
    <w:rsid w:val="00183D4E"/>
    <w:rsid w:val="0019036C"/>
    <w:rsid w:val="001903B4"/>
    <w:rsid w:val="0019301C"/>
    <w:rsid w:val="00193694"/>
    <w:rsid w:val="001941B9"/>
    <w:rsid w:val="00194ACF"/>
    <w:rsid w:val="0019627D"/>
    <w:rsid w:val="00196767"/>
    <w:rsid w:val="001A0FE1"/>
    <w:rsid w:val="001A1AE1"/>
    <w:rsid w:val="001A29AB"/>
    <w:rsid w:val="001A48CC"/>
    <w:rsid w:val="001B0486"/>
    <w:rsid w:val="001B1A68"/>
    <w:rsid w:val="001B1BB7"/>
    <w:rsid w:val="001B3261"/>
    <w:rsid w:val="001B3404"/>
    <w:rsid w:val="001B3C74"/>
    <w:rsid w:val="001B6DEA"/>
    <w:rsid w:val="001B70B0"/>
    <w:rsid w:val="001C0263"/>
    <w:rsid w:val="001C34F4"/>
    <w:rsid w:val="001C7860"/>
    <w:rsid w:val="001D169C"/>
    <w:rsid w:val="001D2184"/>
    <w:rsid w:val="001D5512"/>
    <w:rsid w:val="001E08EA"/>
    <w:rsid w:val="001E10ED"/>
    <w:rsid w:val="001E30DC"/>
    <w:rsid w:val="001E36A7"/>
    <w:rsid w:val="001E4572"/>
    <w:rsid w:val="001E5265"/>
    <w:rsid w:val="001E6561"/>
    <w:rsid w:val="001E6EDB"/>
    <w:rsid w:val="001E7A64"/>
    <w:rsid w:val="001F18C4"/>
    <w:rsid w:val="001F20AF"/>
    <w:rsid w:val="001F2840"/>
    <w:rsid w:val="001F4F45"/>
    <w:rsid w:val="001F59A3"/>
    <w:rsid w:val="00203729"/>
    <w:rsid w:val="002048C9"/>
    <w:rsid w:val="00205176"/>
    <w:rsid w:val="00212C16"/>
    <w:rsid w:val="002155D4"/>
    <w:rsid w:val="002162D3"/>
    <w:rsid w:val="00217644"/>
    <w:rsid w:val="00220855"/>
    <w:rsid w:val="00220E8A"/>
    <w:rsid w:val="0022564B"/>
    <w:rsid w:val="00225E53"/>
    <w:rsid w:val="0023093C"/>
    <w:rsid w:val="00232DE0"/>
    <w:rsid w:val="002336BE"/>
    <w:rsid w:val="00235517"/>
    <w:rsid w:val="00237CCF"/>
    <w:rsid w:val="00240804"/>
    <w:rsid w:val="0024194C"/>
    <w:rsid w:val="002439FB"/>
    <w:rsid w:val="00243A59"/>
    <w:rsid w:val="00246996"/>
    <w:rsid w:val="00246D2B"/>
    <w:rsid w:val="002479DD"/>
    <w:rsid w:val="00247A22"/>
    <w:rsid w:val="00251A57"/>
    <w:rsid w:val="00253A97"/>
    <w:rsid w:val="00253C13"/>
    <w:rsid w:val="002569FD"/>
    <w:rsid w:val="002602CD"/>
    <w:rsid w:val="002607DE"/>
    <w:rsid w:val="00260C32"/>
    <w:rsid w:val="0026360B"/>
    <w:rsid w:val="00263DF2"/>
    <w:rsid w:val="00270F6E"/>
    <w:rsid w:val="00273112"/>
    <w:rsid w:val="002751B6"/>
    <w:rsid w:val="002800C6"/>
    <w:rsid w:val="00285451"/>
    <w:rsid w:val="00286890"/>
    <w:rsid w:val="002906D3"/>
    <w:rsid w:val="00290C32"/>
    <w:rsid w:val="0029287E"/>
    <w:rsid w:val="002943BB"/>
    <w:rsid w:val="002A07EE"/>
    <w:rsid w:val="002A26F4"/>
    <w:rsid w:val="002B024E"/>
    <w:rsid w:val="002B0B6D"/>
    <w:rsid w:val="002B0CD0"/>
    <w:rsid w:val="002B1DDB"/>
    <w:rsid w:val="002C0328"/>
    <w:rsid w:val="002C0F94"/>
    <w:rsid w:val="002C123F"/>
    <w:rsid w:val="002C1289"/>
    <w:rsid w:val="002C24BA"/>
    <w:rsid w:val="002C261C"/>
    <w:rsid w:val="002C7B4D"/>
    <w:rsid w:val="002D02EA"/>
    <w:rsid w:val="002D1C5D"/>
    <w:rsid w:val="002D589D"/>
    <w:rsid w:val="002D72AC"/>
    <w:rsid w:val="002D754A"/>
    <w:rsid w:val="002E1C57"/>
    <w:rsid w:val="002E4951"/>
    <w:rsid w:val="002E4BA9"/>
    <w:rsid w:val="002E5997"/>
    <w:rsid w:val="002E66DD"/>
    <w:rsid w:val="002F1431"/>
    <w:rsid w:val="002F246F"/>
    <w:rsid w:val="002F4D65"/>
    <w:rsid w:val="002F5634"/>
    <w:rsid w:val="002F62BD"/>
    <w:rsid w:val="00301A2B"/>
    <w:rsid w:val="00301B18"/>
    <w:rsid w:val="003024C7"/>
    <w:rsid w:val="00304270"/>
    <w:rsid w:val="003077CF"/>
    <w:rsid w:val="003078FA"/>
    <w:rsid w:val="00310CB7"/>
    <w:rsid w:val="00310D09"/>
    <w:rsid w:val="003128FC"/>
    <w:rsid w:val="00320EFF"/>
    <w:rsid w:val="00320F0D"/>
    <w:rsid w:val="00325DD6"/>
    <w:rsid w:val="00331BB9"/>
    <w:rsid w:val="00334701"/>
    <w:rsid w:val="00345BFB"/>
    <w:rsid w:val="00345CDD"/>
    <w:rsid w:val="00346025"/>
    <w:rsid w:val="00352749"/>
    <w:rsid w:val="00352CBB"/>
    <w:rsid w:val="00356222"/>
    <w:rsid w:val="00367416"/>
    <w:rsid w:val="00367C6F"/>
    <w:rsid w:val="0037550F"/>
    <w:rsid w:val="003779BE"/>
    <w:rsid w:val="00380518"/>
    <w:rsid w:val="00384CC0"/>
    <w:rsid w:val="00387C07"/>
    <w:rsid w:val="00390B4D"/>
    <w:rsid w:val="00396032"/>
    <w:rsid w:val="00397A58"/>
    <w:rsid w:val="003A1DAB"/>
    <w:rsid w:val="003B6AD7"/>
    <w:rsid w:val="003C08DF"/>
    <w:rsid w:val="003C6263"/>
    <w:rsid w:val="003C7811"/>
    <w:rsid w:val="003D0E8F"/>
    <w:rsid w:val="003D1D59"/>
    <w:rsid w:val="003D1E42"/>
    <w:rsid w:val="003D21C0"/>
    <w:rsid w:val="003E204A"/>
    <w:rsid w:val="003E25E8"/>
    <w:rsid w:val="003E3FFF"/>
    <w:rsid w:val="003E47E9"/>
    <w:rsid w:val="003E721D"/>
    <w:rsid w:val="003F20AD"/>
    <w:rsid w:val="003F2293"/>
    <w:rsid w:val="003F3CBC"/>
    <w:rsid w:val="003F661F"/>
    <w:rsid w:val="004009ED"/>
    <w:rsid w:val="00403028"/>
    <w:rsid w:val="00403D3B"/>
    <w:rsid w:val="004041EC"/>
    <w:rsid w:val="00405708"/>
    <w:rsid w:val="004063A7"/>
    <w:rsid w:val="004068CE"/>
    <w:rsid w:val="00414393"/>
    <w:rsid w:val="00417249"/>
    <w:rsid w:val="004174B2"/>
    <w:rsid w:val="004201B1"/>
    <w:rsid w:val="00421C8D"/>
    <w:rsid w:val="00422A24"/>
    <w:rsid w:val="004255C5"/>
    <w:rsid w:val="00431F39"/>
    <w:rsid w:val="004349B7"/>
    <w:rsid w:val="004363A1"/>
    <w:rsid w:val="00440F8C"/>
    <w:rsid w:val="0044252E"/>
    <w:rsid w:val="00442C3B"/>
    <w:rsid w:val="00446E7B"/>
    <w:rsid w:val="0044728A"/>
    <w:rsid w:val="00447C7E"/>
    <w:rsid w:val="00450508"/>
    <w:rsid w:val="00453D07"/>
    <w:rsid w:val="00454EB8"/>
    <w:rsid w:val="0045507E"/>
    <w:rsid w:val="0045581B"/>
    <w:rsid w:val="00463CC3"/>
    <w:rsid w:val="00463D35"/>
    <w:rsid w:val="00463DF1"/>
    <w:rsid w:val="00464E59"/>
    <w:rsid w:val="004728B8"/>
    <w:rsid w:val="00472D7E"/>
    <w:rsid w:val="00475C69"/>
    <w:rsid w:val="00476D46"/>
    <w:rsid w:val="004820C9"/>
    <w:rsid w:val="00483681"/>
    <w:rsid w:val="00484737"/>
    <w:rsid w:val="004848AD"/>
    <w:rsid w:val="00485AB6"/>
    <w:rsid w:val="00486A57"/>
    <w:rsid w:val="004879BC"/>
    <w:rsid w:val="00487D5C"/>
    <w:rsid w:val="00491ACA"/>
    <w:rsid w:val="00492074"/>
    <w:rsid w:val="00492284"/>
    <w:rsid w:val="00492BA4"/>
    <w:rsid w:val="00497884"/>
    <w:rsid w:val="004A3D11"/>
    <w:rsid w:val="004A694D"/>
    <w:rsid w:val="004A6D28"/>
    <w:rsid w:val="004A7D6B"/>
    <w:rsid w:val="004B0FE9"/>
    <w:rsid w:val="004C03A8"/>
    <w:rsid w:val="004C03D0"/>
    <w:rsid w:val="004C6CD7"/>
    <w:rsid w:val="004D6611"/>
    <w:rsid w:val="004E2493"/>
    <w:rsid w:val="004E4131"/>
    <w:rsid w:val="004E442A"/>
    <w:rsid w:val="004F0A7B"/>
    <w:rsid w:val="004F0FCD"/>
    <w:rsid w:val="004F1AD6"/>
    <w:rsid w:val="004F623F"/>
    <w:rsid w:val="004F65A1"/>
    <w:rsid w:val="004F6F2C"/>
    <w:rsid w:val="00503525"/>
    <w:rsid w:val="0050369F"/>
    <w:rsid w:val="00510243"/>
    <w:rsid w:val="00512160"/>
    <w:rsid w:val="005159A6"/>
    <w:rsid w:val="00515B58"/>
    <w:rsid w:val="00517985"/>
    <w:rsid w:val="005211F5"/>
    <w:rsid w:val="00521E1C"/>
    <w:rsid w:val="00522686"/>
    <w:rsid w:val="00525F0A"/>
    <w:rsid w:val="00531324"/>
    <w:rsid w:val="00531DAD"/>
    <w:rsid w:val="00534602"/>
    <w:rsid w:val="00536BBD"/>
    <w:rsid w:val="00541213"/>
    <w:rsid w:val="00542BBA"/>
    <w:rsid w:val="00543479"/>
    <w:rsid w:val="005576AB"/>
    <w:rsid w:val="00566A4E"/>
    <w:rsid w:val="00572635"/>
    <w:rsid w:val="00573118"/>
    <w:rsid w:val="005739F8"/>
    <w:rsid w:val="00573BB8"/>
    <w:rsid w:val="0057468D"/>
    <w:rsid w:val="00576E20"/>
    <w:rsid w:val="005802BF"/>
    <w:rsid w:val="00581022"/>
    <w:rsid w:val="00581426"/>
    <w:rsid w:val="00582EDE"/>
    <w:rsid w:val="00583482"/>
    <w:rsid w:val="005838F7"/>
    <w:rsid w:val="005844EE"/>
    <w:rsid w:val="0058554D"/>
    <w:rsid w:val="00586EB4"/>
    <w:rsid w:val="0058734B"/>
    <w:rsid w:val="00587A41"/>
    <w:rsid w:val="00590816"/>
    <w:rsid w:val="00591CC5"/>
    <w:rsid w:val="00593D03"/>
    <w:rsid w:val="005949CE"/>
    <w:rsid w:val="00594C16"/>
    <w:rsid w:val="00596FF1"/>
    <w:rsid w:val="00597388"/>
    <w:rsid w:val="00597662"/>
    <w:rsid w:val="00597710"/>
    <w:rsid w:val="005A2436"/>
    <w:rsid w:val="005A363E"/>
    <w:rsid w:val="005A370D"/>
    <w:rsid w:val="005A4E52"/>
    <w:rsid w:val="005A6E26"/>
    <w:rsid w:val="005B2CAA"/>
    <w:rsid w:val="005B2CDB"/>
    <w:rsid w:val="005B2CF1"/>
    <w:rsid w:val="005B769F"/>
    <w:rsid w:val="005C0E21"/>
    <w:rsid w:val="005C437E"/>
    <w:rsid w:val="005C6CCD"/>
    <w:rsid w:val="005C72F5"/>
    <w:rsid w:val="005D14C2"/>
    <w:rsid w:val="005D48AC"/>
    <w:rsid w:val="005D5590"/>
    <w:rsid w:val="005D7111"/>
    <w:rsid w:val="005E2907"/>
    <w:rsid w:val="005E34FF"/>
    <w:rsid w:val="005E40BE"/>
    <w:rsid w:val="005F222E"/>
    <w:rsid w:val="005F2325"/>
    <w:rsid w:val="005F335C"/>
    <w:rsid w:val="005F732D"/>
    <w:rsid w:val="005F7D8E"/>
    <w:rsid w:val="00601420"/>
    <w:rsid w:val="00605B70"/>
    <w:rsid w:val="00605E34"/>
    <w:rsid w:val="006126C1"/>
    <w:rsid w:val="006172F5"/>
    <w:rsid w:val="00617726"/>
    <w:rsid w:val="006201D9"/>
    <w:rsid w:val="006217EE"/>
    <w:rsid w:val="00624370"/>
    <w:rsid w:val="00627FFD"/>
    <w:rsid w:val="0063005B"/>
    <w:rsid w:val="006315C9"/>
    <w:rsid w:val="00632B7F"/>
    <w:rsid w:val="006343EF"/>
    <w:rsid w:val="006346BC"/>
    <w:rsid w:val="00635946"/>
    <w:rsid w:val="00635999"/>
    <w:rsid w:val="00636FED"/>
    <w:rsid w:val="006400F6"/>
    <w:rsid w:val="006405EE"/>
    <w:rsid w:val="00643C70"/>
    <w:rsid w:val="0064491F"/>
    <w:rsid w:val="0064493C"/>
    <w:rsid w:val="00645126"/>
    <w:rsid w:val="0064618D"/>
    <w:rsid w:val="00647211"/>
    <w:rsid w:val="0065255B"/>
    <w:rsid w:val="006555BF"/>
    <w:rsid w:val="00660885"/>
    <w:rsid w:val="00662388"/>
    <w:rsid w:val="006719F4"/>
    <w:rsid w:val="00672EED"/>
    <w:rsid w:val="0068245D"/>
    <w:rsid w:val="00683026"/>
    <w:rsid w:val="00684043"/>
    <w:rsid w:val="006863BD"/>
    <w:rsid w:val="00690454"/>
    <w:rsid w:val="006951F6"/>
    <w:rsid w:val="00695D8C"/>
    <w:rsid w:val="0069766E"/>
    <w:rsid w:val="006A2428"/>
    <w:rsid w:val="006A2D87"/>
    <w:rsid w:val="006A3EAF"/>
    <w:rsid w:val="006A68F2"/>
    <w:rsid w:val="006B0559"/>
    <w:rsid w:val="006B1CE5"/>
    <w:rsid w:val="006B427B"/>
    <w:rsid w:val="006C1A33"/>
    <w:rsid w:val="006C3D8F"/>
    <w:rsid w:val="006C682D"/>
    <w:rsid w:val="006C73C2"/>
    <w:rsid w:val="006D1122"/>
    <w:rsid w:val="006D2818"/>
    <w:rsid w:val="006D4AE4"/>
    <w:rsid w:val="006D4BEA"/>
    <w:rsid w:val="006D6C65"/>
    <w:rsid w:val="006D7728"/>
    <w:rsid w:val="006E125A"/>
    <w:rsid w:val="006E5488"/>
    <w:rsid w:val="006E6F44"/>
    <w:rsid w:val="006F05EF"/>
    <w:rsid w:val="006F140F"/>
    <w:rsid w:val="006F30A7"/>
    <w:rsid w:val="006F3E7D"/>
    <w:rsid w:val="006F45BD"/>
    <w:rsid w:val="006F562A"/>
    <w:rsid w:val="006F6C14"/>
    <w:rsid w:val="0070090A"/>
    <w:rsid w:val="00703E95"/>
    <w:rsid w:val="00704E88"/>
    <w:rsid w:val="00705B4A"/>
    <w:rsid w:val="0070642C"/>
    <w:rsid w:val="007072E7"/>
    <w:rsid w:val="007113C7"/>
    <w:rsid w:val="0071423C"/>
    <w:rsid w:val="00714799"/>
    <w:rsid w:val="00714DD7"/>
    <w:rsid w:val="0071547F"/>
    <w:rsid w:val="00715D23"/>
    <w:rsid w:val="00716C96"/>
    <w:rsid w:val="00717D08"/>
    <w:rsid w:val="007218DE"/>
    <w:rsid w:val="00721A21"/>
    <w:rsid w:val="00725389"/>
    <w:rsid w:val="00726DE9"/>
    <w:rsid w:val="00727495"/>
    <w:rsid w:val="00727D1E"/>
    <w:rsid w:val="0073075B"/>
    <w:rsid w:val="00731036"/>
    <w:rsid w:val="00740752"/>
    <w:rsid w:val="00740865"/>
    <w:rsid w:val="00742446"/>
    <w:rsid w:val="007427A6"/>
    <w:rsid w:val="007438CE"/>
    <w:rsid w:val="00754C20"/>
    <w:rsid w:val="00756DE1"/>
    <w:rsid w:val="00760659"/>
    <w:rsid w:val="007606A0"/>
    <w:rsid w:val="00762714"/>
    <w:rsid w:val="007650E6"/>
    <w:rsid w:val="00766E0E"/>
    <w:rsid w:val="00767073"/>
    <w:rsid w:val="00776495"/>
    <w:rsid w:val="00780786"/>
    <w:rsid w:val="00782F41"/>
    <w:rsid w:val="0078375B"/>
    <w:rsid w:val="00783F50"/>
    <w:rsid w:val="007874EE"/>
    <w:rsid w:val="00790201"/>
    <w:rsid w:val="007A0369"/>
    <w:rsid w:val="007A073B"/>
    <w:rsid w:val="007A2592"/>
    <w:rsid w:val="007A7826"/>
    <w:rsid w:val="007B289A"/>
    <w:rsid w:val="007B6F7D"/>
    <w:rsid w:val="007C2026"/>
    <w:rsid w:val="007C2356"/>
    <w:rsid w:val="007C330E"/>
    <w:rsid w:val="007C35EC"/>
    <w:rsid w:val="007C4C95"/>
    <w:rsid w:val="007C5516"/>
    <w:rsid w:val="007C738F"/>
    <w:rsid w:val="007D015D"/>
    <w:rsid w:val="007D67E6"/>
    <w:rsid w:val="007D6849"/>
    <w:rsid w:val="007D6C9D"/>
    <w:rsid w:val="007E118B"/>
    <w:rsid w:val="007E7FBD"/>
    <w:rsid w:val="007F0C9F"/>
    <w:rsid w:val="007F2D6A"/>
    <w:rsid w:val="007F3ACC"/>
    <w:rsid w:val="007F6116"/>
    <w:rsid w:val="00803A35"/>
    <w:rsid w:val="00803B5A"/>
    <w:rsid w:val="00804279"/>
    <w:rsid w:val="008058F1"/>
    <w:rsid w:val="00806A3A"/>
    <w:rsid w:val="0081035C"/>
    <w:rsid w:val="008105E5"/>
    <w:rsid w:val="00810EBA"/>
    <w:rsid w:val="00811389"/>
    <w:rsid w:val="00813595"/>
    <w:rsid w:val="00813F28"/>
    <w:rsid w:val="00814E0D"/>
    <w:rsid w:val="00815967"/>
    <w:rsid w:val="008159F7"/>
    <w:rsid w:val="00815E38"/>
    <w:rsid w:val="00816A5A"/>
    <w:rsid w:val="00817A2C"/>
    <w:rsid w:val="00825F64"/>
    <w:rsid w:val="0082727D"/>
    <w:rsid w:val="008360F1"/>
    <w:rsid w:val="0083736E"/>
    <w:rsid w:val="008373B4"/>
    <w:rsid w:val="00840344"/>
    <w:rsid w:val="008419AD"/>
    <w:rsid w:val="00841EEB"/>
    <w:rsid w:val="00842B14"/>
    <w:rsid w:val="00847E66"/>
    <w:rsid w:val="008502AE"/>
    <w:rsid w:val="00851806"/>
    <w:rsid w:val="00855994"/>
    <w:rsid w:val="00855EA7"/>
    <w:rsid w:val="00861771"/>
    <w:rsid w:val="008619D0"/>
    <w:rsid w:val="00863D7E"/>
    <w:rsid w:val="0086774A"/>
    <w:rsid w:val="008701E3"/>
    <w:rsid w:val="008708E8"/>
    <w:rsid w:val="00871602"/>
    <w:rsid w:val="00873132"/>
    <w:rsid w:val="00875DDC"/>
    <w:rsid w:val="00876244"/>
    <w:rsid w:val="00877E71"/>
    <w:rsid w:val="008844AC"/>
    <w:rsid w:val="0088482A"/>
    <w:rsid w:val="008860A6"/>
    <w:rsid w:val="00886AF4"/>
    <w:rsid w:val="00893715"/>
    <w:rsid w:val="00895E30"/>
    <w:rsid w:val="008A0C68"/>
    <w:rsid w:val="008A350E"/>
    <w:rsid w:val="008A3A78"/>
    <w:rsid w:val="008A70E6"/>
    <w:rsid w:val="008B040E"/>
    <w:rsid w:val="008B0449"/>
    <w:rsid w:val="008B0FF0"/>
    <w:rsid w:val="008B1843"/>
    <w:rsid w:val="008B2C84"/>
    <w:rsid w:val="008B2DD1"/>
    <w:rsid w:val="008B775F"/>
    <w:rsid w:val="008C0F19"/>
    <w:rsid w:val="008C4FF7"/>
    <w:rsid w:val="008C5058"/>
    <w:rsid w:val="008C53B0"/>
    <w:rsid w:val="008C7DAF"/>
    <w:rsid w:val="008D0D51"/>
    <w:rsid w:val="008D2583"/>
    <w:rsid w:val="008D27B4"/>
    <w:rsid w:val="008D3035"/>
    <w:rsid w:val="008D3505"/>
    <w:rsid w:val="008D5004"/>
    <w:rsid w:val="008E1263"/>
    <w:rsid w:val="008E48B3"/>
    <w:rsid w:val="008F0AD8"/>
    <w:rsid w:val="008F1563"/>
    <w:rsid w:val="008F20FB"/>
    <w:rsid w:val="008F2835"/>
    <w:rsid w:val="008F2E54"/>
    <w:rsid w:val="008F3771"/>
    <w:rsid w:val="008F41BA"/>
    <w:rsid w:val="008F48EE"/>
    <w:rsid w:val="00901161"/>
    <w:rsid w:val="0090661D"/>
    <w:rsid w:val="00906FA9"/>
    <w:rsid w:val="00910FC9"/>
    <w:rsid w:val="0091250C"/>
    <w:rsid w:val="0091295C"/>
    <w:rsid w:val="00913EAD"/>
    <w:rsid w:val="00916018"/>
    <w:rsid w:val="009167CB"/>
    <w:rsid w:val="00917B65"/>
    <w:rsid w:val="009311DE"/>
    <w:rsid w:val="00931B6A"/>
    <w:rsid w:val="009352B9"/>
    <w:rsid w:val="00944328"/>
    <w:rsid w:val="00944CF4"/>
    <w:rsid w:val="009505FB"/>
    <w:rsid w:val="00957F78"/>
    <w:rsid w:val="0097234D"/>
    <w:rsid w:val="00972A5C"/>
    <w:rsid w:val="00977B96"/>
    <w:rsid w:val="00981979"/>
    <w:rsid w:val="00983728"/>
    <w:rsid w:val="00991113"/>
    <w:rsid w:val="00993995"/>
    <w:rsid w:val="00994C65"/>
    <w:rsid w:val="00995E6A"/>
    <w:rsid w:val="00996820"/>
    <w:rsid w:val="00997F73"/>
    <w:rsid w:val="009A1B12"/>
    <w:rsid w:val="009A35E9"/>
    <w:rsid w:val="009A4653"/>
    <w:rsid w:val="009B0783"/>
    <w:rsid w:val="009B0AFC"/>
    <w:rsid w:val="009B14C4"/>
    <w:rsid w:val="009B17D1"/>
    <w:rsid w:val="009B2411"/>
    <w:rsid w:val="009B36CC"/>
    <w:rsid w:val="009B5534"/>
    <w:rsid w:val="009B7AE5"/>
    <w:rsid w:val="009C21B1"/>
    <w:rsid w:val="009C2894"/>
    <w:rsid w:val="009C5248"/>
    <w:rsid w:val="009C59A4"/>
    <w:rsid w:val="009C6BF0"/>
    <w:rsid w:val="009D5185"/>
    <w:rsid w:val="009D5D02"/>
    <w:rsid w:val="009D5D45"/>
    <w:rsid w:val="009D7DEC"/>
    <w:rsid w:val="009E4B83"/>
    <w:rsid w:val="009E5041"/>
    <w:rsid w:val="009F07B0"/>
    <w:rsid w:val="009F1272"/>
    <w:rsid w:val="009F128A"/>
    <w:rsid w:val="009F37FB"/>
    <w:rsid w:val="009F3943"/>
    <w:rsid w:val="009F6035"/>
    <w:rsid w:val="009F6438"/>
    <w:rsid w:val="009F7B36"/>
    <w:rsid w:val="009F7F29"/>
    <w:rsid w:val="00A001B7"/>
    <w:rsid w:val="00A022E3"/>
    <w:rsid w:val="00A039FD"/>
    <w:rsid w:val="00A07033"/>
    <w:rsid w:val="00A1036F"/>
    <w:rsid w:val="00A132E1"/>
    <w:rsid w:val="00A13D42"/>
    <w:rsid w:val="00A13F3A"/>
    <w:rsid w:val="00A164E6"/>
    <w:rsid w:val="00A20634"/>
    <w:rsid w:val="00A2317D"/>
    <w:rsid w:val="00A23BD9"/>
    <w:rsid w:val="00A25015"/>
    <w:rsid w:val="00A255E8"/>
    <w:rsid w:val="00A26FC7"/>
    <w:rsid w:val="00A34893"/>
    <w:rsid w:val="00A34FC5"/>
    <w:rsid w:val="00A36CBB"/>
    <w:rsid w:val="00A37913"/>
    <w:rsid w:val="00A4116A"/>
    <w:rsid w:val="00A413AA"/>
    <w:rsid w:val="00A42F52"/>
    <w:rsid w:val="00A43DC2"/>
    <w:rsid w:val="00A44B75"/>
    <w:rsid w:val="00A46813"/>
    <w:rsid w:val="00A46CF5"/>
    <w:rsid w:val="00A46F93"/>
    <w:rsid w:val="00A517FD"/>
    <w:rsid w:val="00A53564"/>
    <w:rsid w:val="00A535C8"/>
    <w:rsid w:val="00A5382F"/>
    <w:rsid w:val="00A5759B"/>
    <w:rsid w:val="00A60985"/>
    <w:rsid w:val="00A62C49"/>
    <w:rsid w:val="00A64145"/>
    <w:rsid w:val="00A74326"/>
    <w:rsid w:val="00A74398"/>
    <w:rsid w:val="00A74EF0"/>
    <w:rsid w:val="00A74F15"/>
    <w:rsid w:val="00A751EB"/>
    <w:rsid w:val="00A7776C"/>
    <w:rsid w:val="00A80C33"/>
    <w:rsid w:val="00A84D2B"/>
    <w:rsid w:val="00A85036"/>
    <w:rsid w:val="00A90FA6"/>
    <w:rsid w:val="00A941CB"/>
    <w:rsid w:val="00A944D4"/>
    <w:rsid w:val="00A94F3A"/>
    <w:rsid w:val="00A961B7"/>
    <w:rsid w:val="00AA1A2A"/>
    <w:rsid w:val="00AA48A4"/>
    <w:rsid w:val="00AB2CFE"/>
    <w:rsid w:val="00AB3616"/>
    <w:rsid w:val="00AB4E66"/>
    <w:rsid w:val="00AC019D"/>
    <w:rsid w:val="00AC7E90"/>
    <w:rsid w:val="00AD1900"/>
    <w:rsid w:val="00AD210B"/>
    <w:rsid w:val="00AD3C7C"/>
    <w:rsid w:val="00AD4440"/>
    <w:rsid w:val="00AD5C05"/>
    <w:rsid w:val="00AE2BD1"/>
    <w:rsid w:val="00AE33D9"/>
    <w:rsid w:val="00AE3872"/>
    <w:rsid w:val="00AE4138"/>
    <w:rsid w:val="00AE4BB3"/>
    <w:rsid w:val="00AE51FE"/>
    <w:rsid w:val="00AE7AA6"/>
    <w:rsid w:val="00AF25A1"/>
    <w:rsid w:val="00AF3FBD"/>
    <w:rsid w:val="00AF4CA3"/>
    <w:rsid w:val="00AF6B97"/>
    <w:rsid w:val="00B0356C"/>
    <w:rsid w:val="00B0716A"/>
    <w:rsid w:val="00B10463"/>
    <w:rsid w:val="00B11C0A"/>
    <w:rsid w:val="00B21417"/>
    <w:rsid w:val="00B23B03"/>
    <w:rsid w:val="00B24E6D"/>
    <w:rsid w:val="00B251AE"/>
    <w:rsid w:val="00B256A1"/>
    <w:rsid w:val="00B336C9"/>
    <w:rsid w:val="00B33905"/>
    <w:rsid w:val="00B37F0F"/>
    <w:rsid w:val="00B4298C"/>
    <w:rsid w:val="00B43406"/>
    <w:rsid w:val="00B45938"/>
    <w:rsid w:val="00B46497"/>
    <w:rsid w:val="00B46A58"/>
    <w:rsid w:val="00B471D3"/>
    <w:rsid w:val="00B47F18"/>
    <w:rsid w:val="00B52FD9"/>
    <w:rsid w:val="00B54F44"/>
    <w:rsid w:val="00B603AB"/>
    <w:rsid w:val="00B60E1D"/>
    <w:rsid w:val="00B6247F"/>
    <w:rsid w:val="00B63073"/>
    <w:rsid w:val="00B6345A"/>
    <w:rsid w:val="00B63701"/>
    <w:rsid w:val="00B64DBA"/>
    <w:rsid w:val="00B675F3"/>
    <w:rsid w:val="00B74513"/>
    <w:rsid w:val="00B747AA"/>
    <w:rsid w:val="00B77101"/>
    <w:rsid w:val="00B7782A"/>
    <w:rsid w:val="00B8662B"/>
    <w:rsid w:val="00B903FA"/>
    <w:rsid w:val="00B90D95"/>
    <w:rsid w:val="00B91A8B"/>
    <w:rsid w:val="00B93B72"/>
    <w:rsid w:val="00B95085"/>
    <w:rsid w:val="00B968BF"/>
    <w:rsid w:val="00B973D9"/>
    <w:rsid w:val="00BA1259"/>
    <w:rsid w:val="00BA54EA"/>
    <w:rsid w:val="00BA5FA1"/>
    <w:rsid w:val="00BA708E"/>
    <w:rsid w:val="00BB0D21"/>
    <w:rsid w:val="00BB3167"/>
    <w:rsid w:val="00BB51D3"/>
    <w:rsid w:val="00BB56AF"/>
    <w:rsid w:val="00BB6B1F"/>
    <w:rsid w:val="00BB74A2"/>
    <w:rsid w:val="00BB7C8B"/>
    <w:rsid w:val="00BC0769"/>
    <w:rsid w:val="00BC1B62"/>
    <w:rsid w:val="00BC2C56"/>
    <w:rsid w:val="00BC46FC"/>
    <w:rsid w:val="00BC5A1A"/>
    <w:rsid w:val="00BC754D"/>
    <w:rsid w:val="00BD0101"/>
    <w:rsid w:val="00BD116B"/>
    <w:rsid w:val="00BD60BD"/>
    <w:rsid w:val="00BD6454"/>
    <w:rsid w:val="00BD727B"/>
    <w:rsid w:val="00BD78DC"/>
    <w:rsid w:val="00BE15DE"/>
    <w:rsid w:val="00BE210B"/>
    <w:rsid w:val="00BE29AA"/>
    <w:rsid w:val="00BE2F10"/>
    <w:rsid w:val="00BE5E61"/>
    <w:rsid w:val="00BE70EC"/>
    <w:rsid w:val="00BF12C8"/>
    <w:rsid w:val="00BF2102"/>
    <w:rsid w:val="00BF2C65"/>
    <w:rsid w:val="00BF53A7"/>
    <w:rsid w:val="00BF78EA"/>
    <w:rsid w:val="00C02D14"/>
    <w:rsid w:val="00C03D70"/>
    <w:rsid w:val="00C04192"/>
    <w:rsid w:val="00C058A3"/>
    <w:rsid w:val="00C05DAD"/>
    <w:rsid w:val="00C11940"/>
    <w:rsid w:val="00C12B64"/>
    <w:rsid w:val="00C138EB"/>
    <w:rsid w:val="00C152B3"/>
    <w:rsid w:val="00C15690"/>
    <w:rsid w:val="00C16997"/>
    <w:rsid w:val="00C174E4"/>
    <w:rsid w:val="00C20F56"/>
    <w:rsid w:val="00C21575"/>
    <w:rsid w:val="00C236DC"/>
    <w:rsid w:val="00C24410"/>
    <w:rsid w:val="00C275D5"/>
    <w:rsid w:val="00C30B9D"/>
    <w:rsid w:val="00C30C1F"/>
    <w:rsid w:val="00C315B3"/>
    <w:rsid w:val="00C31F11"/>
    <w:rsid w:val="00C41CC9"/>
    <w:rsid w:val="00C42635"/>
    <w:rsid w:val="00C447F6"/>
    <w:rsid w:val="00C4667D"/>
    <w:rsid w:val="00C5036A"/>
    <w:rsid w:val="00C51C0E"/>
    <w:rsid w:val="00C51F22"/>
    <w:rsid w:val="00C56062"/>
    <w:rsid w:val="00C56264"/>
    <w:rsid w:val="00C63CCF"/>
    <w:rsid w:val="00C64C29"/>
    <w:rsid w:val="00C705FE"/>
    <w:rsid w:val="00C730B8"/>
    <w:rsid w:val="00C7564C"/>
    <w:rsid w:val="00C76223"/>
    <w:rsid w:val="00C81E07"/>
    <w:rsid w:val="00C843CD"/>
    <w:rsid w:val="00C844A7"/>
    <w:rsid w:val="00C84747"/>
    <w:rsid w:val="00C9209F"/>
    <w:rsid w:val="00C92EE9"/>
    <w:rsid w:val="00C95865"/>
    <w:rsid w:val="00CA0098"/>
    <w:rsid w:val="00CA0E29"/>
    <w:rsid w:val="00CA2455"/>
    <w:rsid w:val="00CA6392"/>
    <w:rsid w:val="00CA7856"/>
    <w:rsid w:val="00CB01B4"/>
    <w:rsid w:val="00CB02D9"/>
    <w:rsid w:val="00CB23EE"/>
    <w:rsid w:val="00CB257B"/>
    <w:rsid w:val="00CB43C4"/>
    <w:rsid w:val="00CB7E3A"/>
    <w:rsid w:val="00CC5036"/>
    <w:rsid w:val="00CC54DB"/>
    <w:rsid w:val="00CC6061"/>
    <w:rsid w:val="00CC6E3E"/>
    <w:rsid w:val="00CC7600"/>
    <w:rsid w:val="00CD04B5"/>
    <w:rsid w:val="00CD6566"/>
    <w:rsid w:val="00CD7061"/>
    <w:rsid w:val="00CF00BF"/>
    <w:rsid w:val="00CF2F84"/>
    <w:rsid w:val="00CF6567"/>
    <w:rsid w:val="00CF6988"/>
    <w:rsid w:val="00CF6A58"/>
    <w:rsid w:val="00CF70FD"/>
    <w:rsid w:val="00CF7D46"/>
    <w:rsid w:val="00D0176A"/>
    <w:rsid w:val="00D017A7"/>
    <w:rsid w:val="00D01939"/>
    <w:rsid w:val="00D051DC"/>
    <w:rsid w:val="00D11AA7"/>
    <w:rsid w:val="00D12131"/>
    <w:rsid w:val="00D238C5"/>
    <w:rsid w:val="00D244C5"/>
    <w:rsid w:val="00D25364"/>
    <w:rsid w:val="00D25FAA"/>
    <w:rsid w:val="00D26AFE"/>
    <w:rsid w:val="00D30DF6"/>
    <w:rsid w:val="00D30E5A"/>
    <w:rsid w:val="00D32DB0"/>
    <w:rsid w:val="00D331F6"/>
    <w:rsid w:val="00D3348C"/>
    <w:rsid w:val="00D33641"/>
    <w:rsid w:val="00D33EDB"/>
    <w:rsid w:val="00D41006"/>
    <w:rsid w:val="00D442AC"/>
    <w:rsid w:val="00D448C0"/>
    <w:rsid w:val="00D501E6"/>
    <w:rsid w:val="00D5130B"/>
    <w:rsid w:val="00D52390"/>
    <w:rsid w:val="00D526E4"/>
    <w:rsid w:val="00D61744"/>
    <w:rsid w:val="00D806D3"/>
    <w:rsid w:val="00D82150"/>
    <w:rsid w:val="00D8508E"/>
    <w:rsid w:val="00D8522E"/>
    <w:rsid w:val="00D86923"/>
    <w:rsid w:val="00D90AA2"/>
    <w:rsid w:val="00D92D9E"/>
    <w:rsid w:val="00D92DB3"/>
    <w:rsid w:val="00D93C42"/>
    <w:rsid w:val="00D93DF9"/>
    <w:rsid w:val="00D97A60"/>
    <w:rsid w:val="00DA2DFE"/>
    <w:rsid w:val="00DA4F25"/>
    <w:rsid w:val="00DA6003"/>
    <w:rsid w:val="00DA674B"/>
    <w:rsid w:val="00DB0467"/>
    <w:rsid w:val="00DB3FC4"/>
    <w:rsid w:val="00DB45D4"/>
    <w:rsid w:val="00DB7992"/>
    <w:rsid w:val="00DB7D3B"/>
    <w:rsid w:val="00DC01DE"/>
    <w:rsid w:val="00DC1B3C"/>
    <w:rsid w:val="00DC3145"/>
    <w:rsid w:val="00DC7E7F"/>
    <w:rsid w:val="00DD173F"/>
    <w:rsid w:val="00DD2384"/>
    <w:rsid w:val="00DD3498"/>
    <w:rsid w:val="00DD6689"/>
    <w:rsid w:val="00DE0301"/>
    <w:rsid w:val="00DE24BD"/>
    <w:rsid w:val="00DE32B3"/>
    <w:rsid w:val="00DE6822"/>
    <w:rsid w:val="00DE78C5"/>
    <w:rsid w:val="00DF0462"/>
    <w:rsid w:val="00DF12D7"/>
    <w:rsid w:val="00DF1465"/>
    <w:rsid w:val="00DF2323"/>
    <w:rsid w:val="00DF2DAB"/>
    <w:rsid w:val="00DF75E3"/>
    <w:rsid w:val="00E0688D"/>
    <w:rsid w:val="00E06C9B"/>
    <w:rsid w:val="00E07A90"/>
    <w:rsid w:val="00E127A7"/>
    <w:rsid w:val="00E14DD7"/>
    <w:rsid w:val="00E17F77"/>
    <w:rsid w:val="00E22A24"/>
    <w:rsid w:val="00E22B81"/>
    <w:rsid w:val="00E26E4C"/>
    <w:rsid w:val="00E3467F"/>
    <w:rsid w:val="00E34DCC"/>
    <w:rsid w:val="00E40987"/>
    <w:rsid w:val="00E4340E"/>
    <w:rsid w:val="00E439F0"/>
    <w:rsid w:val="00E46078"/>
    <w:rsid w:val="00E46B46"/>
    <w:rsid w:val="00E511A7"/>
    <w:rsid w:val="00E52408"/>
    <w:rsid w:val="00E5386C"/>
    <w:rsid w:val="00E6038E"/>
    <w:rsid w:val="00E63527"/>
    <w:rsid w:val="00E63DDC"/>
    <w:rsid w:val="00E70900"/>
    <w:rsid w:val="00E77775"/>
    <w:rsid w:val="00E81DF0"/>
    <w:rsid w:val="00E839CE"/>
    <w:rsid w:val="00E86F66"/>
    <w:rsid w:val="00E91D07"/>
    <w:rsid w:val="00E92358"/>
    <w:rsid w:val="00E93D6C"/>
    <w:rsid w:val="00E949B9"/>
    <w:rsid w:val="00E95D5D"/>
    <w:rsid w:val="00E968DB"/>
    <w:rsid w:val="00EA08C8"/>
    <w:rsid w:val="00EA59DC"/>
    <w:rsid w:val="00EB1EB1"/>
    <w:rsid w:val="00EB20CB"/>
    <w:rsid w:val="00EB2912"/>
    <w:rsid w:val="00EB7C26"/>
    <w:rsid w:val="00EC145B"/>
    <w:rsid w:val="00EC4157"/>
    <w:rsid w:val="00ED1544"/>
    <w:rsid w:val="00ED2BC4"/>
    <w:rsid w:val="00ED2D1A"/>
    <w:rsid w:val="00ED44D1"/>
    <w:rsid w:val="00ED6478"/>
    <w:rsid w:val="00ED7539"/>
    <w:rsid w:val="00EE0C6B"/>
    <w:rsid w:val="00EE22C9"/>
    <w:rsid w:val="00EE6B09"/>
    <w:rsid w:val="00EE6C2F"/>
    <w:rsid w:val="00EF0E8B"/>
    <w:rsid w:val="00EF3CD4"/>
    <w:rsid w:val="00F03C2B"/>
    <w:rsid w:val="00F03F60"/>
    <w:rsid w:val="00F04020"/>
    <w:rsid w:val="00F0505D"/>
    <w:rsid w:val="00F101A5"/>
    <w:rsid w:val="00F10DDD"/>
    <w:rsid w:val="00F120E0"/>
    <w:rsid w:val="00F14597"/>
    <w:rsid w:val="00F178BD"/>
    <w:rsid w:val="00F22A91"/>
    <w:rsid w:val="00F261AB"/>
    <w:rsid w:val="00F27F76"/>
    <w:rsid w:val="00F300E5"/>
    <w:rsid w:val="00F321E6"/>
    <w:rsid w:val="00F3618C"/>
    <w:rsid w:val="00F40068"/>
    <w:rsid w:val="00F419A2"/>
    <w:rsid w:val="00F42527"/>
    <w:rsid w:val="00F474F5"/>
    <w:rsid w:val="00F51637"/>
    <w:rsid w:val="00F5278C"/>
    <w:rsid w:val="00F53F6C"/>
    <w:rsid w:val="00F54625"/>
    <w:rsid w:val="00F55A2C"/>
    <w:rsid w:val="00F6031D"/>
    <w:rsid w:val="00F60F69"/>
    <w:rsid w:val="00F613B8"/>
    <w:rsid w:val="00F62BA7"/>
    <w:rsid w:val="00F635AD"/>
    <w:rsid w:val="00F63690"/>
    <w:rsid w:val="00F64010"/>
    <w:rsid w:val="00F646AF"/>
    <w:rsid w:val="00F659A0"/>
    <w:rsid w:val="00F66575"/>
    <w:rsid w:val="00F7376B"/>
    <w:rsid w:val="00F74FE5"/>
    <w:rsid w:val="00F76F60"/>
    <w:rsid w:val="00F8328B"/>
    <w:rsid w:val="00F869B5"/>
    <w:rsid w:val="00F92196"/>
    <w:rsid w:val="00F92966"/>
    <w:rsid w:val="00F9395C"/>
    <w:rsid w:val="00FA00FF"/>
    <w:rsid w:val="00FA2224"/>
    <w:rsid w:val="00FA2947"/>
    <w:rsid w:val="00FA68D2"/>
    <w:rsid w:val="00FB6194"/>
    <w:rsid w:val="00FB75CB"/>
    <w:rsid w:val="00FB7FD6"/>
    <w:rsid w:val="00FC0053"/>
    <w:rsid w:val="00FC0ACC"/>
    <w:rsid w:val="00FC1321"/>
    <w:rsid w:val="00FC69BF"/>
    <w:rsid w:val="00FC6AC4"/>
    <w:rsid w:val="00FD16D6"/>
    <w:rsid w:val="00FD52CC"/>
    <w:rsid w:val="00FD583F"/>
    <w:rsid w:val="00FD5F37"/>
    <w:rsid w:val="00FE2D03"/>
    <w:rsid w:val="00FF287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A594"/>
  <w15:chartTrackingRefBased/>
  <w15:docId w15:val="{6B5ED048-59D2-4BB7-8062-5E6227B8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4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78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F56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a CUADROS"/>
    <w:basedOn w:val="TableNormal"/>
    <w:uiPriority w:val="59"/>
    <w:rsid w:val="00260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C3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oj-ti-tbl">
    <w:name w:val="oj-ti-tbl"/>
    <w:basedOn w:val="Normal"/>
    <w:rsid w:val="00260C3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character" w:customStyle="1" w:styleId="oj-bold">
    <w:name w:val="oj-bold"/>
    <w:basedOn w:val="DefaultParagraphFont"/>
    <w:rsid w:val="00260C32"/>
  </w:style>
  <w:style w:type="paragraph" w:customStyle="1" w:styleId="oj-tbl-hdr">
    <w:name w:val="oj-tbl-hdr"/>
    <w:basedOn w:val="Normal"/>
    <w:rsid w:val="00260C3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oj-tbl-txt">
    <w:name w:val="oj-tbl-txt"/>
    <w:basedOn w:val="Normal"/>
    <w:rsid w:val="00260C3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oj-normal">
    <w:name w:val="oj-normal"/>
    <w:basedOn w:val="Normal"/>
    <w:rsid w:val="00260C3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260C3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character" w:customStyle="1" w:styleId="oj-underline">
    <w:name w:val="oj-underline"/>
    <w:basedOn w:val="DefaultParagraphFont"/>
    <w:rsid w:val="00260C32"/>
  </w:style>
  <w:style w:type="character" w:customStyle="1" w:styleId="oj-italic">
    <w:name w:val="oj-italic"/>
    <w:basedOn w:val="DefaultParagraphFont"/>
    <w:rsid w:val="00260C32"/>
  </w:style>
  <w:style w:type="paragraph" w:customStyle="1" w:styleId="oj-ti-grseq-1">
    <w:name w:val="oj-ti-grseq-1"/>
    <w:basedOn w:val="Normal"/>
    <w:rsid w:val="00260C3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character" w:styleId="Hyperlink">
    <w:name w:val="Hyperlink"/>
    <w:basedOn w:val="DefaultParagraphFont"/>
    <w:uiPriority w:val="99"/>
    <w:semiHidden/>
    <w:unhideWhenUsed/>
    <w:rsid w:val="00260C32"/>
    <w:rPr>
      <w:color w:val="0000FF"/>
      <w:u w:val="single"/>
    </w:rPr>
  </w:style>
  <w:style w:type="character" w:styleId="FollowedHyperlink">
    <w:name w:val="FollowedHyperlink"/>
    <w:basedOn w:val="DefaultParagraphFont"/>
    <w:uiPriority w:val="99"/>
    <w:semiHidden/>
    <w:unhideWhenUsed/>
    <w:rsid w:val="00260C32"/>
    <w:rPr>
      <w:color w:val="800080"/>
      <w:u w:val="single"/>
    </w:rPr>
  </w:style>
  <w:style w:type="character" w:customStyle="1" w:styleId="oj-super">
    <w:name w:val="oj-super"/>
    <w:basedOn w:val="DefaultParagraphFont"/>
    <w:rsid w:val="00260C32"/>
  </w:style>
  <w:style w:type="paragraph" w:customStyle="1" w:styleId="cn">
    <w:name w:val="cn"/>
    <w:basedOn w:val="Normal"/>
    <w:rsid w:val="006217E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character" w:styleId="CommentReference">
    <w:name w:val="annotation reference"/>
    <w:basedOn w:val="DefaultParagraphFont"/>
    <w:uiPriority w:val="99"/>
    <w:semiHidden/>
    <w:unhideWhenUsed/>
    <w:rsid w:val="00873132"/>
    <w:rPr>
      <w:sz w:val="16"/>
      <w:szCs w:val="16"/>
    </w:rPr>
  </w:style>
  <w:style w:type="paragraph" w:styleId="CommentText">
    <w:name w:val="annotation text"/>
    <w:basedOn w:val="Normal"/>
    <w:link w:val="CommentTextChar"/>
    <w:uiPriority w:val="99"/>
    <w:unhideWhenUsed/>
    <w:rsid w:val="00873132"/>
    <w:pPr>
      <w:spacing w:line="240" w:lineRule="auto"/>
    </w:pPr>
    <w:rPr>
      <w:sz w:val="20"/>
      <w:szCs w:val="20"/>
    </w:rPr>
  </w:style>
  <w:style w:type="character" w:customStyle="1" w:styleId="CommentTextChar">
    <w:name w:val="Comment Text Char"/>
    <w:basedOn w:val="DefaultParagraphFont"/>
    <w:link w:val="CommentText"/>
    <w:uiPriority w:val="99"/>
    <w:rsid w:val="00873132"/>
    <w:rPr>
      <w:sz w:val="20"/>
      <w:szCs w:val="20"/>
    </w:rPr>
  </w:style>
  <w:style w:type="paragraph" w:styleId="CommentSubject">
    <w:name w:val="annotation subject"/>
    <w:basedOn w:val="CommentText"/>
    <w:next w:val="CommentText"/>
    <w:link w:val="CommentSubjectChar"/>
    <w:uiPriority w:val="99"/>
    <w:semiHidden/>
    <w:unhideWhenUsed/>
    <w:rsid w:val="00873132"/>
    <w:rPr>
      <w:b/>
      <w:bCs/>
    </w:rPr>
  </w:style>
  <w:style w:type="character" w:customStyle="1" w:styleId="CommentSubjectChar">
    <w:name w:val="Comment Subject Char"/>
    <w:basedOn w:val="CommentTextChar"/>
    <w:link w:val="CommentSubject"/>
    <w:uiPriority w:val="99"/>
    <w:semiHidden/>
    <w:rsid w:val="00873132"/>
    <w:rPr>
      <w:b/>
      <w:bCs/>
      <w:sz w:val="20"/>
      <w:szCs w:val="20"/>
    </w:rPr>
  </w:style>
  <w:style w:type="paragraph" w:styleId="Revision">
    <w:name w:val="Revision"/>
    <w:hidden/>
    <w:uiPriority w:val="99"/>
    <w:semiHidden/>
    <w:rsid w:val="00487D5C"/>
    <w:pPr>
      <w:spacing w:after="0" w:line="240" w:lineRule="auto"/>
    </w:pPr>
  </w:style>
  <w:style w:type="paragraph" w:customStyle="1" w:styleId="lf">
    <w:name w:val="lf"/>
    <w:basedOn w:val="Normal"/>
    <w:rsid w:val="00487D5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8844A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InstructionsText">
    <w:name w:val="Instructions Text"/>
    <w:basedOn w:val="Normal"/>
    <w:link w:val="InstructionsTextChar"/>
    <w:autoRedefine/>
    <w:rsid w:val="00A84D2B"/>
    <w:pPr>
      <w:spacing w:after="0" w:line="240" w:lineRule="auto"/>
    </w:pPr>
    <w:rPr>
      <w:rFonts w:ascii="Times New Roman" w:eastAsia="Times New Roman" w:hAnsi="Times New Roman" w:cs="Times New Roman"/>
      <w:kern w:val="0"/>
      <w:lang w:val="ro-RO" w:eastAsia="de-DE"/>
      <w14:ligatures w14:val="none"/>
    </w:rPr>
  </w:style>
  <w:style w:type="character" w:customStyle="1" w:styleId="InstructionsTabelleberschrift">
    <w:name w:val="Instructions Tabelle Überschrift"/>
    <w:qFormat/>
    <w:rsid w:val="006400F6"/>
    <w:rPr>
      <w:rFonts w:ascii="Verdana" w:hAnsi="Verdana" w:cs="Times New Roman"/>
      <w:b/>
      <w:bCs/>
      <w:sz w:val="20"/>
      <w:u w:val="single"/>
    </w:rPr>
  </w:style>
  <w:style w:type="character" w:customStyle="1" w:styleId="InstructionsTextChar">
    <w:name w:val="Instructions Text Char"/>
    <w:link w:val="InstructionsText"/>
    <w:locked/>
    <w:rsid w:val="00A84D2B"/>
    <w:rPr>
      <w:rFonts w:ascii="Times New Roman" w:eastAsia="Times New Roman" w:hAnsi="Times New Roman" w:cs="Times New Roman"/>
      <w:kern w:val="0"/>
      <w:lang w:val="ro-RO" w:eastAsia="de-DE"/>
      <w14:ligatures w14:val="none"/>
    </w:rPr>
  </w:style>
  <w:style w:type="paragraph" w:customStyle="1" w:styleId="HngEinrckung1">
    <w:name w:val="Häng. Einrückung1"/>
    <w:basedOn w:val="Normal"/>
    <w:uiPriority w:val="1"/>
    <w:qFormat/>
    <w:rsid w:val="00E40987"/>
    <w:pPr>
      <w:spacing w:before="120" w:after="120" w:line="312" w:lineRule="auto"/>
      <w:ind w:left="567" w:hanging="567"/>
      <w:jc w:val="both"/>
    </w:pPr>
    <w:rPr>
      <w:rFonts w:ascii="Verdana" w:eastAsia="Times New Roman" w:hAnsi="Verdana" w:cs="Times New Roman"/>
      <w:kern w:val="0"/>
      <w:sz w:val="20"/>
      <w:szCs w:val="24"/>
      <w:lang w:val="ro-RO"/>
      <w14:ligatures w14:val="none"/>
    </w:rPr>
  </w:style>
  <w:style w:type="character" w:customStyle="1" w:styleId="FormatvorlageInstructionsTabelleText">
    <w:name w:val="Formatvorlage Instructions Tabelle Text"/>
    <w:uiPriority w:val="99"/>
    <w:qFormat/>
    <w:rsid w:val="00A74326"/>
    <w:rPr>
      <w:rFonts w:ascii="Verdana" w:hAnsi="Verdana" w:cs="Times New Roman"/>
      <w:bCs/>
      <w:sz w:val="20"/>
      <w:u w:val="none"/>
    </w:rPr>
  </w:style>
  <w:style w:type="paragraph" w:customStyle="1" w:styleId="body">
    <w:name w:val="body"/>
    <w:qFormat/>
    <w:rsid w:val="003F20AD"/>
    <w:pPr>
      <w:spacing w:before="240" w:after="120" w:line="276" w:lineRule="auto"/>
      <w:jc w:val="both"/>
    </w:pPr>
    <w:rPr>
      <w:rFonts w:eastAsiaTheme="minorEastAsia"/>
      <w:kern w:val="0"/>
      <w:szCs w:val="24"/>
      <w:lang w:val="ro-RO"/>
      <w14:ligatures w14:val="none"/>
    </w:rPr>
  </w:style>
  <w:style w:type="character" w:customStyle="1" w:styleId="Heading1Char">
    <w:name w:val="Heading 1 Char"/>
    <w:basedOn w:val="DefaultParagraphFont"/>
    <w:link w:val="Heading1"/>
    <w:uiPriority w:val="9"/>
    <w:rsid w:val="007874E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178B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F562A"/>
    <w:rPr>
      <w:rFonts w:asciiTheme="majorHAnsi" w:eastAsiaTheme="majorEastAsia" w:hAnsiTheme="majorHAnsi" w:cstheme="majorBidi"/>
      <w:color w:val="1F3763" w:themeColor="accent1" w:themeShade="7F"/>
      <w:sz w:val="24"/>
      <w:szCs w:val="24"/>
    </w:rPr>
  </w:style>
  <w:style w:type="paragraph" w:customStyle="1" w:styleId="rg">
    <w:name w:val="rg"/>
    <w:basedOn w:val="Normal"/>
    <w:rsid w:val="00A80C33"/>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InstructionsText2">
    <w:name w:val="Instructions Text 2"/>
    <w:basedOn w:val="InstructionsText"/>
    <w:qFormat/>
    <w:rsid w:val="00A80C33"/>
    <w:pPr>
      <w:numPr>
        <w:numId w:val="1"/>
      </w:numPr>
      <w:spacing w:after="240"/>
      <w:jc w:val="both"/>
    </w:pPr>
    <w:rPr>
      <w:b/>
      <w:bCs/>
      <w:sz w:val="24"/>
      <w:szCs w:val="24"/>
    </w:rPr>
  </w:style>
  <w:style w:type="paragraph" w:customStyle="1" w:styleId="norm">
    <w:name w:val="norm"/>
    <w:basedOn w:val="Normal"/>
    <w:rsid w:val="00B21417"/>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ListParagraph">
    <w:name w:val="List Paragraph"/>
    <w:basedOn w:val="Normal"/>
    <w:link w:val="ListParagraphChar"/>
    <w:uiPriority w:val="34"/>
    <w:qFormat/>
    <w:rsid w:val="00AA1A2A"/>
    <w:pPr>
      <w:ind w:left="720"/>
      <w:contextualSpacing/>
    </w:pPr>
  </w:style>
  <w:style w:type="paragraph" w:customStyle="1" w:styleId="tt">
    <w:name w:val="tt"/>
    <w:basedOn w:val="Normal"/>
    <w:rsid w:val="009D5D02"/>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FootnoteText">
    <w:name w:val="footnote text"/>
    <w:basedOn w:val="Normal"/>
    <w:link w:val="FootnoteTextChar"/>
    <w:qFormat/>
    <w:rsid w:val="006126C1"/>
    <w:pPr>
      <w:spacing w:before="120" w:after="120" w:line="180" w:lineRule="exact"/>
      <w:ind w:left="142" w:hanging="142"/>
      <w:jc w:val="both"/>
    </w:pPr>
    <w:rPr>
      <w:rFonts w:ascii="Arial" w:eastAsia="Arial" w:hAnsi="Arial" w:cs="Times New Roman"/>
      <w:kern w:val="0"/>
      <w:sz w:val="16"/>
      <w:szCs w:val="16"/>
      <w:lang w:val="ro-RO" w:eastAsia="de-DE"/>
      <w14:ligatures w14:val="none"/>
    </w:rPr>
  </w:style>
  <w:style w:type="character" w:customStyle="1" w:styleId="FootnoteTextChar">
    <w:name w:val="Footnote Text Char"/>
    <w:basedOn w:val="DefaultParagraphFont"/>
    <w:link w:val="FootnoteText"/>
    <w:rsid w:val="006126C1"/>
    <w:rPr>
      <w:rFonts w:ascii="Arial" w:eastAsia="Arial" w:hAnsi="Arial" w:cs="Times New Roman"/>
      <w:kern w:val="0"/>
      <w:sz w:val="16"/>
      <w:szCs w:val="16"/>
      <w:lang w:val="ro-RO" w:eastAsia="de-DE"/>
      <w14:ligatures w14:val="non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6126C1"/>
    <w:rPr>
      <w:rFonts w:ascii="Arial" w:hAnsi="Arial" w:cs="Times New Roman"/>
      <w:kern w:val="0"/>
      <w:position w:val="4"/>
      <w:sz w:val="12"/>
      <w:szCs w:val="12"/>
      <w:vertAlign w:val="baseline"/>
    </w:rPr>
  </w:style>
  <w:style w:type="paragraph" w:customStyle="1" w:styleId="Instructionsberschrift2">
    <w:name w:val="Instructions Überschrift 2"/>
    <w:basedOn w:val="Heading2"/>
    <w:rsid w:val="006126C1"/>
    <w:pPr>
      <w:keepLines w:val="0"/>
      <w:numPr>
        <w:numId w:val="14"/>
      </w:numPr>
      <w:spacing w:before="240" w:after="240" w:line="240" w:lineRule="auto"/>
      <w:jc w:val="both"/>
    </w:pPr>
    <w:rPr>
      <w:rFonts w:ascii="Verdana" w:eastAsia="Arial" w:hAnsi="Verdana" w:cs="Arial"/>
      <w:color w:val="auto"/>
      <w:kern w:val="0"/>
      <w:sz w:val="20"/>
      <w:szCs w:val="24"/>
      <w:u w:val="single"/>
      <w:lang w:val="ro-RO" w:eastAsia="x-none"/>
      <w14:ligatures w14:val="none"/>
    </w:rPr>
  </w:style>
  <w:style w:type="character" w:customStyle="1" w:styleId="ListParagraphChar">
    <w:name w:val="List Paragraph Char"/>
    <w:basedOn w:val="DefaultParagraphFont"/>
    <w:link w:val="ListParagraph"/>
    <w:uiPriority w:val="34"/>
    <w:locked/>
    <w:rsid w:val="006126C1"/>
  </w:style>
  <w:style w:type="character" w:customStyle="1" w:styleId="ui-provider">
    <w:name w:val="ui-provider"/>
    <w:basedOn w:val="DefaultParagraphFont"/>
    <w:rsid w:val="006126C1"/>
  </w:style>
  <w:style w:type="character" w:customStyle="1" w:styleId="cf01">
    <w:name w:val="cf01"/>
    <w:basedOn w:val="DefaultParagraphFont"/>
    <w:rsid w:val="006126C1"/>
    <w:rPr>
      <w:rFonts w:ascii="Segoe UI" w:hAnsi="Segoe UI" w:cs="Segoe UI" w:hint="default"/>
      <w:sz w:val="18"/>
      <w:szCs w:val="18"/>
    </w:rPr>
  </w:style>
  <w:style w:type="paragraph" w:customStyle="1" w:styleId="TableMainHeading">
    <w:name w:val="TableMainHeading"/>
    <w:basedOn w:val="Normal"/>
    <w:next w:val="Normal"/>
    <w:uiPriority w:val="99"/>
    <w:rsid w:val="00D25364"/>
    <w:pPr>
      <w:spacing w:before="120" w:after="120" w:line="240" w:lineRule="auto"/>
    </w:pPr>
    <w:rPr>
      <w:rFonts w:ascii="Segoe UI" w:eastAsia="Times New Roman" w:hAnsi="Segoe UI" w:cs="Times New Roman"/>
      <w:kern w:val="0"/>
      <w:szCs w:val="20"/>
      <w:lang w:val="ro-RO"/>
      <w14:ligatures w14:val="none"/>
    </w:rPr>
  </w:style>
  <w:style w:type="paragraph" w:styleId="Header">
    <w:name w:val="header"/>
    <w:basedOn w:val="Normal"/>
    <w:link w:val="HeaderChar"/>
    <w:uiPriority w:val="99"/>
    <w:unhideWhenUsed/>
    <w:rsid w:val="009B7AE5"/>
    <w:pPr>
      <w:tabs>
        <w:tab w:val="center" w:pos="4677"/>
        <w:tab w:val="right" w:pos="9355"/>
      </w:tabs>
      <w:spacing w:after="0" w:line="240" w:lineRule="auto"/>
    </w:pPr>
  </w:style>
  <w:style w:type="character" w:customStyle="1" w:styleId="HeaderChar">
    <w:name w:val="Header Char"/>
    <w:basedOn w:val="DefaultParagraphFont"/>
    <w:link w:val="Header"/>
    <w:uiPriority w:val="99"/>
    <w:rsid w:val="009B7AE5"/>
  </w:style>
  <w:style w:type="paragraph" w:styleId="Footer">
    <w:name w:val="footer"/>
    <w:basedOn w:val="Normal"/>
    <w:link w:val="FooterChar"/>
    <w:uiPriority w:val="99"/>
    <w:unhideWhenUsed/>
    <w:rsid w:val="009B7AE5"/>
    <w:pPr>
      <w:tabs>
        <w:tab w:val="center" w:pos="4677"/>
        <w:tab w:val="right" w:pos="9355"/>
      </w:tabs>
      <w:spacing w:after="0" w:line="240" w:lineRule="auto"/>
    </w:pPr>
  </w:style>
  <w:style w:type="character" w:customStyle="1" w:styleId="FooterChar">
    <w:name w:val="Footer Char"/>
    <w:basedOn w:val="DefaultParagraphFont"/>
    <w:link w:val="Footer"/>
    <w:uiPriority w:val="99"/>
    <w:rsid w:val="009B7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10">
      <w:bodyDiv w:val="1"/>
      <w:marLeft w:val="0"/>
      <w:marRight w:val="0"/>
      <w:marTop w:val="0"/>
      <w:marBottom w:val="0"/>
      <w:divBdr>
        <w:top w:val="none" w:sz="0" w:space="0" w:color="auto"/>
        <w:left w:val="none" w:sz="0" w:space="0" w:color="auto"/>
        <w:bottom w:val="none" w:sz="0" w:space="0" w:color="auto"/>
        <w:right w:val="none" w:sz="0" w:space="0" w:color="auto"/>
      </w:divBdr>
    </w:div>
    <w:div w:id="31272211">
      <w:bodyDiv w:val="1"/>
      <w:marLeft w:val="0"/>
      <w:marRight w:val="0"/>
      <w:marTop w:val="0"/>
      <w:marBottom w:val="0"/>
      <w:divBdr>
        <w:top w:val="none" w:sz="0" w:space="0" w:color="auto"/>
        <w:left w:val="none" w:sz="0" w:space="0" w:color="auto"/>
        <w:bottom w:val="none" w:sz="0" w:space="0" w:color="auto"/>
        <w:right w:val="none" w:sz="0" w:space="0" w:color="auto"/>
      </w:divBdr>
    </w:div>
    <w:div w:id="32269701">
      <w:bodyDiv w:val="1"/>
      <w:marLeft w:val="0"/>
      <w:marRight w:val="0"/>
      <w:marTop w:val="0"/>
      <w:marBottom w:val="0"/>
      <w:divBdr>
        <w:top w:val="none" w:sz="0" w:space="0" w:color="auto"/>
        <w:left w:val="none" w:sz="0" w:space="0" w:color="auto"/>
        <w:bottom w:val="none" w:sz="0" w:space="0" w:color="auto"/>
        <w:right w:val="none" w:sz="0" w:space="0" w:color="auto"/>
      </w:divBdr>
    </w:div>
    <w:div w:id="32579819">
      <w:bodyDiv w:val="1"/>
      <w:marLeft w:val="0"/>
      <w:marRight w:val="0"/>
      <w:marTop w:val="0"/>
      <w:marBottom w:val="0"/>
      <w:divBdr>
        <w:top w:val="none" w:sz="0" w:space="0" w:color="auto"/>
        <w:left w:val="none" w:sz="0" w:space="0" w:color="auto"/>
        <w:bottom w:val="none" w:sz="0" w:space="0" w:color="auto"/>
        <w:right w:val="none" w:sz="0" w:space="0" w:color="auto"/>
      </w:divBdr>
    </w:div>
    <w:div w:id="63142202">
      <w:bodyDiv w:val="1"/>
      <w:marLeft w:val="0"/>
      <w:marRight w:val="0"/>
      <w:marTop w:val="0"/>
      <w:marBottom w:val="0"/>
      <w:divBdr>
        <w:top w:val="none" w:sz="0" w:space="0" w:color="auto"/>
        <w:left w:val="none" w:sz="0" w:space="0" w:color="auto"/>
        <w:bottom w:val="none" w:sz="0" w:space="0" w:color="auto"/>
        <w:right w:val="none" w:sz="0" w:space="0" w:color="auto"/>
      </w:divBdr>
    </w:div>
    <w:div w:id="87652768">
      <w:bodyDiv w:val="1"/>
      <w:marLeft w:val="0"/>
      <w:marRight w:val="0"/>
      <w:marTop w:val="0"/>
      <w:marBottom w:val="0"/>
      <w:divBdr>
        <w:top w:val="none" w:sz="0" w:space="0" w:color="auto"/>
        <w:left w:val="none" w:sz="0" w:space="0" w:color="auto"/>
        <w:bottom w:val="none" w:sz="0" w:space="0" w:color="auto"/>
        <w:right w:val="none" w:sz="0" w:space="0" w:color="auto"/>
      </w:divBdr>
    </w:div>
    <w:div w:id="104928429">
      <w:bodyDiv w:val="1"/>
      <w:marLeft w:val="0"/>
      <w:marRight w:val="0"/>
      <w:marTop w:val="0"/>
      <w:marBottom w:val="0"/>
      <w:divBdr>
        <w:top w:val="none" w:sz="0" w:space="0" w:color="auto"/>
        <w:left w:val="none" w:sz="0" w:space="0" w:color="auto"/>
        <w:bottom w:val="none" w:sz="0" w:space="0" w:color="auto"/>
        <w:right w:val="none" w:sz="0" w:space="0" w:color="auto"/>
      </w:divBdr>
    </w:div>
    <w:div w:id="185482475">
      <w:bodyDiv w:val="1"/>
      <w:marLeft w:val="0"/>
      <w:marRight w:val="0"/>
      <w:marTop w:val="0"/>
      <w:marBottom w:val="0"/>
      <w:divBdr>
        <w:top w:val="none" w:sz="0" w:space="0" w:color="auto"/>
        <w:left w:val="none" w:sz="0" w:space="0" w:color="auto"/>
        <w:bottom w:val="none" w:sz="0" w:space="0" w:color="auto"/>
        <w:right w:val="none" w:sz="0" w:space="0" w:color="auto"/>
      </w:divBdr>
    </w:div>
    <w:div w:id="265238702">
      <w:bodyDiv w:val="1"/>
      <w:marLeft w:val="0"/>
      <w:marRight w:val="0"/>
      <w:marTop w:val="0"/>
      <w:marBottom w:val="0"/>
      <w:divBdr>
        <w:top w:val="none" w:sz="0" w:space="0" w:color="auto"/>
        <w:left w:val="none" w:sz="0" w:space="0" w:color="auto"/>
        <w:bottom w:val="none" w:sz="0" w:space="0" w:color="auto"/>
        <w:right w:val="none" w:sz="0" w:space="0" w:color="auto"/>
      </w:divBdr>
    </w:div>
    <w:div w:id="327289562">
      <w:bodyDiv w:val="1"/>
      <w:marLeft w:val="0"/>
      <w:marRight w:val="0"/>
      <w:marTop w:val="0"/>
      <w:marBottom w:val="0"/>
      <w:divBdr>
        <w:top w:val="none" w:sz="0" w:space="0" w:color="auto"/>
        <w:left w:val="none" w:sz="0" w:space="0" w:color="auto"/>
        <w:bottom w:val="none" w:sz="0" w:space="0" w:color="auto"/>
        <w:right w:val="none" w:sz="0" w:space="0" w:color="auto"/>
      </w:divBdr>
    </w:div>
    <w:div w:id="337007320">
      <w:bodyDiv w:val="1"/>
      <w:marLeft w:val="0"/>
      <w:marRight w:val="0"/>
      <w:marTop w:val="0"/>
      <w:marBottom w:val="0"/>
      <w:divBdr>
        <w:top w:val="none" w:sz="0" w:space="0" w:color="auto"/>
        <w:left w:val="none" w:sz="0" w:space="0" w:color="auto"/>
        <w:bottom w:val="none" w:sz="0" w:space="0" w:color="auto"/>
        <w:right w:val="none" w:sz="0" w:space="0" w:color="auto"/>
      </w:divBdr>
    </w:div>
    <w:div w:id="429813827">
      <w:bodyDiv w:val="1"/>
      <w:marLeft w:val="0"/>
      <w:marRight w:val="0"/>
      <w:marTop w:val="0"/>
      <w:marBottom w:val="0"/>
      <w:divBdr>
        <w:top w:val="none" w:sz="0" w:space="0" w:color="auto"/>
        <w:left w:val="none" w:sz="0" w:space="0" w:color="auto"/>
        <w:bottom w:val="none" w:sz="0" w:space="0" w:color="auto"/>
        <w:right w:val="none" w:sz="0" w:space="0" w:color="auto"/>
      </w:divBdr>
    </w:div>
    <w:div w:id="430930678">
      <w:bodyDiv w:val="1"/>
      <w:marLeft w:val="0"/>
      <w:marRight w:val="0"/>
      <w:marTop w:val="0"/>
      <w:marBottom w:val="0"/>
      <w:divBdr>
        <w:top w:val="none" w:sz="0" w:space="0" w:color="auto"/>
        <w:left w:val="none" w:sz="0" w:space="0" w:color="auto"/>
        <w:bottom w:val="none" w:sz="0" w:space="0" w:color="auto"/>
        <w:right w:val="none" w:sz="0" w:space="0" w:color="auto"/>
      </w:divBdr>
    </w:div>
    <w:div w:id="459303605">
      <w:bodyDiv w:val="1"/>
      <w:marLeft w:val="0"/>
      <w:marRight w:val="0"/>
      <w:marTop w:val="0"/>
      <w:marBottom w:val="0"/>
      <w:divBdr>
        <w:top w:val="none" w:sz="0" w:space="0" w:color="auto"/>
        <w:left w:val="none" w:sz="0" w:space="0" w:color="auto"/>
        <w:bottom w:val="none" w:sz="0" w:space="0" w:color="auto"/>
        <w:right w:val="none" w:sz="0" w:space="0" w:color="auto"/>
      </w:divBdr>
    </w:div>
    <w:div w:id="465046276">
      <w:bodyDiv w:val="1"/>
      <w:marLeft w:val="0"/>
      <w:marRight w:val="0"/>
      <w:marTop w:val="0"/>
      <w:marBottom w:val="0"/>
      <w:divBdr>
        <w:top w:val="none" w:sz="0" w:space="0" w:color="auto"/>
        <w:left w:val="none" w:sz="0" w:space="0" w:color="auto"/>
        <w:bottom w:val="none" w:sz="0" w:space="0" w:color="auto"/>
        <w:right w:val="none" w:sz="0" w:space="0" w:color="auto"/>
      </w:divBdr>
    </w:div>
    <w:div w:id="530459173">
      <w:bodyDiv w:val="1"/>
      <w:marLeft w:val="0"/>
      <w:marRight w:val="0"/>
      <w:marTop w:val="0"/>
      <w:marBottom w:val="0"/>
      <w:divBdr>
        <w:top w:val="none" w:sz="0" w:space="0" w:color="auto"/>
        <w:left w:val="none" w:sz="0" w:space="0" w:color="auto"/>
        <w:bottom w:val="none" w:sz="0" w:space="0" w:color="auto"/>
        <w:right w:val="none" w:sz="0" w:space="0" w:color="auto"/>
      </w:divBdr>
    </w:div>
    <w:div w:id="548952409">
      <w:bodyDiv w:val="1"/>
      <w:marLeft w:val="0"/>
      <w:marRight w:val="0"/>
      <w:marTop w:val="0"/>
      <w:marBottom w:val="0"/>
      <w:divBdr>
        <w:top w:val="none" w:sz="0" w:space="0" w:color="auto"/>
        <w:left w:val="none" w:sz="0" w:space="0" w:color="auto"/>
        <w:bottom w:val="none" w:sz="0" w:space="0" w:color="auto"/>
        <w:right w:val="none" w:sz="0" w:space="0" w:color="auto"/>
      </w:divBdr>
    </w:div>
    <w:div w:id="580990311">
      <w:bodyDiv w:val="1"/>
      <w:marLeft w:val="0"/>
      <w:marRight w:val="0"/>
      <w:marTop w:val="0"/>
      <w:marBottom w:val="0"/>
      <w:divBdr>
        <w:top w:val="none" w:sz="0" w:space="0" w:color="auto"/>
        <w:left w:val="none" w:sz="0" w:space="0" w:color="auto"/>
        <w:bottom w:val="none" w:sz="0" w:space="0" w:color="auto"/>
        <w:right w:val="none" w:sz="0" w:space="0" w:color="auto"/>
      </w:divBdr>
    </w:div>
    <w:div w:id="602807514">
      <w:bodyDiv w:val="1"/>
      <w:marLeft w:val="0"/>
      <w:marRight w:val="0"/>
      <w:marTop w:val="0"/>
      <w:marBottom w:val="0"/>
      <w:divBdr>
        <w:top w:val="none" w:sz="0" w:space="0" w:color="auto"/>
        <w:left w:val="none" w:sz="0" w:space="0" w:color="auto"/>
        <w:bottom w:val="none" w:sz="0" w:space="0" w:color="auto"/>
        <w:right w:val="none" w:sz="0" w:space="0" w:color="auto"/>
      </w:divBdr>
    </w:div>
    <w:div w:id="606472448">
      <w:bodyDiv w:val="1"/>
      <w:marLeft w:val="0"/>
      <w:marRight w:val="0"/>
      <w:marTop w:val="0"/>
      <w:marBottom w:val="0"/>
      <w:divBdr>
        <w:top w:val="none" w:sz="0" w:space="0" w:color="auto"/>
        <w:left w:val="none" w:sz="0" w:space="0" w:color="auto"/>
        <w:bottom w:val="none" w:sz="0" w:space="0" w:color="auto"/>
        <w:right w:val="none" w:sz="0" w:space="0" w:color="auto"/>
      </w:divBdr>
    </w:div>
    <w:div w:id="646319941">
      <w:bodyDiv w:val="1"/>
      <w:marLeft w:val="0"/>
      <w:marRight w:val="0"/>
      <w:marTop w:val="0"/>
      <w:marBottom w:val="0"/>
      <w:divBdr>
        <w:top w:val="none" w:sz="0" w:space="0" w:color="auto"/>
        <w:left w:val="none" w:sz="0" w:space="0" w:color="auto"/>
        <w:bottom w:val="none" w:sz="0" w:space="0" w:color="auto"/>
        <w:right w:val="none" w:sz="0" w:space="0" w:color="auto"/>
      </w:divBdr>
    </w:div>
    <w:div w:id="684019318">
      <w:bodyDiv w:val="1"/>
      <w:marLeft w:val="0"/>
      <w:marRight w:val="0"/>
      <w:marTop w:val="0"/>
      <w:marBottom w:val="0"/>
      <w:divBdr>
        <w:top w:val="none" w:sz="0" w:space="0" w:color="auto"/>
        <w:left w:val="none" w:sz="0" w:space="0" w:color="auto"/>
        <w:bottom w:val="none" w:sz="0" w:space="0" w:color="auto"/>
        <w:right w:val="none" w:sz="0" w:space="0" w:color="auto"/>
      </w:divBdr>
    </w:div>
    <w:div w:id="722558678">
      <w:bodyDiv w:val="1"/>
      <w:marLeft w:val="0"/>
      <w:marRight w:val="0"/>
      <w:marTop w:val="0"/>
      <w:marBottom w:val="0"/>
      <w:divBdr>
        <w:top w:val="none" w:sz="0" w:space="0" w:color="auto"/>
        <w:left w:val="none" w:sz="0" w:space="0" w:color="auto"/>
        <w:bottom w:val="none" w:sz="0" w:space="0" w:color="auto"/>
        <w:right w:val="none" w:sz="0" w:space="0" w:color="auto"/>
      </w:divBdr>
    </w:div>
    <w:div w:id="729308098">
      <w:bodyDiv w:val="1"/>
      <w:marLeft w:val="0"/>
      <w:marRight w:val="0"/>
      <w:marTop w:val="0"/>
      <w:marBottom w:val="0"/>
      <w:divBdr>
        <w:top w:val="none" w:sz="0" w:space="0" w:color="auto"/>
        <w:left w:val="none" w:sz="0" w:space="0" w:color="auto"/>
        <w:bottom w:val="none" w:sz="0" w:space="0" w:color="auto"/>
        <w:right w:val="none" w:sz="0" w:space="0" w:color="auto"/>
      </w:divBdr>
    </w:div>
    <w:div w:id="737169247">
      <w:bodyDiv w:val="1"/>
      <w:marLeft w:val="0"/>
      <w:marRight w:val="0"/>
      <w:marTop w:val="0"/>
      <w:marBottom w:val="0"/>
      <w:divBdr>
        <w:top w:val="none" w:sz="0" w:space="0" w:color="auto"/>
        <w:left w:val="none" w:sz="0" w:space="0" w:color="auto"/>
        <w:bottom w:val="none" w:sz="0" w:space="0" w:color="auto"/>
        <w:right w:val="none" w:sz="0" w:space="0" w:color="auto"/>
      </w:divBdr>
    </w:div>
    <w:div w:id="768500328">
      <w:bodyDiv w:val="1"/>
      <w:marLeft w:val="0"/>
      <w:marRight w:val="0"/>
      <w:marTop w:val="0"/>
      <w:marBottom w:val="0"/>
      <w:divBdr>
        <w:top w:val="none" w:sz="0" w:space="0" w:color="auto"/>
        <w:left w:val="none" w:sz="0" w:space="0" w:color="auto"/>
        <w:bottom w:val="none" w:sz="0" w:space="0" w:color="auto"/>
        <w:right w:val="none" w:sz="0" w:space="0" w:color="auto"/>
      </w:divBdr>
    </w:div>
    <w:div w:id="792482524">
      <w:bodyDiv w:val="1"/>
      <w:marLeft w:val="0"/>
      <w:marRight w:val="0"/>
      <w:marTop w:val="0"/>
      <w:marBottom w:val="0"/>
      <w:divBdr>
        <w:top w:val="none" w:sz="0" w:space="0" w:color="auto"/>
        <w:left w:val="none" w:sz="0" w:space="0" w:color="auto"/>
        <w:bottom w:val="none" w:sz="0" w:space="0" w:color="auto"/>
        <w:right w:val="none" w:sz="0" w:space="0" w:color="auto"/>
      </w:divBdr>
    </w:div>
    <w:div w:id="838353203">
      <w:bodyDiv w:val="1"/>
      <w:marLeft w:val="0"/>
      <w:marRight w:val="0"/>
      <w:marTop w:val="0"/>
      <w:marBottom w:val="0"/>
      <w:divBdr>
        <w:top w:val="none" w:sz="0" w:space="0" w:color="auto"/>
        <w:left w:val="none" w:sz="0" w:space="0" w:color="auto"/>
        <w:bottom w:val="none" w:sz="0" w:space="0" w:color="auto"/>
        <w:right w:val="none" w:sz="0" w:space="0" w:color="auto"/>
      </w:divBdr>
    </w:div>
    <w:div w:id="914323179">
      <w:bodyDiv w:val="1"/>
      <w:marLeft w:val="0"/>
      <w:marRight w:val="0"/>
      <w:marTop w:val="0"/>
      <w:marBottom w:val="0"/>
      <w:divBdr>
        <w:top w:val="none" w:sz="0" w:space="0" w:color="auto"/>
        <w:left w:val="none" w:sz="0" w:space="0" w:color="auto"/>
        <w:bottom w:val="none" w:sz="0" w:space="0" w:color="auto"/>
        <w:right w:val="none" w:sz="0" w:space="0" w:color="auto"/>
      </w:divBdr>
    </w:div>
    <w:div w:id="941259234">
      <w:bodyDiv w:val="1"/>
      <w:marLeft w:val="0"/>
      <w:marRight w:val="0"/>
      <w:marTop w:val="0"/>
      <w:marBottom w:val="0"/>
      <w:divBdr>
        <w:top w:val="none" w:sz="0" w:space="0" w:color="auto"/>
        <w:left w:val="none" w:sz="0" w:space="0" w:color="auto"/>
        <w:bottom w:val="none" w:sz="0" w:space="0" w:color="auto"/>
        <w:right w:val="none" w:sz="0" w:space="0" w:color="auto"/>
      </w:divBdr>
    </w:div>
    <w:div w:id="942570392">
      <w:bodyDiv w:val="1"/>
      <w:marLeft w:val="0"/>
      <w:marRight w:val="0"/>
      <w:marTop w:val="0"/>
      <w:marBottom w:val="0"/>
      <w:divBdr>
        <w:top w:val="none" w:sz="0" w:space="0" w:color="auto"/>
        <w:left w:val="none" w:sz="0" w:space="0" w:color="auto"/>
        <w:bottom w:val="none" w:sz="0" w:space="0" w:color="auto"/>
        <w:right w:val="none" w:sz="0" w:space="0" w:color="auto"/>
      </w:divBdr>
    </w:div>
    <w:div w:id="956595659">
      <w:bodyDiv w:val="1"/>
      <w:marLeft w:val="0"/>
      <w:marRight w:val="0"/>
      <w:marTop w:val="0"/>
      <w:marBottom w:val="0"/>
      <w:divBdr>
        <w:top w:val="none" w:sz="0" w:space="0" w:color="auto"/>
        <w:left w:val="none" w:sz="0" w:space="0" w:color="auto"/>
        <w:bottom w:val="none" w:sz="0" w:space="0" w:color="auto"/>
        <w:right w:val="none" w:sz="0" w:space="0" w:color="auto"/>
      </w:divBdr>
    </w:div>
    <w:div w:id="996571693">
      <w:bodyDiv w:val="1"/>
      <w:marLeft w:val="0"/>
      <w:marRight w:val="0"/>
      <w:marTop w:val="0"/>
      <w:marBottom w:val="0"/>
      <w:divBdr>
        <w:top w:val="none" w:sz="0" w:space="0" w:color="auto"/>
        <w:left w:val="none" w:sz="0" w:space="0" w:color="auto"/>
        <w:bottom w:val="none" w:sz="0" w:space="0" w:color="auto"/>
        <w:right w:val="none" w:sz="0" w:space="0" w:color="auto"/>
      </w:divBdr>
    </w:div>
    <w:div w:id="1104610341">
      <w:bodyDiv w:val="1"/>
      <w:marLeft w:val="0"/>
      <w:marRight w:val="0"/>
      <w:marTop w:val="0"/>
      <w:marBottom w:val="0"/>
      <w:divBdr>
        <w:top w:val="none" w:sz="0" w:space="0" w:color="auto"/>
        <w:left w:val="none" w:sz="0" w:space="0" w:color="auto"/>
        <w:bottom w:val="none" w:sz="0" w:space="0" w:color="auto"/>
        <w:right w:val="none" w:sz="0" w:space="0" w:color="auto"/>
      </w:divBdr>
    </w:div>
    <w:div w:id="1143932265">
      <w:bodyDiv w:val="1"/>
      <w:marLeft w:val="0"/>
      <w:marRight w:val="0"/>
      <w:marTop w:val="0"/>
      <w:marBottom w:val="0"/>
      <w:divBdr>
        <w:top w:val="none" w:sz="0" w:space="0" w:color="auto"/>
        <w:left w:val="none" w:sz="0" w:space="0" w:color="auto"/>
        <w:bottom w:val="none" w:sz="0" w:space="0" w:color="auto"/>
        <w:right w:val="none" w:sz="0" w:space="0" w:color="auto"/>
      </w:divBdr>
    </w:div>
    <w:div w:id="1161044564">
      <w:bodyDiv w:val="1"/>
      <w:marLeft w:val="0"/>
      <w:marRight w:val="0"/>
      <w:marTop w:val="0"/>
      <w:marBottom w:val="0"/>
      <w:divBdr>
        <w:top w:val="none" w:sz="0" w:space="0" w:color="auto"/>
        <w:left w:val="none" w:sz="0" w:space="0" w:color="auto"/>
        <w:bottom w:val="none" w:sz="0" w:space="0" w:color="auto"/>
        <w:right w:val="none" w:sz="0" w:space="0" w:color="auto"/>
      </w:divBdr>
    </w:div>
    <w:div w:id="1166365819">
      <w:bodyDiv w:val="1"/>
      <w:marLeft w:val="0"/>
      <w:marRight w:val="0"/>
      <w:marTop w:val="0"/>
      <w:marBottom w:val="0"/>
      <w:divBdr>
        <w:top w:val="none" w:sz="0" w:space="0" w:color="auto"/>
        <w:left w:val="none" w:sz="0" w:space="0" w:color="auto"/>
        <w:bottom w:val="none" w:sz="0" w:space="0" w:color="auto"/>
        <w:right w:val="none" w:sz="0" w:space="0" w:color="auto"/>
      </w:divBdr>
    </w:div>
    <w:div w:id="1176185826">
      <w:bodyDiv w:val="1"/>
      <w:marLeft w:val="0"/>
      <w:marRight w:val="0"/>
      <w:marTop w:val="0"/>
      <w:marBottom w:val="0"/>
      <w:divBdr>
        <w:top w:val="none" w:sz="0" w:space="0" w:color="auto"/>
        <w:left w:val="none" w:sz="0" w:space="0" w:color="auto"/>
        <w:bottom w:val="none" w:sz="0" w:space="0" w:color="auto"/>
        <w:right w:val="none" w:sz="0" w:space="0" w:color="auto"/>
      </w:divBdr>
    </w:div>
    <w:div w:id="1311904446">
      <w:bodyDiv w:val="1"/>
      <w:marLeft w:val="0"/>
      <w:marRight w:val="0"/>
      <w:marTop w:val="0"/>
      <w:marBottom w:val="0"/>
      <w:divBdr>
        <w:top w:val="none" w:sz="0" w:space="0" w:color="auto"/>
        <w:left w:val="none" w:sz="0" w:space="0" w:color="auto"/>
        <w:bottom w:val="none" w:sz="0" w:space="0" w:color="auto"/>
        <w:right w:val="none" w:sz="0" w:space="0" w:color="auto"/>
      </w:divBdr>
    </w:div>
    <w:div w:id="1313215976">
      <w:bodyDiv w:val="1"/>
      <w:marLeft w:val="0"/>
      <w:marRight w:val="0"/>
      <w:marTop w:val="0"/>
      <w:marBottom w:val="0"/>
      <w:divBdr>
        <w:top w:val="none" w:sz="0" w:space="0" w:color="auto"/>
        <w:left w:val="none" w:sz="0" w:space="0" w:color="auto"/>
        <w:bottom w:val="none" w:sz="0" w:space="0" w:color="auto"/>
        <w:right w:val="none" w:sz="0" w:space="0" w:color="auto"/>
      </w:divBdr>
    </w:div>
    <w:div w:id="1341008300">
      <w:bodyDiv w:val="1"/>
      <w:marLeft w:val="0"/>
      <w:marRight w:val="0"/>
      <w:marTop w:val="0"/>
      <w:marBottom w:val="0"/>
      <w:divBdr>
        <w:top w:val="none" w:sz="0" w:space="0" w:color="auto"/>
        <w:left w:val="none" w:sz="0" w:space="0" w:color="auto"/>
        <w:bottom w:val="none" w:sz="0" w:space="0" w:color="auto"/>
        <w:right w:val="none" w:sz="0" w:space="0" w:color="auto"/>
      </w:divBdr>
    </w:div>
    <w:div w:id="1383482929">
      <w:bodyDiv w:val="1"/>
      <w:marLeft w:val="0"/>
      <w:marRight w:val="0"/>
      <w:marTop w:val="0"/>
      <w:marBottom w:val="0"/>
      <w:divBdr>
        <w:top w:val="none" w:sz="0" w:space="0" w:color="auto"/>
        <w:left w:val="none" w:sz="0" w:space="0" w:color="auto"/>
        <w:bottom w:val="none" w:sz="0" w:space="0" w:color="auto"/>
        <w:right w:val="none" w:sz="0" w:space="0" w:color="auto"/>
      </w:divBdr>
    </w:div>
    <w:div w:id="1428966125">
      <w:bodyDiv w:val="1"/>
      <w:marLeft w:val="0"/>
      <w:marRight w:val="0"/>
      <w:marTop w:val="0"/>
      <w:marBottom w:val="0"/>
      <w:divBdr>
        <w:top w:val="none" w:sz="0" w:space="0" w:color="auto"/>
        <w:left w:val="none" w:sz="0" w:space="0" w:color="auto"/>
        <w:bottom w:val="none" w:sz="0" w:space="0" w:color="auto"/>
        <w:right w:val="none" w:sz="0" w:space="0" w:color="auto"/>
      </w:divBdr>
    </w:div>
    <w:div w:id="1433742167">
      <w:bodyDiv w:val="1"/>
      <w:marLeft w:val="0"/>
      <w:marRight w:val="0"/>
      <w:marTop w:val="0"/>
      <w:marBottom w:val="0"/>
      <w:divBdr>
        <w:top w:val="none" w:sz="0" w:space="0" w:color="auto"/>
        <w:left w:val="none" w:sz="0" w:space="0" w:color="auto"/>
        <w:bottom w:val="none" w:sz="0" w:space="0" w:color="auto"/>
        <w:right w:val="none" w:sz="0" w:space="0" w:color="auto"/>
      </w:divBdr>
    </w:div>
    <w:div w:id="1477188393">
      <w:bodyDiv w:val="1"/>
      <w:marLeft w:val="0"/>
      <w:marRight w:val="0"/>
      <w:marTop w:val="0"/>
      <w:marBottom w:val="0"/>
      <w:divBdr>
        <w:top w:val="none" w:sz="0" w:space="0" w:color="auto"/>
        <w:left w:val="none" w:sz="0" w:space="0" w:color="auto"/>
        <w:bottom w:val="none" w:sz="0" w:space="0" w:color="auto"/>
        <w:right w:val="none" w:sz="0" w:space="0" w:color="auto"/>
      </w:divBdr>
    </w:div>
    <w:div w:id="1478959401">
      <w:bodyDiv w:val="1"/>
      <w:marLeft w:val="0"/>
      <w:marRight w:val="0"/>
      <w:marTop w:val="0"/>
      <w:marBottom w:val="0"/>
      <w:divBdr>
        <w:top w:val="none" w:sz="0" w:space="0" w:color="auto"/>
        <w:left w:val="none" w:sz="0" w:space="0" w:color="auto"/>
        <w:bottom w:val="none" w:sz="0" w:space="0" w:color="auto"/>
        <w:right w:val="none" w:sz="0" w:space="0" w:color="auto"/>
      </w:divBdr>
    </w:div>
    <w:div w:id="1481382775">
      <w:bodyDiv w:val="1"/>
      <w:marLeft w:val="0"/>
      <w:marRight w:val="0"/>
      <w:marTop w:val="0"/>
      <w:marBottom w:val="0"/>
      <w:divBdr>
        <w:top w:val="none" w:sz="0" w:space="0" w:color="auto"/>
        <w:left w:val="none" w:sz="0" w:space="0" w:color="auto"/>
        <w:bottom w:val="none" w:sz="0" w:space="0" w:color="auto"/>
        <w:right w:val="none" w:sz="0" w:space="0" w:color="auto"/>
      </w:divBdr>
    </w:div>
    <w:div w:id="1521896592">
      <w:bodyDiv w:val="1"/>
      <w:marLeft w:val="0"/>
      <w:marRight w:val="0"/>
      <w:marTop w:val="0"/>
      <w:marBottom w:val="0"/>
      <w:divBdr>
        <w:top w:val="none" w:sz="0" w:space="0" w:color="auto"/>
        <w:left w:val="none" w:sz="0" w:space="0" w:color="auto"/>
        <w:bottom w:val="none" w:sz="0" w:space="0" w:color="auto"/>
        <w:right w:val="none" w:sz="0" w:space="0" w:color="auto"/>
      </w:divBdr>
    </w:div>
    <w:div w:id="1543862535">
      <w:bodyDiv w:val="1"/>
      <w:marLeft w:val="0"/>
      <w:marRight w:val="0"/>
      <w:marTop w:val="0"/>
      <w:marBottom w:val="0"/>
      <w:divBdr>
        <w:top w:val="none" w:sz="0" w:space="0" w:color="auto"/>
        <w:left w:val="none" w:sz="0" w:space="0" w:color="auto"/>
        <w:bottom w:val="none" w:sz="0" w:space="0" w:color="auto"/>
        <w:right w:val="none" w:sz="0" w:space="0" w:color="auto"/>
      </w:divBdr>
    </w:div>
    <w:div w:id="1589002042">
      <w:bodyDiv w:val="1"/>
      <w:marLeft w:val="0"/>
      <w:marRight w:val="0"/>
      <w:marTop w:val="0"/>
      <w:marBottom w:val="0"/>
      <w:divBdr>
        <w:top w:val="none" w:sz="0" w:space="0" w:color="auto"/>
        <w:left w:val="none" w:sz="0" w:space="0" w:color="auto"/>
        <w:bottom w:val="none" w:sz="0" w:space="0" w:color="auto"/>
        <w:right w:val="none" w:sz="0" w:space="0" w:color="auto"/>
      </w:divBdr>
    </w:div>
    <w:div w:id="1633636352">
      <w:bodyDiv w:val="1"/>
      <w:marLeft w:val="0"/>
      <w:marRight w:val="0"/>
      <w:marTop w:val="0"/>
      <w:marBottom w:val="0"/>
      <w:divBdr>
        <w:top w:val="none" w:sz="0" w:space="0" w:color="auto"/>
        <w:left w:val="none" w:sz="0" w:space="0" w:color="auto"/>
        <w:bottom w:val="none" w:sz="0" w:space="0" w:color="auto"/>
        <w:right w:val="none" w:sz="0" w:space="0" w:color="auto"/>
      </w:divBdr>
    </w:div>
    <w:div w:id="1678462024">
      <w:bodyDiv w:val="1"/>
      <w:marLeft w:val="0"/>
      <w:marRight w:val="0"/>
      <w:marTop w:val="0"/>
      <w:marBottom w:val="0"/>
      <w:divBdr>
        <w:top w:val="none" w:sz="0" w:space="0" w:color="auto"/>
        <w:left w:val="none" w:sz="0" w:space="0" w:color="auto"/>
        <w:bottom w:val="none" w:sz="0" w:space="0" w:color="auto"/>
        <w:right w:val="none" w:sz="0" w:space="0" w:color="auto"/>
      </w:divBdr>
    </w:div>
    <w:div w:id="1680353160">
      <w:bodyDiv w:val="1"/>
      <w:marLeft w:val="0"/>
      <w:marRight w:val="0"/>
      <w:marTop w:val="0"/>
      <w:marBottom w:val="0"/>
      <w:divBdr>
        <w:top w:val="none" w:sz="0" w:space="0" w:color="auto"/>
        <w:left w:val="none" w:sz="0" w:space="0" w:color="auto"/>
        <w:bottom w:val="none" w:sz="0" w:space="0" w:color="auto"/>
        <w:right w:val="none" w:sz="0" w:space="0" w:color="auto"/>
      </w:divBdr>
    </w:div>
    <w:div w:id="1700275786">
      <w:bodyDiv w:val="1"/>
      <w:marLeft w:val="0"/>
      <w:marRight w:val="0"/>
      <w:marTop w:val="0"/>
      <w:marBottom w:val="0"/>
      <w:divBdr>
        <w:top w:val="none" w:sz="0" w:space="0" w:color="auto"/>
        <w:left w:val="none" w:sz="0" w:space="0" w:color="auto"/>
        <w:bottom w:val="none" w:sz="0" w:space="0" w:color="auto"/>
        <w:right w:val="none" w:sz="0" w:space="0" w:color="auto"/>
      </w:divBdr>
    </w:div>
    <w:div w:id="1733310578">
      <w:bodyDiv w:val="1"/>
      <w:marLeft w:val="0"/>
      <w:marRight w:val="0"/>
      <w:marTop w:val="0"/>
      <w:marBottom w:val="0"/>
      <w:divBdr>
        <w:top w:val="none" w:sz="0" w:space="0" w:color="auto"/>
        <w:left w:val="none" w:sz="0" w:space="0" w:color="auto"/>
        <w:bottom w:val="none" w:sz="0" w:space="0" w:color="auto"/>
        <w:right w:val="none" w:sz="0" w:space="0" w:color="auto"/>
      </w:divBdr>
    </w:div>
    <w:div w:id="1736706018">
      <w:bodyDiv w:val="1"/>
      <w:marLeft w:val="0"/>
      <w:marRight w:val="0"/>
      <w:marTop w:val="0"/>
      <w:marBottom w:val="0"/>
      <w:divBdr>
        <w:top w:val="none" w:sz="0" w:space="0" w:color="auto"/>
        <w:left w:val="none" w:sz="0" w:space="0" w:color="auto"/>
        <w:bottom w:val="none" w:sz="0" w:space="0" w:color="auto"/>
        <w:right w:val="none" w:sz="0" w:space="0" w:color="auto"/>
      </w:divBdr>
    </w:div>
    <w:div w:id="1737195222">
      <w:bodyDiv w:val="1"/>
      <w:marLeft w:val="0"/>
      <w:marRight w:val="0"/>
      <w:marTop w:val="0"/>
      <w:marBottom w:val="0"/>
      <w:divBdr>
        <w:top w:val="none" w:sz="0" w:space="0" w:color="auto"/>
        <w:left w:val="none" w:sz="0" w:space="0" w:color="auto"/>
        <w:bottom w:val="none" w:sz="0" w:space="0" w:color="auto"/>
        <w:right w:val="none" w:sz="0" w:space="0" w:color="auto"/>
      </w:divBdr>
    </w:div>
    <w:div w:id="1753888959">
      <w:bodyDiv w:val="1"/>
      <w:marLeft w:val="0"/>
      <w:marRight w:val="0"/>
      <w:marTop w:val="0"/>
      <w:marBottom w:val="0"/>
      <w:divBdr>
        <w:top w:val="none" w:sz="0" w:space="0" w:color="auto"/>
        <w:left w:val="none" w:sz="0" w:space="0" w:color="auto"/>
        <w:bottom w:val="none" w:sz="0" w:space="0" w:color="auto"/>
        <w:right w:val="none" w:sz="0" w:space="0" w:color="auto"/>
      </w:divBdr>
    </w:div>
    <w:div w:id="1755542668">
      <w:bodyDiv w:val="1"/>
      <w:marLeft w:val="0"/>
      <w:marRight w:val="0"/>
      <w:marTop w:val="0"/>
      <w:marBottom w:val="0"/>
      <w:divBdr>
        <w:top w:val="none" w:sz="0" w:space="0" w:color="auto"/>
        <w:left w:val="none" w:sz="0" w:space="0" w:color="auto"/>
        <w:bottom w:val="none" w:sz="0" w:space="0" w:color="auto"/>
        <w:right w:val="none" w:sz="0" w:space="0" w:color="auto"/>
      </w:divBdr>
    </w:div>
    <w:div w:id="1868523829">
      <w:bodyDiv w:val="1"/>
      <w:marLeft w:val="0"/>
      <w:marRight w:val="0"/>
      <w:marTop w:val="0"/>
      <w:marBottom w:val="0"/>
      <w:divBdr>
        <w:top w:val="none" w:sz="0" w:space="0" w:color="auto"/>
        <w:left w:val="none" w:sz="0" w:space="0" w:color="auto"/>
        <w:bottom w:val="none" w:sz="0" w:space="0" w:color="auto"/>
        <w:right w:val="none" w:sz="0" w:space="0" w:color="auto"/>
      </w:divBdr>
    </w:div>
    <w:div w:id="1938126263">
      <w:bodyDiv w:val="1"/>
      <w:marLeft w:val="0"/>
      <w:marRight w:val="0"/>
      <w:marTop w:val="0"/>
      <w:marBottom w:val="0"/>
      <w:divBdr>
        <w:top w:val="none" w:sz="0" w:space="0" w:color="auto"/>
        <w:left w:val="none" w:sz="0" w:space="0" w:color="auto"/>
        <w:bottom w:val="none" w:sz="0" w:space="0" w:color="auto"/>
        <w:right w:val="none" w:sz="0" w:space="0" w:color="auto"/>
      </w:divBdr>
    </w:div>
    <w:div w:id="1980108467">
      <w:bodyDiv w:val="1"/>
      <w:marLeft w:val="0"/>
      <w:marRight w:val="0"/>
      <w:marTop w:val="0"/>
      <w:marBottom w:val="0"/>
      <w:divBdr>
        <w:top w:val="none" w:sz="0" w:space="0" w:color="auto"/>
        <w:left w:val="none" w:sz="0" w:space="0" w:color="auto"/>
        <w:bottom w:val="none" w:sz="0" w:space="0" w:color="auto"/>
        <w:right w:val="none" w:sz="0" w:space="0" w:color="auto"/>
      </w:divBdr>
    </w:div>
    <w:div w:id="2002006498">
      <w:bodyDiv w:val="1"/>
      <w:marLeft w:val="0"/>
      <w:marRight w:val="0"/>
      <w:marTop w:val="0"/>
      <w:marBottom w:val="0"/>
      <w:divBdr>
        <w:top w:val="none" w:sz="0" w:space="0" w:color="auto"/>
        <w:left w:val="none" w:sz="0" w:space="0" w:color="auto"/>
        <w:bottom w:val="none" w:sz="0" w:space="0" w:color="auto"/>
        <w:right w:val="none" w:sz="0" w:space="0" w:color="auto"/>
      </w:divBdr>
    </w:div>
    <w:div w:id="2114666714">
      <w:bodyDiv w:val="1"/>
      <w:marLeft w:val="0"/>
      <w:marRight w:val="0"/>
      <w:marTop w:val="0"/>
      <w:marBottom w:val="0"/>
      <w:divBdr>
        <w:top w:val="none" w:sz="0" w:space="0" w:color="auto"/>
        <w:left w:val="none" w:sz="0" w:space="0" w:color="auto"/>
        <w:bottom w:val="none" w:sz="0" w:space="0" w:color="auto"/>
        <w:right w:val="none" w:sz="0" w:space="0" w:color="auto"/>
      </w:divBdr>
    </w:div>
    <w:div w:id="2117362158">
      <w:bodyDiv w:val="1"/>
      <w:marLeft w:val="0"/>
      <w:marRight w:val="0"/>
      <w:marTop w:val="0"/>
      <w:marBottom w:val="0"/>
      <w:divBdr>
        <w:top w:val="none" w:sz="0" w:space="0" w:color="auto"/>
        <w:left w:val="none" w:sz="0" w:space="0" w:color="auto"/>
        <w:bottom w:val="none" w:sz="0" w:space="0" w:color="auto"/>
        <w:right w:val="none" w:sz="0" w:space="0" w:color="auto"/>
      </w:divBdr>
    </w:div>
    <w:div w:id="2124687927">
      <w:bodyDiv w:val="1"/>
      <w:marLeft w:val="0"/>
      <w:marRight w:val="0"/>
      <w:marTop w:val="0"/>
      <w:marBottom w:val="0"/>
      <w:divBdr>
        <w:top w:val="none" w:sz="0" w:space="0" w:color="auto"/>
        <w:left w:val="none" w:sz="0" w:space="0" w:color="auto"/>
        <w:bottom w:val="none" w:sz="0" w:space="0" w:color="auto"/>
        <w:right w:val="none" w:sz="0" w:space="0" w:color="auto"/>
      </w:divBdr>
    </w:div>
    <w:div w:id="2128356682">
      <w:bodyDiv w:val="1"/>
      <w:marLeft w:val="0"/>
      <w:marRight w:val="0"/>
      <w:marTop w:val="0"/>
      <w:marBottom w:val="0"/>
      <w:divBdr>
        <w:top w:val="none" w:sz="0" w:space="0" w:color="auto"/>
        <w:left w:val="none" w:sz="0" w:space="0" w:color="auto"/>
        <w:bottom w:val="none" w:sz="0" w:space="0" w:color="auto"/>
        <w:right w:val="none" w:sz="0" w:space="0" w:color="auto"/>
      </w:divBdr>
    </w:div>
    <w:div w:id="2138258471">
      <w:bodyDiv w:val="1"/>
      <w:marLeft w:val="0"/>
      <w:marRight w:val="0"/>
      <w:marTop w:val="0"/>
      <w:marBottom w:val="0"/>
      <w:divBdr>
        <w:top w:val="none" w:sz="0" w:space="0" w:color="auto"/>
        <w:left w:val="none" w:sz="0" w:space="0" w:color="auto"/>
        <w:bottom w:val="none" w:sz="0" w:space="0" w:color="auto"/>
        <w:right w:val="none" w:sz="0" w:space="0" w:color="auto"/>
      </w:divBdr>
    </w:div>
    <w:div w:id="214349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2A00A-29BE-493D-8144-0EE5A65AF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79</Pages>
  <Words>33908</Words>
  <Characters>193615</Characters>
  <Application>Microsoft Office Word</Application>
  <DocSecurity>0</DocSecurity>
  <Lines>8800</Lines>
  <Paragraphs>4946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2026-03-20T07:43:00Z</dcterms:created>
  <cp:lastPrinted>2026-02-02T07:33:00Z</cp:lastPrinted>
  <dcterms:modified xsi:type="dcterms:W3CDTF">2026-03-26T09:34:00Z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2025-09-18T07:30:44Z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54f2c2d1-17c8-4aa4-87f9-c936787a5dc9</vt:lpwstr>
  </property>
  <property fmtid="{D5CDD505-2E9C-101B-9397-08002B2CF9AE}" pid="8" name="MSIP_Label_38962dcf-d39f-4edc-a396-338a56ba9170_ContentBits">
    <vt:lpwstr>0</vt:lpwstr>
  </property>
</Properties>
</file>